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zSngIAAJQ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.Rda</w:t>
      </w:r>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salarios </w:t>
      </w:r>
      <w:r w:rsidRPr="005B7332">
        <w:rPr>
          <w:rFonts w:ascii="Times New Roman" w:hAnsi="Times New Roman" w:cs="Times New Roman"/>
          <w:highlight w:val="yellow"/>
          <w:lang w:val="es-US"/>
        </w:rPr>
        <w:t>(</w:t>
      </w:r>
      <w:proofErr w:type="spellStart"/>
      <w:r w:rsidRPr="005B7332">
        <w:rPr>
          <w:rFonts w:ascii="Times New Roman" w:hAnsi="Times New Roman" w:cs="Times New Roman"/>
          <w:highlight w:val="yellow"/>
          <w:lang w:val="es-US"/>
        </w:rPr>
        <w:t>Guataqui</w:t>
      </w:r>
      <w:proofErr w:type="spellEnd"/>
      <w:r w:rsidRPr="005B7332">
        <w:rPr>
          <w:rFonts w:ascii="Times New Roman" w:hAnsi="Times New Roman" w:cs="Times New Roman"/>
          <w:highlight w:val="yellow"/>
          <w:lang w:val="es-US"/>
        </w:rPr>
        <w:t xml:space="preserve">, García, </w:t>
      </w:r>
      <w:proofErr w:type="spellStart"/>
      <w:r w:rsidRPr="005B7332">
        <w:rPr>
          <w:rFonts w:ascii="Times New Roman" w:hAnsi="Times New Roman" w:cs="Times New Roman"/>
          <w:highlight w:val="yellow"/>
          <w:lang w:val="es-US"/>
        </w:rPr>
        <w:t>Rodriguez</w:t>
      </w:r>
      <w:proofErr w:type="spellEnd"/>
      <w:r w:rsidRPr="005B7332">
        <w:rPr>
          <w:rFonts w:ascii="Times New Roman" w:hAnsi="Times New Roman" w:cs="Times New Roman"/>
          <w:highlight w:val="yellow"/>
          <w:lang w:val="es-US"/>
        </w:rPr>
        <w:t>,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proofErr w:type="spellStart"/>
      <w:r>
        <w:rPr>
          <w:rFonts w:ascii="Times New Roman" w:hAnsi="Times New Roman" w:cs="Times New Roman"/>
          <w:lang w:val="es-US"/>
        </w:rPr>
        <w:t>genero</w:t>
      </w:r>
      <w:proofErr w:type="spellEnd"/>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5B7332">
        <w:rPr>
          <w:rFonts w:ascii="Times New Roman" w:hAnsi="Times New Roman" w:cs="Times New Roman"/>
          <w:highlight w:val="yellow"/>
          <w:lang w:val="es-US"/>
        </w:rPr>
        <w:t>(</w:t>
      </w:r>
      <w:proofErr w:type="spellStart"/>
      <w:r w:rsidRPr="005B7332">
        <w:rPr>
          <w:rFonts w:ascii="Times New Roman" w:hAnsi="Times New Roman" w:cs="Times New Roman"/>
          <w:highlight w:val="yellow"/>
          <w:lang w:val="es-US"/>
        </w:rPr>
        <w:t>Guataqui</w:t>
      </w:r>
      <w:proofErr w:type="spellEnd"/>
      <w:r w:rsidRPr="005B7332">
        <w:rPr>
          <w:rFonts w:ascii="Times New Roman" w:hAnsi="Times New Roman" w:cs="Times New Roman"/>
          <w:highlight w:val="yellow"/>
          <w:lang w:val="es-US"/>
        </w:rPr>
        <w:t xml:space="preserve">, García, </w:t>
      </w:r>
      <w:proofErr w:type="spellStart"/>
      <w:r w:rsidRPr="005B7332">
        <w:rPr>
          <w:rFonts w:ascii="Times New Roman" w:hAnsi="Times New Roman" w:cs="Times New Roman"/>
          <w:highlight w:val="yellow"/>
          <w:lang w:val="es-US"/>
        </w:rPr>
        <w:t>Rodriguez</w:t>
      </w:r>
      <w:proofErr w:type="spellEnd"/>
      <w:r w:rsidRPr="005B7332">
        <w:rPr>
          <w:rFonts w:ascii="Times New Roman" w:hAnsi="Times New Roman" w:cs="Times New Roman"/>
          <w:highlight w:val="yellow"/>
          <w:lang w:val="es-US"/>
        </w:rPr>
        <w:t>,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age</w:t>
            </w:r>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1D4B47">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estudios de la </w:t>
            </w:r>
            <w:r w:rsidRPr="00A82241">
              <w:rPr>
                <w:rFonts w:ascii="Times New Roman" w:hAnsi="Times New Roman" w:cs="Times New Roman"/>
                <w:color w:val="auto"/>
                <w:sz w:val="20"/>
                <w:szCs w:val="20"/>
                <w:highlight w:val="yellow"/>
                <w:lang w:val="es-US"/>
              </w:rPr>
              <w:t>CEPAL (2007)</w:t>
            </w:r>
            <w:r>
              <w:rPr>
                <w:rFonts w:ascii="Times New Roman" w:hAnsi="Times New Roman" w:cs="Times New Roman"/>
                <w:color w:val="auto"/>
                <w:sz w:val="20"/>
                <w:szCs w:val="20"/>
                <w:lang w:val="es-US"/>
              </w:rPr>
              <w:t xml:space="preserve"> y el </w:t>
            </w:r>
            <w:r w:rsidRPr="00A82241">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se evidencian diferencias entre los salarios que se perciben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college</w:t>
            </w:r>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de </w:t>
            </w:r>
            <w:proofErr w:type="spellStart"/>
            <w:r w:rsidRPr="00A82241">
              <w:rPr>
                <w:rFonts w:ascii="Times New Roman" w:hAnsi="Times New Roman" w:cs="Times New Roman"/>
                <w:color w:val="auto"/>
                <w:sz w:val="20"/>
                <w:szCs w:val="20"/>
                <w:highlight w:val="yellow"/>
                <w:lang w:val="es-US"/>
              </w:rPr>
              <w:t>Mincer</w:t>
            </w:r>
            <w:proofErr w:type="spellEnd"/>
            <w:r w:rsidRPr="00A82241">
              <w:rPr>
                <w:rFonts w:ascii="Times New Roman" w:hAnsi="Times New Roman" w:cs="Times New Roman"/>
                <w:color w:val="auto"/>
                <w:sz w:val="20"/>
                <w:szCs w:val="20"/>
                <w:highlight w:val="yellow"/>
                <w:lang w:val="es-US"/>
              </w:rPr>
              <w:t xml:space="preserve"> (1958)</w:t>
            </w:r>
            <w:r>
              <w:rPr>
                <w:rFonts w:ascii="Times New Roman" w:hAnsi="Times New Roman" w:cs="Times New Roman"/>
                <w:color w:val="auto"/>
                <w:sz w:val="20"/>
                <w:szCs w:val="20"/>
                <w:lang w:val="es-US"/>
              </w:rPr>
              <w:t xml:space="preserve"> se indica que el logaritmo del ingreso depende linealmente de la escolaridad. Luego, en 1974,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r w:rsidRPr="00A82241">
              <w:rPr>
                <w:rFonts w:ascii="Times New Roman" w:hAnsi="Times New Roman" w:cs="Times New Roman"/>
                <w:color w:val="auto"/>
                <w:sz w:val="20"/>
                <w:szCs w:val="20"/>
                <w:highlight w:val="yellow"/>
                <w:lang w:val="es-US"/>
              </w:rPr>
              <w:t>Aristizabal&amp;Lopez (2017),</w:t>
            </w:r>
            <w:r>
              <w:rPr>
                <w:rFonts w:ascii="Times New Roman" w:hAnsi="Times New Roman" w:cs="Times New Roman"/>
                <w:color w:val="auto"/>
                <w:sz w:val="20"/>
                <w:szCs w:val="20"/>
                <w:lang w:val="es-US"/>
              </w:rPr>
              <w:t xml:space="preserve"> en su trabajo de grado, hacen una descripción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EB7448">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w:t>
            </w:r>
            <w:r>
              <w:rPr>
                <w:rFonts w:ascii="Times New Roman" w:hAnsi="Times New Roman" w:cs="Times New Roman"/>
                <w:color w:val="auto"/>
                <w:sz w:val="20"/>
                <w:szCs w:val="20"/>
                <w:lang w:val="es-US"/>
              </w:rPr>
              <w:lastRenderedPageBreak/>
              <w:t>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características económicas de ingreso. </w:t>
            </w:r>
            <w:proofErr w:type="spellStart"/>
            <w:r w:rsidRPr="00EB7448">
              <w:rPr>
                <w:rFonts w:ascii="Times New Roman" w:hAnsi="Times New Roman" w:cs="Times New Roman"/>
                <w:color w:val="auto"/>
                <w:sz w:val="20"/>
                <w:szCs w:val="20"/>
                <w:highlight w:val="yellow"/>
                <w:lang w:val="es-US"/>
              </w:rPr>
              <w:t>Acosta&amp;Ramos</w:t>
            </w:r>
            <w:proofErr w:type="spellEnd"/>
            <w:r w:rsidRPr="00EB7448">
              <w:rPr>
                <w:rFonts w:ascii="Times New Roman" w:hAnsi="Times New Roman" w:cs="Times New Roman"/>
                <w:color w:val="auto"/>
                <w:sz w:val="20"/>
                <w:szCs w:val="20"/>
                <w:highlight w:val="yellow"/>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El número de horas es un determinante dentro del salario, ya sea porque a mayor número mayor será la retribución o porque indica el nivel de productividad asociado a cierta actividad. En el estudio del </w:t>
            </w:r>
            <w:r w:rsidRPr="00EB7448">
              <w:rPr>
                <w:rFonts w:ascii="Times New Roman" w:hAnsi="Times New Roman" w:cs="Times New Roman"/>
                <w:color w:val="auto"/>
                <w:sz w:val="20"/>
                <w:szCs w:val="20"/>
                <w:highlight w:val="yellow"/>
                <w:lang w:val="es-US"/>
              </w:rPr>
              <w:t>DANE (2020)</w:t>
            </w:r>
            <w:r>
              <w:rPr>
                <w:rFonts w:ascii="Times New Roman" w:hAnsi="Times New Roman" w:cs="Times New Roman"/>
                <w:color w:val="auto"/>
                <w:sz w:val="20"/>
                <w:szCs w:val="20"/>
                <w:lang w:val="es-US"/>
              </w:rPr>
              <w:t xml:space="preserve"> sobre brecha salarial por género, los datos sugieren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i</w:t>
            </w:r>
            <w:r w:rsidRPr="00594B92">
              <w:rPr>
                <w:rFonts w:ascii="Times New Roman" w:hAnsi="Times New Roman" w:cs="Times New Roman"/>
                <w:b w:val="0"/>
                <w:bCs w:val="0"/>
                <w:color w:val="auto"/>
                <w:sz w:val="20"/>
                <w:szCs w:val="20"/>
                <w:lang w:val="es-US"/>
              </w:rPr>
              <w:t>ngtotob</w:t>
            </w:r>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maxEducLevel</w:t>
            </w:r>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Varios estudios como </w:t>
            </w:r>
            <w:r w:rsidRPr="009D7326">
              <w:rPr>
                <w:rFonts w:ascii="Times New Roman" w:hAnsi="Times New Roman" w:cs="Times New Roman"/>
                <w:color w:val="auto"/>
                <w:sz w:val="20"/>
                <w:szCs w:val="20"/>
                <w:highlight w:val="yellow"/>
                <w:lang w:val="es-US"/>
              </w:rPr>
              <w:t>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w:t>
            </w:r>
            <w:r>
              <w:rPr>
                <w:rFonts w:ascii="Times New Roman" w:hAnsi="Times New Roman" w:cs="Times New Roman"/>
                <w:color w:val="auto"/>
                <w:sz w:val="20"/>
                <w:szCs w:val="20"/>
                <w:lang w:val="es-US"/>
              </w:rPr>
              <w:lastRenderedPageBreak/>
              <w:t>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r w:rsidRPr="005B6C3E">
              <w:rPr>
                <w:rFonts w:ascii="Times New Roman" w:hAnsi="Times New Roman" w:cs="Times New Roman"/>
                <w:i/>
                <w:iCs/>
                <w:color w:val="auto"/>
                <w:sz w:val="20"/>
                <w:szCs w:val="20"/>
                <w:lang w:val="es-US"/>
              </w:rPr>
              <w:t>college</w:t>
            </w:r>
            <w:r>
              <w:rPr>
                <w:rFonts w:ascii="Times New Roman" w:hAnsi="Times New Roman" w:cs="Times New Roman"/>
                <w:color w:val="auto"/>
                <w:sz w:val="20"/>
                <w:szCs w:val="20"/>
                <w:lang w:val="es-US"/>
              </w:rPr>
              <w:t xml:space="preserve"> y </w:t>
            </w:r>
            <w:r w:rsidRPr="005B6C3E">
              <w:rPr>
                <w:rFonts w:ascii="Times New Roman" w:hAnsi="Times New Roman" w:cs="Times New Roman"/>
                <w:i/>
                <w:iCs/>
                <w:color w:val="auto"/>
                <w:sz w:val="20"/>
                <w:szCs w:val="20"/>
                <w:lang w:val="es-US"/>
              </w:rPr>
              <w:t>maxEducLevel</w:t>
            </w:r>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w:t>
            </w:r>
            <w:r>
              <w:rPr>
                <w:rFonts w:ascii="Times New Roman" w:hAnsi="Times New Roman" w:cs="Times New Roman"/>
                <w:color w:val="auto"/>
                <w:sz w:val="20"/>
                <w:szCs w:val="20"/>
                <w:lang w:val="es-US"/>
              </w:rPr>
              <w:lastRenderedPageBreak/>
              <w:t xml:space="preserve">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Varios estudios como </w:t>
            </w:r>
            <w:r w:rsidRPr="009D7326">
              <w:rPr>
                <w:rFonts w:ascii="Times New Roman" w:hAnsi="Times New Roman" w:cs="Times New Roman"/>
                <w:color w:val="auto"/>
                <w:sz w:val="20"/>
                <w:szCs w:val="20"/>
                <w:highlight w:val="yellow"/>
                <w:lang w:val="es-US"/>
              </w:rPr>
              <w:t>Michael Page (2022) y DANE (2020)</w:t>
            </w:r>
            <w:r>
              <w:rPr>
                <w:rFonts w:ascii="Times New Roman" w:hAnsi="Times New Roman" w:cs="Times New Roman"/>
                <w:color w:val="auto"/>
                <w:sz w:val="20"/>
                <w:szCs w:val="20"/>
                <w:lang w:val="es-US"/>
              </w:rPr>
              <w:t xml:space="preserve"> muestran cifras de salario por sector, ocupación y tamaño de la empresa (pequeña, mediana, grande). Al igual que en la justificación de la variable microEmpresa, el tamaño de una firma si puede influir en los salarios, pues refleja la solidez de la misma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w:t>
            </w:r>
            <w:r>
              <w:rPr>
                <w:rFonts w:ascii="Times New Roman" w:hAnsi="Times New Roman" w:cs="Times New Roman"/>
                <w:color w:val="auto"/>
                <w:sz w:val="20"/>
                <w:szCs w:val="20"/>
                <w:lang w:val="es-US"/>
              </w:rPr>
              <w:lastRenderedPageBreak/>
              <w:t>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w:t>
      </w:r>
      <w:proofErr w:type="gramStart"/>
      <w:r>
        <w:rPr>
          <w:rFonts w:ascii="Times New Roman" w:hAnsi="Times New Roman" w:cs="Times New Roman"/>
          <w:lang w:val="es-US"/>
        </w:rPr>
        <w:t>un data</w:t>
      </w:r>
      <w:proofErr w:type="gramEnd"/>
      <w:r>
        <w:rPr>
          <w:rFonts w:ascii="Times New Roman" w:hAnsi="Times New Roman" w:cs="Times New Roman"/>
          <w:lang w:val="es-US"/>
        </w:rPr>
        <w:t xml:space="preserve">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r>
        <w:fldChar w:fldCharType="begin"/>
      </w:r>
      <w:r>
        <w:instrText xml:space="preserve"> SEQ Tabla \* ARABIC </w:instrText>
      </w:r>
      <w:r>
        <w:fldChar w:fldCharType="separate"/>
      </w:r>
      <w:r>
        <w:rPr>
          <w:noProof/>
        </w:rPr>
        <w:t>2</w:t>
      </w:r>
      <w:r>
        <w:fldChar w:fldCharType="end"/>
      </w:r>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age</w:t>
            </w:r>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college</w:t>
            </w:r>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cuentaPropia</w:t>
            </w:r>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dsi</w:t>
            </w:r>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hoursWorkUsual</w:t>
            </w:r>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ingtotob</w:t>
            </w:r>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maxEducLevel</w:t>
            </w:r>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lastRenderedPageBreak/>
              <w:t>microEmpresa</w:t>
            </w:r>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ocu</w:t>
            </w:r>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relab</w:t>
            </w:r>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sizeFirm</w:t>
            </w:r>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y_bonificaciones_m</w:t>
            </w:r>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y_salarySec_m</w:t>
            </w:r>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y_ingLab_m_ha</w:t>
            </w:r>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w:t>
            </w:r>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y_total_m_ha</w:t>
            </w:r>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ocu,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r w:rsidRPr="00CA77D7">
        <w:rPr>
          <w:rFonts w:ascii="Times New Roman" w:hAnsi="Times New Roman" w:cs="Times New Roman"/>
          <w:i/>
          <w:iCs/>
          <w:lang w:val="es-US"/>
        </w:rPr>
        <w:t>y_bonificaciones_m, y_salarySec_m, y_ingLab_m_ha</w:t>
      </w:r>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microEmpresa, oficio, relab, sizeFirm </w:t>
      </w:r>
      <w:r>
        <w:rPr>
          <w:rFonts w:ascii="Times New Roman" w:hAnsi="Times New Roman" w:cs="Times New Roman"/>
          <w:lang w:val="es-US"/>
        </w:rPr>
        <w:t xml:space="preserve">y </w:t>
      </w:r>
      <w:r w:rsidRPr="00CA77D7">
        <w:rPr>
          <w:rFonts w:ascii="Times New Roman" w:hAnsi="Times New Roman" w:cs="Times New Roman"/>
          <w:i/>
          <w:iCs/>
          <w:lang w:val="es-US"/>
        </w:rPr>
        <w:t>hoursWorkUsual</w:t>
      </w:r>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r w:rsidRPr="00357973">
        <w:rPr>
          <w:rFonts w:ascii="Times New Roman" w:hAnsi="Times New Roman" w:cs="Times New Roman"/>
          <w:i/>
          <w:iCs/>
          <w:lang w:val="es-US"/>
        </w:rPr>
        <w:t>maxEducLeve</w:t>
      </w:r>
      <w:r w:rsidRPr="00631910">
        <w:rPr>
          <w:rFonts w:ascii="Times New Roman" w:hAnsi="Times New Roman" w:cs="Times New Roman"/>
          <w:lang w:val="es-US"/>
        </w:rPr>
        <w:t>l</w:t>
      </w:r>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r w:rsidRPr="00357973">
        <w:rPr>
          <w:rFonts w:ascii="Times New Roman" w:hAnsi="Times New Roman" w:cs="Times New Roman"/>
          <w:i/>
          <w:iCs/>
          <w:lang w:val="es-US"/>
        </w:rPr>
        <w:t>y_total_m_ha</w:t>
      </w:r>
      <w:r>
        <w:rPr>
          <w:rFonts w:ascii="Times New Roman" w:hAnsi="Times New Roman" w:cs="Times New Roman"/>
          <w:lang w:val="es-US"/>
        </w:rPr>
        <w:t xml:space="preserve">, los cuales eran 1.765 después de eliminar los 7.657 de las variables categóricas mencionadas en el párrafo anterior. Con esto, se obtuvo </w:t>
      </w:r>
      <w:proofErr w:type="gramStart"/>
      <w:r>
        <w:rPr>
          <w:rFonts w:ascii="Times New Roman" w:hAnsi="Times New Roman" w:cs="Times New Roman"/>
          <w:lang w:val="es-US"/>
        </w:rPr>
        <w:t>un data</w:t>
      </w:r>
      <w:proofErr w:type="gramEnd"/>
      <w:r>
        <w:rPr>
          <w:rFonts w:ascii="Times New Roman" w:hAnsi="Times New Roman" w:cs="Times New Roman"/>
          <w:lang w:val="es-US"/>
        </w:rPr>
        <w:t xml:space="preserve">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r>
        <w:fldChar w:fldCharType="begin"/>
      </w:r>
      <w:r>
        <w:instrText xml:space="preserve"> SEQ Tabla \* ARABIC </w:instrText>
      </w:r>
      <w:r>
        <w:fldChar w:fldCharType="separate"/>
      </w:r>
      <w:r>
        <w:rPr>
          <w:noProof/>
        </w:rPr>
        <w:t>3</w:t>
      </w:r>
      <w:r>
        <w:fldChar w:fldCharType="end"/>
      </w:r>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age</w:t>
            </w:r>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college</w:t>
            </w:r>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cuentaPropia</w:t>
            </w:r>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dsi</w:t>
            </w:r>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hoursWorkUsual</w:t>
            </w:r>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maxEducLevel</w:t>
            </w:r>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microEmpresa</w:t>
            </w:r>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ocu</w:t>
            </w:r>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lastRenderedPageBreak/>
              <w:t>relab</w:t>
            </w:r>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sizeFirm</w:t>
            </w:r>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w:t>
            </w:r>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y_total_m_ha</w:t>
            </w:r>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r>
        <w:fldChar w:fldCharType="begin"/>
      </w:r>
      <w:r>
        <w:instrText xml:space="preserve"> SEQ Tabla \* ARABIC </w:instrText>
      </w:r>
      <w:r>
        <w:fldChar w:fldCharType="separate"/>
      </w:r>
      <w:r>
        <w:rPr>
          <w:noProof/>
        </w:rPr>
        <w:t>4</w:t>
      </w:r>
      <w:r>
        <w:fldChar w:fldCharType="end"/>
      </w:r>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w:t>
      </w:r>
      <w:proofErr w:type="gramStart"/>
      <w:r>
        <w:rPr>
          <w:rFonts w:ascii="Times New Roman" w:hAnsi="Times New Roman" w:cs="Times New Roman"/>
          <w:lang w:val="es-US"/>
        </w:rPr>
        <w:t>un data</w:t>
      </w:r>
      <w:proofErr w:type="gramEnd"/>
      <w:r>
        <w:rPr>
          <w:rFonts w:ascii="Times New Roman" w:hAnsi="Times New Roman" w:cs="Times New Roman"/>
          <w:lang w:val="es-US"/>
        </w:rPr>
        <w:t xml:space="preserve">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la cual es el logaritmo natural de la variable de salario por hora seleccionada. Dadas las características de la variable sexo, donde 1 era hombre y 0 mujer, se realizó l</w:t>
      </w:r>
      <w:bookmarkStart w:id="0" w:name="_GoBack"/>
      <w:bookmarkEnd w:id="0"/>
      <w:r>
        <w:rPr>
          <w:rFonts w:ascii="Times New Roman" w:hAnsi="Times New Roman" w:cs="Times New Roman"/>
          <w:lang w:val="es-US"/>
        </w:rPr>
        <w:t xml:space="preserve">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65AE38B" w14:textId="77777777" w:rsidR="001967E5" w:rsidRPr="00D97910" w:rsidRDefault="001967E5" w:rsidP="00E27C13">
      <w:pPr>
        <w:rPr>
          <w:rFonts w:ascii="Times New Roman" w:hAnsi="Times New Roman" w:cs="Times New Roman"/>
          <w:lang w:val="es-US"/>
        </w:rPr>
      </w:pPr>
    </w:p>
    <w:p w14:paraId="13A22E5F" w14:textId="78C52795"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w:t>
      </w:r>
      <w:r w:rsidR="00EF5A8A">
        <w:rPr>
          <w:rFonts w:ascii="Times New Roman" w:hAnsi="Times New Roman" w:cs="Times New Roman"/>
          <w:b/>
          <w:bCs/>
          <w:lang w:val="es-US"/>
        </w:rPr>
        <w:t>–</w:t>
      </w:r>
      <w:r w:rsidR="00720CAA" w:rsidRPr="00D97910">
        <w:rPr>
          <w:rFonts w:ascii="Times New Roman" w:hAnsi="Times New Roman" w:cs="Times New Roman"/>
          <w:b/>
          <w:bCs/>
          <w:lang w:val="es-US"/>
        </w:rPr>
        <w:t xml:space="preserve"> </w:t>
      </w:r>
      <w:r w:rsidR="00720CAA" w:rsidRPr="00D97910">
        <w:rPr>
          <w:rFonts w:ascii="Times New Roman" w:hAnsi="Times New Roman" w:cs="Times New Roman"/>
          <w:b/>
          <w:bCs/>
          <w:color w:val="FF0000"/>
          <w:lang w:val="es-US"/>
        </w:rPr>
        <w:t>Javier</w:t>
      </w:r>
    </w:p>
    <w:p w14:paraId="7419BDBF"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Pr>
          <w:rStyle w:val="gnd-iwgdh3b"/>
          <w:rFonts w:ascii="Lucida Console" w:hAnsi="Lucida Console"/>
          <w:color w:val="000000"/>
          <w:sz w:val="16"/>
          <w:szCs w:val="16"/>
          <w:bdr w:val="none" w:sz="0" w:space="0" w:color="auto" w:frame="1"/>
        </w:rPr>
        <w:t xml:space="preserve">      age           </w:t>
      </w:r>
      <w:r w:rsidRPr="00EC6EFF">
        <w:rPr>
          <w:rStyle w:val="gnd-iwgdh3b"/>
          <w:rFonts w:ascii="Lucida Console" w:hAnsi="Lucida Console"/>
          <w:color w:val="000000"/>
          <w:sz w:val="16"/>
          <w:szCs w:val="16"/>
          <w:bdr w:val="none" w:sz="0" w:space="0" w:color="auto" w:frame="1"/>
        </w:rPr>
        <w:t xml:space="preserve">clase      </w:t>
      </w:r>
      <w:r>
        <w:rPr>
          <w:rStyle w:val="gnd-iwgdh3b"/>
          <w:rFonts w:ascii="Lucida Console" w:hAnsi="Lucida Console"/>
          <w:color w:val="000000"/>
          <w:sz w:val="16"/>
          <w:szCs w:val="16"/>
          <w:bdr w:val="none" w:sz="0" w:space="0" w:color="auto" w:frame="1"/>
        </w:rPr>
        <w:t xml:space="preserve"> </w:t>
      </w:r>
      <w:r w:rsidRPr="00EC6EFF">
        <w:rPr>
          <w:rStyle w:val="gnd-iwgdh3b"/>
          <w:rFonts w:ascii="Lucida Console" w:hAnsi="Lucida Console"/>
          <w:color w:val="000000"/>
          <w:sz w:val="16"/>
          <w:szCs w:val="16"/>
          <w:bdr w:val="none" w:sz="0" w:space="0" w:color="auto" w:frame="1"/>
        </w:rPr>
        <w:t>col</w:t>
      </w:r>
      <w:r>
        <w:rPr>
          <w:rStyle w:val="gnd-iwgdh3b"/>
          <w:rFonts w:ascii="Lucida Console" w:hAnsi="Lucida Console"/>
          <w:color w:val="000000"/>
          <w:sz w:val="16"/>
          <w:szCs w:val="16"/>
          <w:bdr w:val="none" w:sz="0" w:space="0" w:color="auto" w:frame="1"/>
        </w:rPr>
        <w:t xml:space="preserve">lege        cuentaPropia      </w:t>
      </w:r>
      <w:r w:rsidRPr="00EC6EFF">
        <w:rPr>
          <w:rStyle w:val="gnd-iwgdh3b"/>
          <w:rFonts w:ascii="Lucida Console" w:hAnsi="Lucida Console"/>
          <w:color w:val="000000"/>
          <w:sz w:val="16"/>
          <w:szCs w:val="16"/>
          <w:bdr w:val="none" w:sz="0" w:space="0" w:color="auto" w:frame="1"/>
        </w:rPr>
        <w:t xml:space="preserve"> dsi    </w:t>
      </w:r>
      <w:r>
        <w:rPr>
          <w:rStyle w:val="gnd-iwgdh3b"/>
          <w:rFonts w:ascii="Lucida Console" w:hAnsi="Lucida Console"/>
          <w:color w:val="000000"/>
          <w:sz w:val="16"/>
          <w:szCs w:val="16"/>
          <w:bdr w:val="none" w:sz="0" w:space="0" w:color="auto" w:frame="1"/>
        </w:rPr>
        <w:t xml:space="preserve"> </w:t>
      </w:r>
      <w:r w:rsidRPr="00EC6EFF">
        <w:rPr>
          <w:rStyle w:val="gnd-iwgdh3b"/>
          <w:rFonts w:ascii="Lucida Console" w:hAnsi="Lucida Console"/>
          <w:color w:val="000000"/>
          <w:sz w:val="16"/>
          <w:szCs w:val="16"/>
          <w:bdr w:val="none" w:sz="0" w:space="0" w:color="auto" w:frame="1"/>
        </w:rPr>
        <w:t>estrato</w:t>
      </w:r>
      <w:proofErr w:type="gramStart"/>
      <w:r w:rsidRPr="00EC6EFF">
        <w:rPr>
          <w:rStyle w:val="gnd-iwgdh3b"/>
          <w:rFonts w:ascii="Lucida Console" w:hAnsi="Lucida Console"/>
          <w:color w:val="000000"/>
          <w:sz w:val="16"/>
          <w:szCs w:val="16"/>
          <w:bdr w:val="none" w:sz="0" w:space="0" w:color="auto" w:frame="1"/>
        </w:rPr>
        <w:t xml:space="preserve">1 </w:t>
      </w:r>
      <w:r>
        <w:rPr>
          <w:rStyle w:val="gnd-iwgdh3b"/>
          <w:rFonts w:ascii="Lucida Console" w:hAnsi="Lucida Console"/>
          <w:color w:val="000000"/>
          <w:sz w:val="16"/>
          <w:szCs w:val="16"/>
          <w:bdr w:val="none" w:sz="0" w:space="0" w:color="auto" w:frame="1"/>
        </w:rPr>
        <w:t xml:space="preserve"> </w:t>
      </w:r>
      <w:r w:rsidRPr="00EC6EFF">
        <w:rPr>
          <w:rStyle w:val="gnd-iwgdh3b"/>
          <w:rFonts w:ascii="Lucida Console" w:hAnsi="Lucida Console"/>
          <w:color w:val="000000"/>
          <w:sz w:val="16"/>
          <w:szCs w:val="16"/>
          <w:bdr w:val="none" w:sz="0" w:space="0" w:color="auto" w:frame="1"/>
        </w:rPr>
        <w:t>hoursWorkUsual</w:t>
      </w:r>
      <w:proofErr w:type="gramEnd"/>
      <w:r w:rsidRPr="00EC6EFF">
        <w:rPr>
          <w:rStyle w:val="gnd-iwgdh3b"/>
          <w:rFonts w:ascii="Lucida Console" w:hAnsi="Lucida Console"/>
          <w:color w:val="000000"/>
          <w:sz w:val="16"/>
          <w:szCs w:val="16"/>
          <w:bdr w:val="none" w:sz="0" w:space="0" w:color="auto" w:frame="1"/>
        </w:rPr>
        <w:t xml:space="preserve">  </w:t>
      </w:r>
    </w:p>
    <w:p w14:paraId="1A9140E0"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Min.   :19.00   Min.   :1   Min.   :0.0000   Min.   :0.0000   Min.   :0   1:1591   </w:t>
      </w:r>
      <w:proofErr w:type="gramStart"/>
      <w:r w:rsidRPr="00EC6EFF">
        <w:rPr>
          <w:rStyle w:val="gnd-iwgdh3b"/>
          <w:rFonts w:ascii="Lucida Console" w:hAnsi="Lucida Console"/>
          <w:color w:val="000000"/>
          <w:sz w:val="16"/>
          <w:szCs w:val="16"/>
          <w:bdr w:val="none" w:sz="0" w:space="0" w:color="auto" w:frame="1"/>
        </w:rPr>
        <w:t xml:space="preserve">Min.   </w:t>
      </w:r>
      <w:proofErr w:type="gramEnd"/>
      <w:r w:rsidRPr="00EC6EFF">
        <w:rPr>
          <w:rStyle w:val="gnd-iwgdh3b"/>
          <w:rFonts w:ascii="Lucida Console" w:hAnsi="Lucida Console"/>
          <w:color w:val="000000"/>
          <w:sz w:val="16"/>
          <w:szCs w:val="16"/>
          <w:bdr w:val="none" w:sz="0" w:space="0" w:color="auto" w:frame="1"/>
        </w:rPr>
        <w:t xml:space="preserve">:  1.00  </w:t>
      </w:r>
    </w:p>
    <w:p w14:paraId="517287D9"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1st Qu.:28.00   1st Qu.:1   1st Qu.:0.0000   1st Qu.:0.0000   1st Qu.:0   2:6238   1st Qu.: 40.00  </w:t>
      </w:r>
    </w:p>
    <w:p w14:paraId="31D26BB2"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Median :37.00   Median :1   Median :0.0000   Median :0.0000   Median :0   3:5188   </w:t>
      </w:r>
      <w:proofErr w:type="gramStart"/>
      <w:r w:rsidRPr="00EC6EFF">
        <w:rPr>
          <w:rStyle w:val="gnd-iwgdh3b"/>
          <w:rFonts w:ascii="Lucida Console" w:hAnsi="Lucida Console"/>
          <w:color w:val="000000"/>
          <w:sz w:val="16"/>
          <w:szCs w:val="16"/>
          <w:bdr w:val="none" w:sz="0" w:space="0" w:color="auto" w:frame="1"/>
        </w:rPr>
        <w:t>Median :</w:t>
      </w:r>
      <w:proofErr w:type="gramEnd"/>
      <w:r w:rsidRPr="00EC6EFF">
        <w:rPr>
          <w:rStyle w:val="gnd-iwgdh3b"/>
          <w:rFonts w:ascii="Lucida Console" w:hAnsi="Lucida Console"/>
          <w:color w:val="000000"/>
          <w:sz w:val="16"/>
          <w:szCs w:val="16"/>
          <w:bdr w:val="none" w:sz="0" w:space="0" w:color="auto" w:frame="1"/>
        </w:rPr>
        <w:t xml:space="preserve"> 48.00  </w:t>
      </w:r>
    </w:p>
    <w:p w14:paraId="707A59A9"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Mean   :38.91   Mean   :1   Mean   :0.3317   Mean   :0.3004   Mean   :0   4: 871   Mean </w:t>
      </w:r>
      <w:proofErr w:type="gramStart"/>
      <w:r w:rsidRPr="00EC6EFF">
        <w:rPr>
          <w:rStyle w:val="gnd-iwgdh3b"/>
          <w:rFonts w:ascii="Lucida Console" w:hAnsi="Lucida Console"/>
          <w:color w:val="000000"/>
          <w:sz w:val="16"/>
          <w:szCs w:val="16"/>
          <w:bdr w:val="none" w:sz="0" w:space="0" w:color="auto" w:frame="1"/>
        </w:rPr>
        <w:t xml:space="preserve">  :</w:t>
      </w:r>
      <w:proofErr w:type="gramEnd"/>
      <w:r w:rsidRPr="00EC6EFF">
        <w:rPr>
          <w:rStyle w:val="gnd-iwgdh3b"/>
          <w:rFonts w:ascii="Lucida Console" w:hAnsi="Lucida Console"/>
          <w:color w:val="000000"/>
          <w:sz w:val="16"/>
          <w:szCs w:val="16"/>
          <w:bdr w:val="none" w:sz="0" w:space="0" w:color="auto" w:frame="1"/>
        </w:rPr>
        <w:t xml:space="preserve"> 47.41  </w:t>
      </w:r>
    </w:p>
    <w:p w14:paraId="20CEABF9"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3rd Qu.:49.00   3rd Qu.:1   3rd Qu.:1.0000   3rd Qu.:1.0000   3rd Qu.:0   5: 194   3rd Qu.: 50.00  </w:t>
      </w:r>
    </w:p>
    <w:p w14:paraId="33A8216F" w14:textId="77777777" w:rsidR="00EF5A8A" w:rsidRPr="00EC6EFF" w:rsidRDefault="00EF5A8A" w:rsidP="00EF5A8A">
      <w:pPr>
        <w:pStyle w:val="HTMLconformatoprevio"/>
        <w:shd w:val="clear" w:color="auto" w:fill="FFFFFF"/>
        <w:wordWrap w:val="0"/>
        <w:rPr>
          <w:rFonts w:ascii="Lucida Console" w:hAnsi="Lucida Console"/>
          <w:color w:val="000000"/>
          <w:sz w:val="16"/>
          <w:szCs w:val="16"/>
        </w:rPr>
      </w:pPr>
      <w:r w:rsidRPr="00EC6EFF">
        <w:rPr>
          <w:rStyle w:val="gnd-iwgdh3b"/>
          <w:rFonts w:ascii="Lucida Console" w:hAnsi="Lucida Console"/>
          <w:color w:val="000000"/>
          <w:sz w:val="16"/>
          <w:szCs w:val="16"/>
          <w:bdr w:val="none" w:sz="0" w:space="0" w:color="auto" w:frame="1"/>
        </w:rPr>
        <w:t xml:space="preserve"> Max.   :91.00   Max.   :1   Max.   :1.0000   Max.   :1.0000   Max.   :0   6: 204   Max.   :130.00 </w:t>
      </w:r>
    </w:p>
    <w:p w14:paraId="54177F15" w14:textId="77777777" w:rsidR="00EF5A8A"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r>
        <w:rPr>
          <w:rStyle w:val="gnd-iwgdh3b"/>
          <w:rFonts w:ascii="Lucida Console" w:hAnsi="Lucida Console"/>
          <w:color w:val="000000"/>
          <w:sz w:val="16"/>
          <w:bdr w:val="none" w:sz="0" w:space="0" w:color="auto" w:frame="1"/>
        </w:rPr>
        <w:t xml:space="preserve"> </w:t>
      </w:r>
    </w:p>
    <w:p w14:paraId="247327B7" w14:textId="77777777" w:rsidR="00EF5A8A"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p>
    <w:p w14:paraId="70C75E36" w14:textId="77777777" w:rsidR="00EF5A8A"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p>
    <w:p w14:paraId="2B762971" w14:textId="77777777" w:rsidR="00EF5A8A"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p>
    <w:p w14:paraId="6F209636"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Pr>
          <w:rStyle w:val="gnd-iwgdh3b"/>
          <w:rFonts w:ascii="Lucida Console" w:hAnsi="Lucida Console"/>
          <w:color w:val="000000"/>
          <w:sz w:val="16"/>
          <w:szCs w:val="16"/>
          <w:bdr w:val="none" w:sz="0" w:space="0" w:color="auto" w:frame="1"/>
        </w:rPr>
        <w:t xml:space="preserve">    informal    </w:t>
      </w:r>
      <w:r w:rsidRPr="00EC6EFF">
        <w:rPr>
          <w:rStyle w:val="gnd-iwgdh3b"/>
          <w:rFonts w:ascii="Lucida Console" w:hAnsi="Lucida Console"/>
          <w:color w:val="000000"/>
          <w:sz w:val="16"/>
          <w:szCs w:val="16"/>
          <w:bdr w:val="none" w:sz="0" w:space="0" w:color="auto" w:frame="1"/>
        </w:rPr>
        <w:t xml:space="preserve">maxEducLevel  </w:t>
      </w:r>
      <w:r>
        <w:rPr>
          <w:rStyle w:val="gnd-iwgdh3b"/>
          <w:rFonts w:ascii="Lucida Console" w:hAnsi="Lucida Console"/>
          <w:color w:val="000000"/>
          <w:sz w:val="16"/>
          <w:szCs w:val="16"/>
          <w:bdr w:val="none" w:sz="0" w:space="0" w:color="auto" w:frame="1"/>
        </w:rPr>
        <w:t xml:space="preserve">  </w:t>
      </w:r>
      <w:proofErr w:type="spellStart"/>
      <w:r>
        <w:rPr>
          <w:rStyle w:val="gnd-iwgdh3b"/>
          <w:rFonts w:ascii="Lucida Console" w:hAnsi="Lucida Console"/>
          <w:color w:val="000000"/>
          <w:sz w:val="16"/>
          <w:szCs w:val="16"/>
          <w:bdr w:val="none" w:sz="0" w:space="0" w:color="auto" w:frame="1"/>
        </w:rPr>
        <w:t>microEmpresa</w:t>
      </w:r>
      <w:proofErr w:type="spellEnd"/>
      <w:r>
        <w:rPr>
          <w:rStyle w:val="gnd-iwgdh3b"/>
          <w:rFonts w:ascii="Lucida Console" w:hAnsi="Lucida Console"/>
          <w:color w:val="000000"/>
          <w:sz w:val="16"/>
          <w:szCs w:val="16"/>
          <w:bdr w:val="none" w:sz="0" w:space="0" w:color="auto" w:frame="1"/>
        </w:rPr>
        <w:t xml:space="preserve">       </w:t>
      </w:r>
      <w:r w:rsidRPr="00EC6EFF">
        <w:rPr>
          <w:rStyle w:val="gnd-iwgdh3b"/>
          <w:rFonts w:ascii="Lucida Console" w:hAnsi="Lucida Console"/>
          <w:color w:val="000000"/>
          <w:sz w:val="16"/>
          <w:szCs w:val="16"/>
          <w:bdr w:val="none" w:sz="0" w:space="0" w:color="auto" w:frame="1"/>
        </w:rPr>
        <w:t xml:space="preserve">ocu        oficio     </w:t>
      </w:r>
      <w:r>
        <w:rPr>
          <w:rStyle w:val="gnd-iwgdh3b"/>
          <w:rFonts w:ascii="Lucida Console" w:hAnsi="Lucida Console"/>
          <w:color w:val="000000"/>
          <w:sz w:val="16"/>
          <w:szCs w:val="16"/>
          <w:bdr w:val="none" w:sz="0" w:space="0" w:color="auto" w:frame="1"/>
        </w:rPr>
        <w:t xml:space="preserve">  </w:t>
      </w:r>
      <w:proofErr w:type="spellStart"/>
      <w:r>
        <w:rPr>
          <w:rStyle w:val="gnd-iwgdh3b"/>
          <w:rFonts w:ascii="Lucida Console" w:hAnsi="Lucida Console"/>
          <w:color w:val="000000"/>
          <w:sz w:val="16"/>
          <w:szCs w:val="16"/>
          <w:bdr w:val="none" w:sz="0" w:space="0" w:color="auto" w:frame="1"/>
        </w:rPr>
        <w:t>relab</w:t>
      </w:r>
      <w:proofErr w:type="spellEnd"/>
      <w:r>
        <w:rPr>
          <w:rStyle w:val="gnd-iwgdh3b"/>
          <w:rFonts w:ascii="Lucida Console" w:hAnsi="Lucida Console"/>
          <w:color w:val="000000"/>
          <w:sz w:val="16"/>
          <w:szCs w:val="16"/>
          <w:bdr w:val="none" w:sz="0" w:space="0" w:color="auto" w:frame="1"/>
        </w:rPr>
        <w:t xml:space="preserve">         sex        </w:t>
      </w:r>
      <w:proofErr w:type="spellStart"/>
      <w:r w:rsidRPr="00EC6EFF">
        <w:rPr>
          <w:rStyle w:val="gnd-iwgdh3b"/>
          <w:rFonts w:ascii="Lucida Console" w:hAnsi="Lucida Console"/>
          <w:color w:val="000000"/>
          <w:sz w:val="16"/>
          <w:szCs w:val="16"/>
          <w:bdr w:val="none" w:sz="0" w:space="0" w:color="auto" w:frame="1"/>
        </w:rPr>
        <w:t>sizeFirm</w:t>
      </w:r>
      <w:proofErr w:type="spellEnd"/>
    </w:p>
    <w:p w14:paraId="502F7E5E"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Min.   :0.0000   1:  97       Min.   :0.0000   Min.   :1   45     :1464   1:8435   Min.   :0.0000   1:3474  </w:t>
      </w:r>
    </w:p>
    <w:p w14:paraId="490FB397"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lastRenderedPageBreak/>
        <w:t xml:space="preserve"> 1st Qu.:0.0000   3: 661       1st Qu.:0.0000   1st Qu.:1   39   </w:t>
      </w:r>
      <w:proofErr w:type="gramStart"/>
      <w:r w:rsidRPr="00EC6EFF">
        <w:rPr>
          <w:rStyle w:val="gnd-iwgdh3b"/>
          <w:rFonts w:ascii="Lucida Console" w:hAnsi="Lucida Console"/>
          <w:color w:val="000000"/>
          <w:sz w:val="16"/>
          <w:szCs w:val="16"/>
          <w:bdr w:val="none" w:sz="0" w:space="0" w:color="auto" w:frame="1"/>
        </w:rPr>
        <w:t xml:space="preserve">  :</w:t>
      </w:r>
      <w:proofErr w:type="gramEnd"/>
      <w:r w:rsidRPr="00EC6EFF">
        <w:rPr>
          <w:rStyle w:val="gnd-iwgdh3b"/>
          <w:rFonts w:ascii="Lucida Console" w:hAnsi="Lucida Console"/>
          <w:color w:val="000000"/>
          <w:sz w:val="16"/>
          <w:szCs w:val="16"/>
          <w:bdr w:val="none" w:sz="0" w:space="0" w:color="auto" w:frame="1"/>
        </w:rPr>
        <w:t xml:space="preserve"> 867   2: 543   1st Qu.:0.0000   2:2682  </w:t>
      </w:r>
    </w:p>
    <w:p w14:paraId="7A6980B8"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Median :0.0000   4:1342       Median :0.0000   Median :1   54   </w:t>
      </w:r>
      <w:proofErr w:type="gramStart"/>
      <w:r w:rsidRPr="00EC6EFF">
        <w:rPr>
          <w:rStyle w:val="gnd-iwgdh3b"/>
          <w:rFonts w:ascii="Lucida Console" w:hAnsi="Lucida Console"/>
          <w:color w:val="000000"/>
          <w:sz w:val="16"/>
          <w:szCs w:val="16"/>
          <w:bdr w:val="none" w:sz="0" w:space="0" w:color="auto" w:frame="1"/>
        </w:rPr>
        <w:t xml:space="preserve">  :</w:t>
      </w:r>
      <w:proofErr w:type="gramEnd"/>
      <w:r w:rsidRPr="00EC6EFF">
        <w:rPr>
          <w:rStyle w:val="gnd-iwgdh3b"/>
          <w:rFonts w:ascii="Lucida Console" w:hAnsi="Lucida Console"/>
          <w:color w:val="000000"/>
          <w:sz w:val="16"/>
          <w:szCs w:val="16"/>
          <w:bdr w:val="none" w:sz="0" w:space="0" w:color="auto" w:frame="1"/>
        </w:rPr>
        <w:t xml:space="preserve"> 748   3: 559   Median :1.0000   3:1004  </w:t>
      </w:r>
    </w:p>
    <w:p w14:paraId="3C7BFD05"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Mean   :0.4019   5:1707       Mean   :0.4309   Mean   :1   98   </w:t>
      </w:r>
      <w:proofErr w:type="gramStart"/>
      <w:r w:rsidRPr="00EC6EFF">
        <w:rPr>
          <w:rStyle w:val="gnd-iwgdh3b"/>
          <w:rFonts w:ascii="Lucida Console" w:hAnsi="Lucida Console"/>
          <w:color w:val="000000"/>
          <w:sz w:val="16"/>
          <w:szCs w:val="16"/>
          <w:bdr w:val="none" w:sz="0" w:space="0" w:color="auto" w:frame="1"/>
        </w:rPr>
        <w:t xml:space="preserve">  :</w:t>
      </w:r>
      <w:proofErr w:type="gramEnd"/>
      <w:r w:rsidRPr="00EC6EFF">
        <w:rPr>
          <w:rStyle w:val="gnd-iwgdh3b"/>
          <w:rFonts w:ascii="Lucida Console" w:hAnsi="Lucida Console"/>
          <w:color w:val="000000"/>
          <w:sz w:val="16"/>
          <w:szCs w:val="16"/>
          <w:bdr w:val="none" w:sz="0" w:space="0" w:color="auto" w:frame="1"/>
        </w:rPr>
        <w:t xml:space="preserve"> 745   4:4292   Mean   :0.5246   4:1829  </w:t>
      </w:r>
    </w:p>
    <w:p w14:paraId="7BA66B20"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3rd Qu.:1.0000   6:4739       3rd Qu.:1.0000   3rd Qu.:1   53   </w:t>
      </w:r>
      <w:proofErr w:type="gramStart"/>
      <w:r w:rsidRPr="00EC6EFF">
        <w:rPr>
          <w:rStyle w:val="gnd-iwgdh3b"/>
          <w:rFonts w:ascii="Lucida Console" w:hAnsi="Lucida Console"/>
          <w:color w:val="000000"/>
          <w:sz w:val="16"/>
          <w:szCs w:val="16"/>
          <w:bdr w:val="none" w:sz="0" w:space="0" w:color="auto" w:frame="1"/>
        </w:rPr>
        <w:t xml:space="preserve">  :</w:t>
      </w:r>
      <w:proofErr w:type="gramEnd"/>
      <w:r w:rsidRPr="00EC6EFF">
        <w:rPr>
          <w:rStyle w:val="gnd-iwgdh3b"/>
          <w:rFonts w:ascii="Lucida Console" w:hAnsi="Lucida Console"/>
          <w:color w:val="000000"/>
          <w:sz w:val="16"/>
          <w:szCs w:val="16"/>
          <w:bdr w:val="none" w:sz="0" w:space="0" w:color="auto" w:frame="1"/>
        </w:rPr>
        <w:t xml:space="preserve"> 622   5: 448   3rd Qu.:1.0000   5:5297  </w:t>
      </w:r>
    </w:p>
    <w:p w14:paraId="3A68A150"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C6EFF">
        <w:rPr>
          <w:rStyle w:val="gnd-iwgdh3b"/>
          <w:rFonts w:ascii="Lucida Console" w:hAnsi="Lucida Console"/>
          <w:color w:val="000000"/>
          <w:sz w:val="16"/>
          <w:szCs w:val="16"/>
          <w:bdr w:val="none" w:sz="0" w:space="0" w:color="auto" w:frame="1"/>
        </w:rPr>
        <w:t xml:space="preserve"> Max.   :1.0000   7:5740       Max.   :1.0000   Max.   :1   58   </w:t>
      </w:r>
      <w:proofErr w:type="gramStart"/>
      <w:r w:rsidRPr="00EC6EFF">
        <w:rPr>
          <w:rStyle w:val="gnd-iwgdh3b"/>
          <w:rFonts w:ascii="Lucida Console" w:hAnsi="Lucida Console"/>
          <w:color w:val="000000"/>
          <w:sz w:val="16"/>
          <w:szCs w:val="16"/>
          <w:bdr w:val="none" w:sz="0" w:space="0" w:color="auto" w:frame="1"/>
        </w:rPr>
        <w:t xml:space="preserve">  :</w:t>
      </w:r>
      <w:proofErr w:type="gramEnd"/>
      <w:r w:rsidRPr="00EC6EFF">
        <w:rPr>
          <w:rStyle w:val="gnd-iwgdh3b"/>
          <w:rFonts w:ascii="Lucida Console" w:hAnsi="Lucida Console"/>
          <w:color w:val="000000"/>
          <w:sz w:val="16"/>
          <w:szCs w:val="16"/>
          <w:bdr w:val="none" w:sz="0" w:space="0" w:color="auto" w:frame="1"/>
        </w:rPr>
        <w:t xml:space="preserve"> 613   8:   1   Max.   :1.0000           </w:t>
      </w:r>
    </w:p>
    <w:p w14:paraId="5B01491C" w14:textId="77777777" w:rsidR="00EF5A8A" w:rsidRPr="00EC6EFF" w:rsidRDefault="00EF5A8A" w:rsidP="00EF5A8A">
      <w:pPr>
        <w:pStyle w:val="HTMLconformatoprevio"/>
        <w:shd w:val="clear" w:color="auto" w:fill="FFFFFF"/>
        <w:wordWrap w:val="0"/>
        <w:rPr>
          <w:rFonts w:ascii="Lucida Console" w:hAnsi="Lucida Console"/>
          <w:color w:val="000000"/>
          <w:sz w:val="16"/>
          <w:szCs w:val="16"/>
        </w:rPr>
      </w:pPr>
      <w:r w:rsidRPr="00EC6EFF">
        <w:rPr>
          <w:rStyle w:val="gnd-iwgdh3b"/>
          <w:rFonts w:ascii="Lucida Console" w:hAnsi="Lucida Console"/>
          <w:color w:val="000000"/>
          <w:sz w:val="16"/>
          <w:szCs w:val="16"/>
          <w:bdr w:val="none" w:sz="0" w:space="0" w:color="auto" w:frame="1"/>
        </w:rPr>
        <w:t xml:space="preserve">                                                            (Other):9227   9:   8                            </w:t>
      </w:r>
    </w:p>
    <w:p w14:paraId="5B5EA936"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szCs w:val="16"/>
          <w:bdr w:val="none" w:sz="0" w:space="0" w:color="auto" w:frame="1"/>
        </w:rPr>
      </w:pPr>
    </w:p>
    <w:p w14:paraId="598E67FD" w14:textId="77777777" w:rsidR="00EF5A8A"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p>
    <w:p w14:paraId="473839EA" w14:textId="77777777" w:rsidR="00EF5A8A"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p>
    <w:p w14:paraId="53129A27" w14:textId="77777777" w:rsidR="00EF5A8A"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p>
    <w:p w14:paraId="0BB0A356"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r>
        <w:rPr>
          <w:rStyle w:val="gnd-iwgdh3b"/>
          <w:rFonts w:ascii="Lucida Console" w:hAnsi="Lucida Console"/>
          <w:color w:val="000000"/>
          <w:sz w:val="16"/>
          <w:bdr w:val="none" w:sz="0" w:space="0" w:color="auto" w:frame="1"/>
        </w:rPr>
        <w:t xml:space="preserve">    y_total_m        </w:t>
      </w:r>
      <w:r w:rsidRPr="00EC6EFF">
        <w:rPr>
          <w:rStyle w:val="gnd-iwgdh3b"/>
          <w:rFonts w:ascii="Lucida Console" w:hAnsi="Lucida Console"/>
          <w:color w:val="000000"/>
          <w:sz w:val="16"/>
          <w:bdr w:val="none" w:sz="0" w:space="0" w:color="auto" w:frame="1"/>
        </w:rPr>
        <w:t xml:space="preserve">y_total_m_ha        log_wageh           female            age2     </w:t>
      </w:r>
    </w:p>
    <w:p w14:paraId="1276D391"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r w:rsidRPr="00EC6EFF">
        <w:rPr>
          <w:rStyle w:val="gnd-iwgdh3b"/>
          <w:rFonts w:ascii="Lucida Console" w:hAnsi="Lucida Console"/>
          <w:color w:val="000000"/>
          <w:sz w:val="16"/>
          <w:bdr w:val="none" w:sz="0" w:space="0" w:color="auto" w:frame="1"/>
        </w:rPr>
        <w:t xml:space="preserve"> </w:t>
      </w:r>
      <w:proofErr w:type="gramStart"/>
      <w:r w:rsidRPr="00EC6EFF">
        <w:rPr>
          <w:rStyle w:val="gnd-iwgdh3b"/>
          <w:rFonts w:ascii="Lucida Console" w:hAnsi="Lucida Console"/>
          <w:color w:val="000000"/>
          <w:sz w:val="16"/>
          <w:bdr w:val="none" w:sz="0" w:space="0" w:color="auto" w:frame="1"/>
        </w:rPr>
        <w:t xml:space="preserve">Min.   </w:t>
      </w:r>
      <w:proofErr w:type="gramEnd"/>
      <w:r w:rsidRPr="00EC6EFF">
        <w:rPr>
          <w:rStyle w:val="gnd-iwgdh3b"/>
          <w:rFonts w:ascii="Lucida Console" w:hAnsi="Lucida Console"/>
          <w:color w:val="000000"/>
          <w:sz w:val="16"/>
          <w:bdr w:val="none" w:sz="0" w:space="0" w:color="auto" w:frame="1"/>
        </w:rPr>
        <w:t xml:space="preserve">:      84   Min.   :    0.47   Min.   </w:t>
      </w:r>
      <w:proofErr w:type="gramStart"/>
      <w:r w:rsidRPr="00EC6EFF">
        <w:rPr>
          <w:rStyle w:val="gnd-iwgdh3b"/>
          <w:rFonts w:ascii="Lucida Console" w:hAnsi="Lucida Console"/>
          <w:color w:val="000000"/>
          <w:sz w:val="16"/>
          <w:bdr w:val="none" w:sz="0" w:space="0" w:color="auto" w:frame="1"/>
        </w:rPr>
        <w:t>:-</w:t>
      </w:r>
      <w:proofErr w:type="gramEnd"/>
      <w:r w:rsidRPr="00EC6EFF">
        <w:rPr>
          <w:rStyle w:val="gnd-iwgdh3b"/>
          <w:rFonts w:ascii="Lucida Console" w:hAnsi="Lucida Console"/>
          <w:color w:val="000000"/>
          <w:sz w:val="16"/>
          <w:bdr w:val="none" w:sz="0" w:space="0" w:color="auto" w:frame="1"/>
        </w:rPr>
        <w:t xml:space="preserve">0.7518   Min.   :0.0000   </w:t>
      </w:r>
      <w:proofErr w:type="gramStart"/>
      <w:r w:rsidRPr="00EC6EFF">
        <w:rPr>
          <w:rStyle w:val="gnd-iwgdh3b"/>
          <w:rFonts w:ascii="Lucida Console" w:hAnsi="Lucida Console"/>
          <w:color w:val="000000"/>
          <w:sz w:val="16"/>
          <w:bdr w:val="none" w:sz="0" w:space="0" w:color="auto" w:frame="1"/>
        </w:rPr>
        <w:t xml:space="preserve">Min.   </w:t>
      </w:r>
      <w:proofErr w:type="gramEnd"/>
      <w:r w:rsidRPr="00EC6EFF">
        <w:rPr>
          <w:rStyle w:val="gnd-iwgdh3b"/>
          <w:rFonts w:ascii="Lucida Console" w:hAnsi="Lucida Console"/>
          <w:color w:val="000000"/>
          <w:sz w:val="16"/>
          <w:bdr w:val="none" w:sz="0" w:space="0" w:color="auto" w:frame="1"/>
        </w:rPr>
        <w:t xml:space="preserve">: 361  </w:t>
      </w:r>
    </w:p>
    <w:p w14:paraId="739F136D"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r w:rsidRPr="00EC6EFF">
        <w:rPr>
          <w:rStyle w:val="gnd-iwgdh3b"/>
          <w:rFonts w:ascii="Lucida Console" w:hAnsi="Lucida Console"/>
          <w:color w:val="000000"/>
          <w:sz w:val="16"/>
          <w:bdr w:val="none" w:sz="0" w:space="0" w:color="auto" w:frame="1"/>
        </w:rPr>
        <w:t xml:space="preserve"> 1st Qu.:  800000   1st Qu.: 3750.00   1st Qu.: 8.2295   1st Qu.:0.0000   1st Qu.: 784  </w:t>
      </w:r>
    </w:p>
    <w:p w14:paraId="38B92DD1"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r w:rsidRPr="00EC6EFF">
        <w:rPr>
          <w:rStyle w:val="gnd-iwgdh3b"/>
          <w:rFonts w:ascii="Lucida Console" w:hAnsi="Lucida Console"/>
          <w:color w:val="000000"/>
          <w:sz w:val="16"/>
          <w:bdr w:val="none" w:sz="0" w:space="0" w:color="auto" w:frame="1"/>
        </w:rPr>
        <w:t xml:space="preserve"> </w:t>
      </w:r>
      <w:proofErr w:type="gramStart"/>
      <w:r w:rsidRPr="00EC6EFF">
        <w:rPr>
          <w:rStyle w:val="gnd-iwgdh3b"/>
          <w:rFonts w:ascii="Lucida Console" w:hAnsi="Lucida Console"/>
          <w:color w:val="000000"/>
          <w:sz w:val="16"/>
          <w:bdr w:val="none" w:sz="0" w:space="0" w:color="auto" w:frame="1"/>
        </w:rPr>
        <w:t>Median :</w:t>
      </w:r>
      <w:proofErr w:type="gramEnd"/>
      <w:r w:rsidRPr="00EC6EFF">
        <w:rPr>
          <w:rStyle w:val="gnd-iwgdh3b"/>
          <w:rFonts w:ascii="Lucida Console" w:hAnsi="Lucida Console"/>
          <w:color w:val="000000"/>
          <w:sz w:val="16"/>
          <w:bdr w:val="none" w:sz="0" w:space="0" w:color="auto" w:frame="1"/>
        </w:rPr>
        <w:t xml:space="preserve">  983333   Median : 4783.44   Median : 8.4729   Median :0.0000   Median :1369  </w:t>
      </w:r>
    </w:p>
    <w:p w14:paraId="331F7016"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r w:rsidRPr="00EC6EFF">
        <w:rPr>
          <w:rStyle w:val="gnd-iwgdh3b"/>
          <w:rFonts w:ascii="Lucida Console" w:hAnsi="Lucida Console"/>
          <w:color w:val="000000"/>
          <w:sz w:val="16"/>
          <w:bdr w:val="none" w:sz="0" w:space="0" w:color="auto" w:frame="1"/>
        </w:rPr>
        <w:t xml:space="preserve"> Mean </w:t>
      </w:r>
      <w:proofErr w:type="gramStart"/>
      <w:r w:rsidRPr="00EC6EFF">
        <w:rPr>
          <w:rStyle w:val="gnd-iwgdh3b"/>
          <w:rFonts w:ascii="Lucida Console" w:hAnsi="Lucida Console"/>
          <w:color w:val="000000"/>
          <w:sz w:val="16"/>
          <w:bdr w:val="none" w:sz="0" w:space="0" w:color="auto" w:frame="1"/>
        </w:rPr>
        <w:t xml:space="preserve">  :</w:t>
      </w:r>
      <w:proofErr w:type="gramEnd"/>
      <w:r w:rsidRPr="00EC6EFF">
        <w:rPr>
          <w:rStyle w:val="gnd-iwgdh3b"/>
          <w:rFonts w:ascii="Lucida Console" w:hAnsi="Lucida Console"/>
          <w:color w:val="000000"/>
          <w:sz w:val="16"/>
          <w:bdr w:val="none" w:sz="0" w:space="0" w:color="auto" w:frame="1"/>
        </w:rPr>
        <w:t xml:space="preserve"> 1364028   Mean   : 6993.11   Mean   : 8.5691   Mean   :0.4754   Mean   :1685  </w:t>
      </w:r>
    </w:p>
    <w:p w14:paraId="581BC891" w14:textId="77777777" w:rsidR="00EF5A8A" w:rsidRPr="00EC6EFF" w:rsidRDefault="00EF5A8A" w:rsidP="00EF5A8A">
      <w:pPr>
        <w:pStyle w:val="HTMLconformatoprevio"/>
        <w:shd w:val="clear" w:color="auto" w:fill="FFFFFF"/>
        <w:wordWrap w:val="0"/>
        <w:rPr>
          <w:rStyle w:val="gnd-iwgdh3b"/>
          <w:rFonts w:ascii="Lucida Console" w:hAnsi="Lucida Console"/>
          <w:color w:val="000000"/>
          <w:sz w:val="16"/>
          <w:bdr w:val="none" w:sz="0" w:space="0" w:color="auto" w:frame="1"/>
        </w:rPr>
      </w:pPr>
      <w:r w:rsidRPr="00EC6EFF">
        <w:rPr>
          <w:rStyle w:val="gnd-iwgdh3b"/>
          <w:rFonts w:ascii="Lucida Console" w:hAnsi="Lucida Console"/>
          <w:color w:val="000000"/>
          <w:sz w:val="16"/>
          <w:bdr w:val="none" w:sz="0" w:space="0" w:color="auto" w:frame="1"/>
        </w:rPr>
        <w:t xml:space="preserve"> 3rd Qu.: 1500000   3rd Qu.: 7583.33   3rd Qu.: 8.9337   3rd Qu.:1.0000   3rd Qu.:2401  </w:t>
      </w:r>
    </w:p>
    <w:p w14:paraId="3CEA54F1" w14:textId="77777777" w:rsidR="00EF5A8A" w:rsidRPr="00EC6EFF" w:rsidRDefault="00EF5A8A" w:rsidP="00EF5A8A">
      <w:pPr>
        <w:pStyle w:val="HTMLconformatoprevio"/>
        <w:shd w:val="clear" w:color="auto" w:fill="FFFFFF"/>
        <w:wordWrap w:val="0"/>
        <w:rPr>
          <w:rFonts w:ascii="Lucida Console" w:hAnsi="Lucida Console"/>
          <w:color w:val="000000"/>
          <w:sz w:val="16"/>
        </w:rPr>
      </w:pPr>
      <w:r w:rsidRPr="00EC6EFF">
        <w:rPr>
          <w:rStyle w:val="gnd-iwgdh3b"/>
          <w:rFonts w:ascii="Lucida Console" w:hAnsi="Lucida Console"/>
          <w:color w:val="000000"/>
          <w:sz w:val="16"/>
          <w:bdr w:val="none" w:sz="0" w:space="0" w:color="auto" w:frame="1"/>
        </w:rPr>
        <w:t xml:space="preserve"> Max.   :16000000   Max.   :41481.48   Max.   :10.6330   Max.   :1.0000   Max.   :8281</w:t>
      </w:r>
    </w:p>
    <w:p w14:paraId="14D50366" w14:textId="77777777" w:rsidR="00EF5A8A" w:rsidRPr="00D97910" w:rsidRDefault="00EF5A8A" w:rsidP="00E27C13">
      <w:pPr>
        <w:rPr>
          <w:rFonts w:ascii="Times New Roman" w:hAnsi="Times New Roman" w:cs="Times New Roman"/>
          <w:b/>
          <w:bCs/>
          <w:lang w:val="es-US"/>
        </w:rPr>
      </w:pP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de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974CDE"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974CDE"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974CDE"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974CDE"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974CDE"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974CDE"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m:t>
                </m:r>
                <m:r>
                  <w:rPr>
                    <w:rFonts w:ascii="Cambria Math" w:hAnsi="Cambria Math"/>
                    <w:sz w:val="18"/>
                    <w:szCs w:val="18"/>
                  </w:rPr>
                  <m:t>ale</m:t>
                </m:r>
                <m:r>
                  <w:rPr>
                    <w:rFonts w:ascii="Cambria Math" w:hAnsi="Cambria Math"/>
                    <w:sz w:val="18"/>
                    <w:szCs w:val="18"/>
                  </w:rPr>
                  <m:t>∙</m:t>
                </m:r>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974CDE"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974CDE"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974CDE"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m:t>
                </m:r>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lastRenderedPageBreak/>
              <w:t>Modelo 10</w:t>
            </w:r>
          </w:p>
        </w:tc>
        <w:tc>
          <w:tcPr>
            <w:tcW w:w="7557" w:type="dxa"/>
          </w:tcPr>
          <w:p w14:paraId="7758CC23" w14:textId="77777777" w:rsidR="00F3742F" w:rsidRDefault="00974CDE"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Xλ</m:t>
                </m:r>
                <m:r>
                  <w:rPr>
                    <w:rFonts w:ascii="Cambria Math" w:hAnsi="Cambria Math"/>
                    <w:sz w:val="18"/>
                    <w:szCs w:val="18"/>
                  </w:rPr>
                  <m:t>+</m:t>
                </m:r>
                <m:r>
                  <w:rPr>
                    <w:rFonts w:ascii="Cambria Math" w:hAnsi="Cambria Math"/>
                    <w:sz w:val="18"/>
                    <w:szCs w:val="18"/>
                  </w:rPr>
                  <m:t>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lang w:eastAsia="es-CO"/>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r w:rsidR="00974CDE">
        <w:rPr>
          <w:noProof/>
        </w:rPr>
        <w:fldChar w:fldCharType="begin"/>
      </w:r>
      <w:r w:rsidR="00974CDE">
        <w:rPr>
          <w:noProof/>
        </w:rPr>
        <w:instrText xml:space="preserve"> SEQ Figura \* ARABIC </w:instrText>
      </w:r>
      <w:r w:rsidR="00974CDE">
        <w:rPr>
          <w:noProof/>
        </w:rPr>
        <w:fldChar w:fldCharType="separate"/>
      </w:r>
      <w:r>
        <w:rPr>
          <w:noProof/>
        </w:rPr>
        <w:t>1</w:t>
      </w:r>
      <w:r w:rsidR="00974CDE">
        <w:rPr>
          <w:noProof/>
        </w:rPr>
        <w:fldChar w:fldCharType="end"/>
      </w:r>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informal, maxEducLevel, sizeFirm, relab</w:t>
      </w:r>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r w:rsidRPr="009739CB">
        <w:rPr>
          <w:rFonts w:ascii="Times New Roman" w:hAnsi="Times New Roman" w:cs="Times New Roman"/>
          <w:i/>
          <w:iCs/>
        </w:rPr>
        <w:t xml:space="preserve">female, </w:t>
      </w:r>
      <w:r w:rsidRPr="00804217">
        <w:rPr>
          <w:rFonts w:ascii="Times New Roman" w:hAnsi="Times New Roman" w:cs="Times New Roman"/>
          <w:i/>
          <w:iCs/>
        </w:rPr>
        <w:t xml:space="preserve">informal, maxEducLevel,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relab</w:t>
      </w:r>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lang w:eastAsia="es-CO"/>
        </w:rPr>
        <w:lastRenderedPageBreak/>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r w:rsidR="00974CDE">
        <w:rPr>
          <w:noProof/>
        </w:rPr>
        <w:fldChar w:fldCharType="begin"/>
      </w:r>
      <w:r w:rsidR="00974CDE">
        <w:rPr>
          <w:noProof/>
        </w:rPr>
        <w:instrText xml:space="preserve"> SEQ Figura \* ARABIC </w:instrText>
      </w:r>
      <w:r w:rsidR="00974CDE">
        <w:rPr>
          <w:noProof/>
        </w:rPr>
        <w:fldChar w:fldCharType="separate"/>
      </w:r>
      <w:r>
        <w:rPr>
          <w:noProof/>
        </w:rPr>
        <w:t>2</w:t>
      </w:r>
      <w:r w:rsidR="00974CDE">
        <w:rPr>
          <w:noProof/>
        </w:rPr>
        <w:fldChar w:fldCharType="end"/>
      </w:r>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lang w:eastAsia="es-CO"/>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r w:rsidR="00974CDE">
        <w:rPr>
          <w:noProof/>
        </w:rPr>
        <w:fldChar w:fldCharType="begin"/>
      </w:r>
      <w:r w:rsidR="00974CDE">
        <w:rPr>
          <w:noProof/>
        </w:rPr>
        <w:instrText xml:space="preserve"> SEQ Figura \* ARABIC </w:instrText>
      </w:r>
      <w:r w:rsidR="00974CDE">
        <w:rPr>
          <w:noProof/>
        </w:rPr>
        <w:fldChar w:fldCharType="separate"/>
      </w:r>
      <w:r>
        <w:rPr>
          <w:noProof/>
        </w:rPr>
        <w:t>3</w:t>
      </w:r>
      <w:r w:rsidR="00974CDE">
        <w:rPr>
          <w:noProof/>
        </w:rPr>
        <w:fldChar w:fldCharType="end"/>
      </w:r>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lastRenderedPageBreak/>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A2BDB" w14:textId="77777777" w:rsidR="00974CDE" w:rsidRDefault="00974CDE" w:rsidP="00E82939">
      <w:pPr>
        <w:spacing w:after="0" w:line="240" w:lineRule="auto"/>
      </w:pPr>
      <w:r>
        <w:separator/>
      </w:r>
    </w:p>
  </w:endnote>
  <w:endnote w:type="continuationSeparator" w:id="0">
    <w:p w14:paraId="52678CF3" w14:textId="77777777" w:rsidR="00974CDE" w:rsidRDefault="00974CDE"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A152B" w14:textId="77777777" w:rsidR="00974CDE" w:rsidRDefault="00974CDE" w:rsidP="00E82939">
      <w:pPr>
        <w:spacing w:after="0" w:line="240" w:lineRule="auto"/>
      </w:pPr>
      <w:r>
        <w:separator/>
      </w:r>
    </w:p>
  </w:footnote>
  <w:footnote w:type="continuationSeparator" w:id="0">
    <w:p w14:paraId="0AFEA41E" w14:textId="77777777" w:rsidR="00974CDE" w:rsidRDefault="00974CDE"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maxEducLevel, sizeFirm,</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relab</w:t>
      </w:r>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241B"/>
    <w:rsid w:val="0045418D"/>
    <w:rsid w:val="00476883"/>
    <w:rsid w:val="004D0EBA"/>
    <w:rsid w:val="004D746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6394"/>
    <w:rsid w:val="00860490"/>
    <w:rsid w:val="008E53C8"/>
    <w:rsid w:val="00941BA1"/>
    <w:rsid w:val="009547E7"/>
    <w:rsid w:val="00974CDE"/>
    <w:rsid w:val="009820D9"/>
    <w:rsid w:val="009C51A6"/>
    <w:rsid w:val="009D0B66"/>
    <w:rsid w:val="009F1339"/>
    <w:rsid w:val="00A26A92"/>
    <w:rsid w:val="00A37B82"/>
    <w:rsid w:val="00A37C14"/>
    <w:rsid w:val="00A55293"/>
    <w:rsid w:val="00A62936"/>
    <w:rsid w:val="00A63422"/>
    <w:rsid w:val="00A67BA6"/>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EF5A8A"/>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customStyle="1" w:styleId="UnresolvedMention">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de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paragraph" w:styleId="HTMLconformatoprevio">
    <w:name w:val="HTML Preformatted"/>
    <w:basedOn w:val="Normal"/>
    <w:link w:val="HTMLconformatoprevioCar"/>
    <w:uiPriority w:val="99"/>
    <w:semiHidden/>
    <w:unhideWhenUsed/>
    <w:rsid w:val="00EF5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EF5A8A"/>
    <w:rPr>
      <w:rFonts w:ascii="Courier New" w:eastAsia="Times New Roman" w:hAnsi="Courier New" w:cs="Courier New"/>
      <w:kern w:val="0"/>
      <w:sz w:val="20"/>
      <w:szCs w:val="20"/>
      <w:lang w:eastAsia="es-CO"/>
      <w14:ligatures w14:val="none"/>
    </w:rPr>
  </w:style>
  <w:style w:type="character" w:customStyle="1" w:styleId="gnd-iwgdh3b">
    <w:name w:val="gnd-iwgdh3b"/>
    <w:basedOn w:val="Fuentedeprrafopredeter"/>
    <w:rsid w:val="00EF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15</Pages>
  <Words>5315</Words>
  <Characters>29233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Javier</cp:lastModifiedBy>
  <cp:revision>146</cp:revision>
  <dcterms:created xsi:type="dcterms:W3CDTF">2023-09-04T20:08:00Z</dcterms:created>
  <dcterms:modified xsi:type="dcterms:W3CDTF">2023-09-18T06:24:00Z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