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2F86" w14:textId="5D7D06AF" w:rsidR="004A3907" w:rsidRDefault="004A3907" w:rsidP="00434740">
      <w:pPr>
        <w:spacing w:line="240" w:lineRule="auto"/>
        <w:rPr>
          <w:b/>
        </w:rPr>
      </w:pPr>
      <w:commentRangeStart w:id="0"/>
      <w:r>
        <w:rPr>
          <w:b/>
        </w:rPr>
        <w:t>DRAFT text for web version of National Opportunity Industries report</w:t>
      </w:r>
      <w:commentRangeEnd w:id="0"/>
      <w:r w:rsidR="00983C7D">
        <w:rPr>
          <w:rStyle w:val="CommentReference"/>
        </w:rPr>
        <w:commentReference w:id="0"/>
      </w:r>
    </w:p>
    <w:p w14:paraId="4D59F41F" w14:textId="77777777" w:rsidR="004A3907" w:rsidRDefault="004A3907" w:rsidP="00434740">
      <w:pPr>
        <w:spacing w:line="240" w:lineRule="auto"/>
        <w:rPr>
          <w:b/>
        </w:rPr>
      </w:pPr>
    </w:p>
    <w:p w14:paraId="77AAD5E4" w14:textId="77777777" w:rsidR="00434740" w:rsidRPr="00F7678C" w:rsidRDefault="00434740" w:rsidP="00434740">
      <w:pPr>
        <w:spacing w:line="240" w:lineRule="auto"/>
      </w:pPr>
      <w:r>
        <w:t>In recent decades, technological change and the global integration it enables have been rapidly reshaping the U.S. economy. These forces have improved the potential of some individuals to thrive, but diminished prospects for others striving to reach or maintain their place in the American middle class. Amid these changes, how and where will individuals find durable sources of good jobs?</w:t>
      </w:r>
    </w:p>
    <w:p w14:paraId="6FDC8BA7" w14:textId="77777777" w:rsidR="00434740" w:rsidRDefault="00434740" w:rsidP="00434740">
      <w:pPr>
        <w:spacing w:line="240" w:lineRule="auto"/>
      </w:pPr>
      <w:r>
        <w:t xml:space="preserve">Certainly, education is an important part of the picture, particularly for enabling upward mobility among young people. But tens of millions of adults who are already a critical part of the American workforce also deserve a </w:t>
      </w:r>
      <w:r w:rsidR="00014C5E">
        <w:t>chance to obtain</w:t>
      </w:r>
      <w:r>
        <w:t xml:space="preserve"> better jobs, with higher pay and benefits.</w:t>
      </w:r>
    </w:p>
    <w:p w14:paraId="7AE6815F" w14:textId="18702D36" w:rsidR="006D1D18" w:rsidRDefault="00434740" w:rsidP="00F50AD3">
      <w:pPr>
        <w:spacing w:line="240" w:lineRule="auto"/>
      </w:pPr>
      <w:r>
        <w:t xml:space="preserve">This report shows that </w:t>
      </w:r>
      <w:r w:rsidR="004E540C" w:rsidRPr="004A0EEB">
        <w:rPr>
          <w:i/>
        </w:rPr>
        <w:t>how</w:t>
      </w:r>
      <w:r>
        <w:t xml:space="preserve"> metropolitan economies</w:t>
      </w:r>
      <w:r w:rsidR="004E540C">
        <w:t xml:space="preserve"> are structured</w:t>
      </w:r>
      <w:r>
        <w:t xml:space="preserve">—in particular, whether they offer </w:t>
      </w:r>
      <w:proofErr w:type="gramStart"/>
      <w:r>
        <w:t>sufficient</w:t>
      </w:r>
      <w:proofErr w:type="gramEnd"/>
      <w:r>
        <w:t xml:space="preserve"> numbers of jobs in </w:t>
      </w:r>
      <w:r>
        <w:rPr>
          <w:i/>
        </w:rPr>
        <w:t>o</w:t>
      </w:r>
      <w:r w:rsidRPr="007828F3">
        <w:rPr>
          <w:i/>
        </w:rPr>
        <w:t xml:space="preserve">pportunity </w:t>
      </w:r>
      <w:r>
        <w:rPr>
          <w:i/>
        </w:rPr>
        <w:t>i</w:t>
      </w:r>
      <w:r w:rsidRPr="007828F3">
        <w:rPr>
          <w:i/>
        </w:rPr>
        <w:t>ndustries</w:t>
      </w:r>
      <w:r>
        <w:t>—matter</w:t>
      </w:r>
      <w:r w:rsidR="004E540C">
        <w:t>s</w:t>
      </w:r>
      <w:r>
        <w:t xml:space="preserve"> greatly for workers’ ability to get ahead economically. </w:t>
      </w:r>
      <w:r w:rsidR="00F50AD3">
        <w:t xml:space="preserve">It examines the presence of occupations and industries in the nation’s 100 largest metropolitan areas that either currently or over time provide workers access to stable middle-class wages and benefits, particularly for individuals </w:t>
      </w:r>
      <w:r>
        <w:t>without four-year college degrees</w:t>
      </w:r>
      <w:r w:rsidR="00F50AD3">
        <w:t>.</w:t>
      </w:r>
    </w:p>
    <w:p w14:paraId="77FE1584" w14:textId="77777777" w:rsidR="00F50AD3" w:rsidRDefault="00F50AD3" w:rsidP="00F50AD3">
      <w:pPr>
        <w:spacing w:line="240" w:lineRule="auto"/>
      </w:pPr>
    </w:p>
    <w:p w14:paraId="698C5A78" w14:textId="7993CB66" w:rsidR="00B118EC" w:rsidRPr="00B118EC" w:rsidRDefault="00896B3A" w:rsidP="00F50AD3">
      <w:pPr>
        <w:spacing w:line="240" w:lineRule="auto"/>
        <w:rPr>
          <w:b/>
        </w:rPr>
      </w:pPr>
      <w:r>
        <w:rPr>
          <w:b/>
        </w:rPr>
        <w:t>Defining good jobs</w:t>
      </w:r>
    </w:p>
    <w:p w14:paraId="48778EA0" w14:textId="77777777" w:rsidR="00F50AD3" w:rsidRDefault="00F50AD3" w:rsidP="00F50AD3">
      <w:pPr>
        <w:spacing w:line="240" w:lineRule="auto"/>
      </w:pPr>
      <w:r>
        <w:t>Our analysis defines three types of wage and salary jobs in each of the nation’s 100 largest metro areas:</w:t>
      </w:r>
    </w:p>
    <w:p w14:paraId="2DA77295" w14:textId="28750950" w:rsidR="00F50AD3" w:rsidRDefault="00F50AD3" w:rsidP="00F50AD3">
      <w:pPr>
        <w:pStyle w:val="ListParagraph"/>
        <w:numPr>
          <w:ilvl w:val="0"/>
          <w:numId w:val="1"/>
        </w:numPr>
        <w:spacing w:line="240" w:lineRule="auto"/>
      </w:pPr>
      <w:r w:rsidRPr="00F50AD3">
        <w:rPr>
          <w:b/>
        </w:rPr>
        <w:t>Good jobs</w:t>
      </w:r>
      <w:r>
        <w:t xml:space="preserve"> </w:t>
      </w:r>
      <w:bookmarkStart w:id="1" w:name="_GoBack"/>
      <w:r>
        <w:t xml:space="preserve">pay well </w:t>
      </w:r>
      <w:bookmarkEnd w:id="1"/>
      <w:r w:rsidR="00896B3A">
        <w:t xml:space="preserve">(equivalent to at least the median salary for workers without college degrees) </w:t>
      </w:r>
      <w:r>
        <w:t>and offer benefits</w:t>
      </w:r>
    </w:p>
    <w:p w14:paraId="0BE38B89" w14:textId="77777777" w:rsidR="00F50AD3" w:rsidRPr="00F50AD3" w:rsidRDefault="00F50AD3" w:rsidP="00F50AD3">
      <w:pPr>
        <w:pStyle w:val="ListParagraph"/>
        <w:numPr>
          <w:ilvl w:val="0"/>
          <w:numId w:val="1"/>
        </w:numPr>
        <w:spacing w:line="240" w:lineRule="auto"/>
        <w:rPr>
          <w:b/>
        </w:rPr>
      </w:pPr>
      <w:r w:rsidRPr="00F50AD3">
        <w:rPr>
          <w:b/>
        </w:rPr>
        <w:t xml:space="preserve">Promising jobs </w:t>
      </w:r>
      <w:r>
        <w:t>are entry-level positions from which most workers can reach a good job within 10 years</w:t>
      </w:r>
    </w:p>
    <w:p w14:paraId="336CAC3C" w14:textId="77777777" w:rsidR="00F50AD3" w:rsidRPr="00014C5E" w:rsidRDefault="00F50AD3" w:rsidP="00F50AD3">
      <w:pPr>
        <w:pStyle w:val="ListParagraph"/>
        <w:numPr>
          <w:ilvl w:val="0"/>
          <w:numId w:val="1"/>
        </w:numPr>
        <w:spacing w:line="240" w:lineRule="auto"/>
        <w:rPr>
          <w:b/>
        </w:rPr>
      </w:pPr>
      <w:r>
        <w:rPr>
          <w:b/>
        </w:rPr>
        <w:t xml:space="preserve">Other jobs </w:t>
      </w:r>
      <w:r w:rsidR="00014C5E">
        <w:t>do not provide decent pay, benefits, or pathways to good jobs</w:t>
      </w:r>
    </w:p>
    <w:p w14:paraId="6B184CBD" w14:textId="77777777" w:rsidR="00014C5E" w:rsidRDefault="00014C5E" w:rsidP="00014C5E">
      <w:pPr>
        <w:spacing w:line="240" w:lineRule="auto"/>
      </w:pPr>
      <w:r>
        <w:t xml:space="preserve">We further differentiate these job types by </w:t>
      </w:r>
      <w:proofErr w:type="gramStart"/>
      <w:r>
        <w:t>whether or not</w:t>
      </w:r>
      <w:proofErr w:type="gramEnd"/>
      <w:r>
        <w:t xml:space="preserve"> the workers who hold them possess a four-year college degree.</w:t>
      </w:r>
    </w:p>
    <w:p w14:paraId="1E44F1C9" w14:textId="2C78F09B" w:rsidR="00014C5E" w:rsidRDefault="00322121" w:rsidP="00014C5E">
      <w:pPr>
        <w:spacing w:line="240" w:lineRule="auto"/>
      </w:pPr>
      <w:r>
        <w:t xml:space="preserve">This report finds that </w:t>
      </w:r>
      <w:commentRangeStart w:id="2"/>
      <w:r>
        <w:t>i</w:t>
      </w:r>
      <w:r w:rsidR="00014C5E">
        <w:t xml:space="preserve">n 2017, </w:t>
      </w:r>
      <w:r w:rsidR="00195885">
        <w:t>11.4</w:t>
      </w:r>
      <w:r w:rsidR="00DB4ADC">
        <w:t xml:space="preserve"> million </w:t>
      </w:r>
      <w:r w:rsidR="00195885">
        <w:t xml:space="preserve">jobs held by </w:t>
      </w:r>
      <w:r w:rsidR="00014C5E">
        <w:t xml:space="preserve">sub-baccalaureate workers in the nation’s 100 largest metro areas </w:t>
      </w:r>
      <w:r w:rsidR="00195885">
        <w:t>were</w:t>
      </w:r>
      <w:r w:rsidR="00014C5E">
        <w:t xml:space="preserve"> good jobs, </w:t>
      </w:r>
      <w:r w:rsidR="00DB4ADC">
        <w:t xml:space="preserve">while </w:t>
      </w:r>
      <w:r w:rsidR="00CB163B">
        <w:t>another 9.4</w:t>
      </w:r>
      <w:r w:rsidR="00014C5E">
        <w:t xml:space="preserve"> million </w:t>
      </w:r>
      <w:r w:rsidR="00195885">
        <w:t>were</w:t>
      </w:r>
      <w:r w:rsidR="00DB4ADC">
        <w:t xml:space="preserve"> </w:t>
      </w:r>
      <w:r w:rsidR="00014C5E">
        <w:t xml:space="preserve">promising jobs. </w:t>
      </w:r>
      <w:commentRangeEnd w:id="2"/>
      <w:r w:rsidR="00B04C58">
        <w:rPr>
          <w:rStyle w:val="CommentReference"/>
        </w:rPr>
        <w:commentReference w:id="2"/>
      </w:r>
      <w:r w:rsidR="00DB4ADC">
        <w:t>But th</w:t>
      </w:r>
      <w:r>
        <w:t>ose figures</w:t>
      </w:r>
      <w:r w:rsidR="00DB4ADC">
        <w:t xml:space="preserve"> amounted to only one-third of workers without college degrees holding good or promising jobs. By contrast, </w:t>
      </w:r>
      <w:r w:rsidR="00CC2CAC">
        <w:t>22.9</w:t>
      </w:r>
      <w:r w:rsidR="00DB4ADC">
        <w:t xml:space="preserve"> million</w:t>
      </w:r>
      <w:r w:rsidR="00CC2CAC">
        <w:t xml:space="preserve"> jobs were good or promising for</w:t>
      </w:r>
      <w:r w:rsidR="00DB4ADC">
        <w:t xml:space="preserve"> high-skill workers in these metro areas, </w:t>
      </w:r>
      <w:r w:rsidR="00251CB0">
        <w:t>accounting for</w:t>
      </w:r>
      <w:r w:rsidR="00DB4ADC">
        <w:t xml:space="preserve"> </w:t>
      </w:r>
      <w:r w:rsidR="009E56B3">
        <w:t>70</w:t>
      </w:r>
      <w:r w:rsidR="00DB4ADC">
        <w:t xml:space="preserve"> percent of all workers with college degrees.</w:t>
      </w:r>
    </w:p>
    <w:p w14:paraId="55FC8110" w14:textId="77777777" w:rsidR="00DB4ADC" w:rsidRDefault="00DB4ADC" w:rsidP="00014C5E">
      <w:pPr>
        <w:spacing w:line="240" w:lineRule="auto"/>
      </w:pPr>
    </w:p>
    <w:p w14:paraId="52F022DF" w14:textId="77777777" w:rsidR="00DB4ADC" w:rsidRDefault="00DB4ADC" w:rsidP="00014C5E">
      <w:pPr>
        <w:spacing w:line="240" w:lineRule="auto"/>
      </w:pPr>
      <w:r w:rsidRPr="00322121">
        <w:rPr>
          <w:highlight w:val="yellow"/>
        </w:rPr>
        <w:t>[</w:t>
      </w:r>
      <w:r w:rsidR="00B118EC" w:rsidRPr="00322121">
        <w:rPr>
          <w:highlight w:val="yellow"/>
        </w:rPr>
        <w:t xml:space="preserve">Flowchart </w:t>
      </w:r>
      <w:r w:rsidRPr="00322121">
        <w:rPr>
          <w:highlight w:val="yellow"/>
        </w:rPr>
        <w:t>graphic</w:t>
      </w:r>
      <w:r w:rsidR="00B118EC" w:rsidRPr="00322121">
        <w:rPr>
          <w:highlight w:val="yellow"/>
        </w:rPr>
        <w:t xml:space="preserve"> showing definition/distribution of all jobs by good/promising/other and educational attainment</w:t>
      </w:r>
      <w:r w:rsidRPr="00322121">
        <w:rPr>
          <w:highlight w:val="yellow"/>
        </w:rPr>
        <w:t>]</w:t>
      </w:r>
    </w:p>
    <w:p w14:paraId="6176999B" w14:textId="77777777" w:rsidR="00DB4ADC" w:rsidRDefault="00DB4ADC" w:rsidP="00014C5E">
      <w:pPr>
        <w:spacing w:line="240" w:lineRule="auto"/>
      </w:pPr>
    </w:p>
    <w:p w14:paraId="1DEFABEC" w14:textId="1572A12E" w:rsidR="00B118EC" w:rsidRPr="00B118EC" w:rsidRDefault="00E47AB0" w:rsidP="00014C5E">
      <w:pPr>
        <w:spacing w:line="240" w:lineRule="auto"/>
        <w:rPr>
          <w:b/>
        </w:rPr>
      </w:pPr>
      <w:r>
        <w:rPr>
          <w:b/>
        </w:rPr>
        <w:t>Pathways to good jobs typically involve major career moves to different occupations</w:t>
      </w:r>
    </w:p>
    <w:p w14:paraId="0EA343B2" w14:textId="432A66E7" w:rsidR="00DB4ADC" w:rsidRDefault="00DB4ADC" w:rsidP="00014C5E">
      <w:pPr>
        <w:spacing w:line="240" w:lineRule="auto"/>
      </w:pPr>
      <w:r>
        <w:lastRenderedPageBreak/>
        <w:t xml:space="preserve">Good </w:t>
      </w:r>
      <w:r w:rsidR="00297A9A">
        <w:t xml:space="preserve">jobs </w:t>
      </w:r>
      <w:r>
        <w:t>and promising jobs for workers without college degrees tend to concentrate in certain occupations, though not necessarily the same ones. Maintenance, construction, production, and transportation occupations provide disproportionate shares of both good and promising jobs for sub-baccalaureate workers. Management, business, computer, engineering, and health care occupations are also a significant source of good jobs for these workers. Administrative, sales, food-service</w:t>
      </w:r>
      <w:r w:rsidR="00B118EC">
        <w:t>, and personal care</w:t>
      </w:r>
      <w:r>
        <w:t xml:space="preserve"> occupations, on the other hand, </w:t>
      </w:r>
      <w:r w:rsidR="00B118EC">
        <w:t xml:space="preserve">provide few good jobs, but many promising jobs, </w:t>
      </w:r>
      <w:r w:rsidR="00896B3A">
        <w:t xml:space="preserve">that offer stepping stones to better jobs </w:t>
      </w:r>
      <w:r w:rsidR="00B118EC">
        <w:t>for workers without college degrees.</w:t>
      </w:r>
    </w:p>
    <w:p w14:paraId="2868B7AB" w14:textId="699E16E8" w:rsidR="00B118EC" w:rsidRDefault="00B118EC" w:rsidP="00014C5E">
      <w:pPr>
        <w:spacing w:line="240" w:lineRule="auto"/>
      </w:pPr>
      <w:r>
        <w:t xml:space="preserve">Most promising career pathways to good jobs are “lattices” that run across occupations rather than “ladders” that exist within them. Overall, more than 71 percent of workers projected to obtain a good job by 2027 will move from one major occupation group to another. </w:t>
      </w:r>
      <w:r w:rsidR="00896B3A">
        <w:t>And m</w:t>
      </w:r>
      <w:r>
        <w:t xml:space="preserve">ore than 90 percent of sub-baccalaureate workers who start in food service, personal care, facilities care, and health care technician occupations will switch to an entirely different occupational category to obtain a good job. </w:t>
      </w:r>
    </w:p>
    <w:p w14:paraId="545AD0D8" w14:textId="77777777" w:rsidR="00B118EC" w:rsidRDefault="00B118EC" w:rsidP="00014C5E">
      <w:pPr>
        <w:spacing w:line="240" w:lineRule="auto"/>
      </w:pPr>
      <w:r w:rsidRPr="008E70CF">
        <w:rPr>
          <w:highlight w:val="yellow"/>
        </w:rPr>
        <w:t>[graphic showing occupational transitions]</w:t>
      </w:r>
    </w:p>
    <w:p w14:paraId="3B0AD160" w14:textId="77777777" w:rsidR="00B118EC" w:rsidRDefault="00B118EC" w:rsidP="00014C5E">
      <w:pPr>
        <w:spacing w:line="240" w:lineRule="auto"/>
      </w:pPr>
    </w:p>
    <w:p w14:paraId="290F20B9" w14:textId="52DA4393" w:rsidR="00B118EC" w:rsidRPr="00B118EC" w:rsidRDefault="00896B3A" w:rsidP="00014C5E">
      <w:pPr>
        <w:spacing w:line="240" w:lineRule="auto"/>
        <w:rPr>
          <w:b/>
        </w:rPr>
      </w:pPr>
      <w:r>
        <w:rPr>
          <w:b/>
        </w:rPr>
        <w:t xml:space="preserve">Many good jobs that promote </w:t>
      </w:r>
      <w:r w:rsidR="00E47AB0">
        <w:rPr>
          <w:b/>
        </w:rPr>
        <w:t xml:space="preserve">upward mobility </w:t>
      </w:r>
      <w:r>
        <w:rPr>
          <w:b/>
        </w:rPr>
        <w:t>are found in opportunity industries</w:t>
      </w:r>
    </w:p>
    <w:p w14:paraId="446732AC" w14:textId="77777777" w:rsidR="00B118EC" w:rsidRDefault="00B118EC" w:rsidP="00B118EC">
      <w:pPr>
        <w:spacing w:line="240" w:lineRule="auto"/>
      </w:pPr>
      <w:r>
        <w:t xml:space="preserve">Because industries organize work around different sets of occupations and skills, they provide varying levels of good and promising jobs. </w:t>
      </w:r>
      <w:r w:rsidRPr="27B35267">
        <w:rPr>
          <w:i/>
          <w:iCs/>
        </w:rPr>
        <w:t>Opportunity industries</w:t>
      </w:r>
      <w:r>
        <w:t xml:space="preserve"> are those in which good jobs represent an above-average share of the industry’s total jobs.</w:t>
      </w:r>
    </w:p>
    <w:p w14:paraId="1EFE439D" w14:textId="1A5F3CF7" w:rsidR="00C206DC" w:rsidRDefault="00C206DC" w:rsidP="00B118EC">
      <w:pPr>
        <w:spacing w:line="240" w:lineRule="auto"/>
      </w:pPr>
      <w:r>
        <w:t xml:space="preserve">Tradable industries—those in which firms </w:t>
      </w:r>
      <w:r w:rsidR="00896B3A">
        <w:t xml:space="preserve">sell </w:t>
      </w:r>
      <w:r>
        <w:t xml:space="preserve">most of their products or services to customers outside the region—contain only about </w:t>
      </w:r>
      <w:r w:rsidR="00245844">
        <w:t>29</w:t>
      </w:r>
      <w:r>
        <w:t xml:space="preserve"> percent of all jobs, but account for 3</w:t>
      </w:r>
      <w:r w:rsidR="00245844">
        <w:t>8</w:t>
      </w:r>
      <w:r>
        <w:t xml:space="preserve"> percent of good jobs held by sub-baccalaureate workers. Manufacturing, logistics, and wholesale trade provide especially high concentrations of good jobs, and near-average shares of promising jobs, for these workers.</w:t>
      </w:r>
      <w:r w:rsidR="0053594A">
        <w:t xml:space="preserve"> Local-serving industries such as hospitality, retail, and administrative services provide relatively fewer good jobs for workers without college degrees, but account for 71 percent of promising jobs held by these workers.</w:t>
      </w:r>
    </w:p>
    <w:p w14:paraId="6A19FA5D" w14:textId="0D4454CC" w:rsidR="0053594A" w:rsidRDefault="0053594A" w:rsidP="00B118EC">
      <w:pPr>
        <w:spacing w:line="240" w:lineRule="auto"/>
      </w:pPr>
      <w:r>
        <w:t>College-educated workers, on the other hand, tend to find good and promising jobs across a wide range of industries</w:t>
      </w:r>
      <w:r w:rsidR="00AF488A">
        <w:t xml:space="preserve">, including tradable </w:t>
      </w:r>
      <w:r>
        <w:t>industries such as computer systems design, engineering se</w:t>
      </w:r>
      <w:r w:rsidR="00AF488A">
        <w:t>rvices, and scientific research, and local-serving industries such as</w:t>
      </w:r>
      <w:r>
        <w:t xml:space="preserve"> health care </w:t>
      </w:r>
      <w:r w:rsidR="00AF488A">
        <w:t xml:space="preserve">and </w:t>
      </w:r>
      <w:r>
        <w:t>education.</w:t>
      </w:r>
    </w:p>
    <w:p w14:paraId="3E727822" w14:textId="5F0732DB" w:rsidR="0053594A" w:rsidRDefault="0053594A" w:rsidP="00B118EC">
      <w:pPr>
        <w:spacing w:line="240" w:lineRule="auto"/>
      </w:pPr>
      <w:r w:rsidRPr="005C7B4D">
        <w:rPr>
          <w:highlight w:val="yellow"/>
        </w:rPr>
        <w:t>[graphic showing opportunity industries]</w:t>
      </w:r>
    </w:p>
    <w:p w14:paraId="2A4E63AB" w14:textId="77777777" w:rsidR="0053594A" w:rsidRDefault="0053594A" w:rsidP="00B118EC">
      <w:pPr>
        <w:spacing w:line="240" w:lineRule="auto"/>
        <w:rPr>
          <w:b/>
        </w:rPr>
      </w:pPr>
    </w:p>
    <w:p w14:paraId="32881F38" w14:textId="26B38AAB" w:rsidR="0053594A" w:rsidRDefault="00896B3A" w:rsidP="00B118EC">
      <w:pPr>
        <w:spacing w:line="240" w:lineRule="auto"/>
        <w:rPr>
          <w:b/>
        </w:rPr>
      </w:pPr>
      <w:r>
        <w:rPr>
          <w:b/>
        </w:rPr>
        <w:t>Opportunities to access good jobs and upward mobility depend on metro characteristics</w:t>
      </w:r>
    </w:p>
    <w:p w14:paraId="624FDE09" w14:textId="6CB0D887" w:rsidR="0053594A" w:rsidRDefault="00F92680" w:rsidP="00B118EC">
      <w:pPr>
        <w:spacing w:line="240" w:lineRule="auto"/>
      </w:pPr>
      <w:r>
        <w:t>The nation’s 100 large</w:t>
      </w:r>
      <w:r w:rsidR="00AF488A">
        <w:t>st metro areas vary considerably</w:t>
      </w:r>
      <w:r>
        <w:t xml:space="preserve"> in the share of their jobs that are good or promising, and in </w:t>
      </w:r>
      <w:r w:rsidR="00AF488A">
        <w:t xml:space="preserve">the </w:t>
      </w:r>
      <w:r>
        <w:t>educational attainment</w:t>
      </w:r>
      <w:r w:rsidR="00AF488A">
        <w:t xml:space="preserve"> of the workers who hold those jobs</w:t>
      </w:r>
      <w:r>
        <w:t>.</w:t>
      </w:r>
      <w:r w:rsidR="00AF488A">
        <w:t xml:space="preserve"> For instance, </w:t>
      </w:r>
      <w:r w:rsidR="00AF488A" w:rsidRPr="2CEA7F83">
        <w:t>good or promising jobs held by sub-baccalaureate workers</w:t>
      </w:r>
      <w:r w:rsidR="00AF488A">
        <w:t xml:space="preserve"> represent </w:t>
      </w:r>
      <w:r w:rsidR="00AF488A" w:rsidRPr="2CEA7F83">
        <w:t>35 percent of jobs in the Spokane, Wash. metro area</w:t>
      </w:r>
      <w:r w:rsidR="00AF488A">
        <w:t>,</w:t>
      </w:r>
      <w:r w:rsidR="00AF488A" w:rsidRPr="2CEA7F83">
        <w:t xml:space="preserve"> </w:t>
      </w:r>
      <w:r w:rsidR="00AF488A">
        <w:t xml:space="preserve">but </w:t>
      </w:r>
      <w:r w:rsidR="00AF488A" w:rsidRPr="2CEA7F83">
        <w:t>just 9 percent of jobs in the Washington, D.C. metro area</w:t>
      </w:r>
      <w:r w:rsidR="00AF488A">
        <w:t>. These differences across metro areas reflect differences in: (a) the educational attainment of local workers; (b) the presence of opportunity industries in local economies; and (c) the company specializations, skill requirements, and pay levels in those local opportunity industries.</w:t>
      </w:r>
    </w:p>
    <w:p w14:paraId="71146276" w14:textId="3DE451FE" w:rsidR="00AF488A" w:rsidRDefault="00AF488A" w:rsidP="00B118EC">
      <w:pPr>
        <w:spacing w:line="240" w:lineRule="auto"/>
      </w:pPr>
      <w:r w:rsidRPr="005C7B4D">
        <w:rPr>
          <w:highlight w:val="yellow"/>
        </w:rPr>
        <w:t>[graphic showing metro areas]</w:t>
      </w:r>
    </w:p>
    <w:p w14:paraId="3C7ABBD9" w14:textId="5D607A35" w:rsidR="00AF488A" w:rsidRDefault="00AF488A" w:rsidP="00B118EC">
      <w:pPr>
        <w:spacing w:line="240" w:lineRule="auto"/>
      </w:pPr>
    </w:p>
    <w:p w14:paraId="593D2B07" w14:textId="10072B91" w:rsidR="004A3907" w:rsidRDefault="00E47AB0" w:rsidP="00B118EC">
      <w:pPr>
        <w:spacing w:line="240" w:lineRule="auto"/>
      </w:pPr>
      <w:r>
        <w:rPr>
          <w:b/>
        </w:rPr>
        <w:lastRenderedPageBreak/>
        <w:t>Strategies to improve opportunity in metropolitan America</w:t>
      </w:r>
    </w:p>
    <w:p w14:paraId="14CEAD00" w14:textId="228331E2" w:rsidR="0053594A" w:rsidRDefault="004A3907" w:rsidP="00B118EC">
      <w:pPr>
        <w:spacing w:line="240" w:lineRule="auto"/>
      </w:pPr>
      <w:r>
        <w:t>Nearly all metropolitan areas do not provide enough good and promising jobs for all the workers who need those opportunities. Yet metro labor markets are dynamic, with many workers switching occupations and industries in order to get ahead. This report identifies three strategies for leaders in cities and regions to enable workers’ mobility to better jobs and the middle class:</w:t>
      </w:r>
    </w:p>
    <w:p w14:paraId="08396099" w14:textId="3649FCEF" w:rsidR="004A3907" w:rsidRDefault="004A3907" w:rsidP="004A3907">
      <w:pPr>
        <w:spacing w:line="240" w:lineRule="auto"/>
        <w:ind w:left="720"/>
      </w:pPr>
      <w:r>
        <w:rPr>
          <w:b/>
        </w:rPr>
        <w:t>Refocus economic development on opportunity industries</w:t>
      </w:r>
    </w:p>
    <w:p w14:paraId="37085581" w14:textId="6BF67AA5" w:rsidR="004A3907" w:rsidRDefault="004A3907" w:rsidP="004A3907">
      <w:pPr>
        <w:spacing w:line="240" w:lineRule="auto"/>
        <w:ind w:left="720"/>
      </w:pPr>
      <w:r>
        <w:t xml:space="preserve">Too often, scarce public resources are spent on incentivizing job growth or retention in industries that provide too little opportunity. Economic development should instead increase the share of good jobs in the local economy. Such jobs not only broaden access to opportunity, but industries that concentrate good jobs also tend to have a greater </w:t>
      </w:r>
      <w:r w:rsidR="00896B3A">
        <w:t xml:space="preserve">positive </w:t>
      </w:r>
      <w:r>
        <w:t>impact</w:t>
      </w:r>
      <w:r w:rsidR="00896B3A">
        <w:t xml:space="preserve"> on the local economy</w:t>
      </w:r>
      <w:r>
        <w:t>.</w:t>
      </w:r>
    </w:p>
    <w:p w14:paraId="2D9E2C5B" w14:textId="136E4F1E" w:rsidR="004A3907" w:rsidRDefault="004A3907" w:rsidP="004A3907">
      <w:pPr>
        <w:spacing w:line="240" w:lineRule="auto"/>
        <w:ind w:left="720"/>
      </w:pPr>
      <w:r>
        <w:rPr>
          <w:b/>
        </w:rPr>
        <w:t>Partner between government and business to improve job quality</w:t>
      </w:r>
    </w:p>
    <w:p w14:paraId="09DDE66E" w14:textId="05B23EAA" w:rsidR="004A3907" w:rsidRPr="004A3907" w:rsidRDefault="004A3907" w:rsidP="004A3907">
      <w:pPr>
        <w:spacing w:line="240" w:lineRule="auto"/>
        <w:ind w:left="720"/>
      </w:pPr>
      <w:r>
        <w:t>A growing body of research shows that improving job quality—by treating labor as an asset rather than a cost—is good for the bottom line in some sectors that provide many “other” jobs, including retail, hospitality, health care, and education. Improving job quality means not only increasing wages and benefits, but also improving the visibility of pathways from low-quality jobs to better ones.</w:t>
      </w:r>
    </w:p>
    <w:p w14:paraId="6A53F224" w14:textId="66AEC88C" w:rsidR="004A3907" w:rsidRDefault="004A3907" w:rsidP="004A3907">
      <w:pPr>
        <w:spacing w:line="240" w:lineRule="auto"/>
        <w:ind w:left="720"/>
      </w:pPr>
      <w:r>
        <w:rPr>
          <w:b/>
        </w:rPr>
        <w:t>Retool education and workforce development for a dynamic labor market</w:t>
      </w:r>
    </w:p>
    <w:p w14:paraId="5A5093ED" w14:textId="22BDC3CD" w:rsidR="004A3907" w:rsidRPr="00014C5E" w:rsidRDefault="004A3907" w:rsidP="004A3907">
      <w:pPr>
        <w:spacing w:line="240" w:lineRule="auto"/>
        <w:ind w:left="720"/>
      </w:pPr>
      <w:r>
        <w:t xml:space="preserve">The constant emergence of new technologies means workers may need to switch careers more often to access opportunity. Specific knowledge and skills remain essential to getting a </w:t>
      </w:r>
      <w:proofErr w:type="gramStart"/>
      <w:r>
        <w:t>job, but</w:t>
      </w:r>
      <w:proofErr w:type="gramEnd"/>
      <w:r>
        <w:t xml:space="preserve"> keeping that job or finding a better one may require workers and institutions to focus </w:t>
      </w:r>
      <w:r w:rsidR="004E540C">
        <w:t xml:space="preserve">more </w:t>
      </w:r>
      <w:r>
        <w:t xml:space="preserve">on </w:t>
      </w:r>
      <w:r w:rsidR="004E540C">
        <w:t xml:space="preserve">developing </w:t>
      </w:r>
      <w:r>
        <w:t xml:space="preserve">abstract cognitive abilities that enable people to think and learn by themselves, </w:t>
      </w:r>
      <w:r w:rsidR="004E540C">
        <w:t>and to adapt to continuous change in the labor market.</w:t>
      </w:r>
    </w:p>
    <w:sectPr w:rsidR="004A3907" w:rsidRPr="00014C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Lanham" w:date="2018-11-28T13:01:00Z" w:initials="DL">
    <w:p w14:paraId="0F1FE90F" w14:textId="77777777" w:rsidR="00983C7D" w:rsidRDefault="00983C7D">
      <w:pPr>
        <w:pStyle w:val="CommentText"/>
      </w:pPr>
      <w:r>
        <w:rPr>
          <w:rStyle w:val="CommentReference"/>
        </w:rPr>
        <w:annotationRef/>
      </w:r>
      <w:r>
        <w:t xml:space="preserve">Overall comment: Once we see the page eventually designed with the graphics embedded, I think we’ll want to revisit the flow of how the landing page text starts. </w:t>
      </w:r>
    </w:p>
    <w:p w14:paraId="6FB3D8B6" w14:textId="77777777" w:rsidR="00983C7D" w:rsidRDefault="00983C7D">
      <w:pPr>
        <w:pStyle w:val="CommentText"/>
      </w:pPr>
    </w:p>
    <w:p w14:paraId="370B4E69" w14:textId="2BAFADE8" w:rsidR="00983C7D" w:rsidRDefault="00983C7D" w:rsidP="00983C7D">
      <w:pPr>
        <w:pStyle w:val="CommentText"/>
        <w:numPr>
          <w:ilvl w:val="0"/>
          <w:numId w:val="2"/>
        </w:numPr>
      </w:pPr>
      <w:r>
        <w:t>We’ll likely want to add a Table of Contents that acts as jump links up and down the page to specific sections (</w:t>
      </w:r>
      <w:hyperlink r:id="rId1" w:history="1">
        <w:r w:rsidRPr="00983C7D">
          <w:rPr>
            <w:rStyle w:val="Hyperlink"/>
          </w:rPr>
          <w:t>see clusters paper</w:t>
        </w:r>
      </w:hyperlink>
      <w:r>
        <w:t xml:space="preserve"> for example).</w:t>
      </w:r>
    </w:p>
    <w:p w14:paraId="37FDBA86" w14:textId="1BE96CBD" w:rsidR="00983C7D" w:rsidRDefault="00983C7D">
      <w:pPr>
        <w:pStyle w:val="CommentText"/>
      </w:pPr>
    </w:p>
    <w:p w14:paraId="64FD6221" w14:textId="04331F5E" w:rsidR="00983C7D" w:rsidRDefault="00983C7D" w:rsidP="00983C7D">
      <w:pPr>
        <w:pStyle w:val="CommentText"/>
        <w:numPr>
          <w:ilvl w:val="0"/>
          <w:numId w:val="2"/>
        </w:numPr>
      </w:pPr>
      <w:r>
        <w:t xml:space="preserve"> And then once we see how the page flows, I might recommend adding a brief section somewhere near the top of the page after the Intro section that is framed as “Primarily, this report finds: --XXX ---YYY ---ZZZ”. Can put a pin on that potential suggestion until the page is built out and </w:t>
      </w:r>
      <w:proofErr w:type="gramStart"/>
      <w:r>
        <w:t>once</w:t>
      </w:r>
      <w:proofErr w:type="gramEnd"/>
      <w:r>
        <w:t xml:space="preserve"> we have key messaging down pat, but for the skimmer reader, I’m thinking it would be helpful to make key takeaways front and center. </w:t>
      </w:r>
    </w:p>
  </w:comment>
  <w:comment w:id="2" w:author="David Lanham" w:date="2018-11-28T12:40:00Z" w:initials="DL">
    <w:p w14:paraId="2B1C8339" w14:textId="7A45E1A7" w:rsidR="00B04C58" w:rsidRDefault="00B04C58">
      <w:pPr>
        <w:pStyle w:val="CommentText"/>
      </w:pPr>
      <w:r>
        <w:rPr>
          <w:rStyle w:val="CommentReference"/>
        </w:rPr>
        <w:annotationRef/>
      </w:r>
      <w:r>
        <w:t xml:space="preserve">I would recommend pulling the most top-level data-based finding into the Intro section above (even if that is a construction of multiple findings via the full report). We want to draw the reader, particularly those who will only scan, directly into what the report finds. </w:t>
      </w:r>
    </w:p>
    <w:p w14:paraId="3E46E4A8" w14:textId="77777777" w:rsidR="00B04C58" w:rsidRDefault="00B04C58">
      <w:pPr>
        <w:pStyle w:val="CommentText"/>
      </w:pPr>
    </w:p>
    <w:p w14:paraId="5CC17392" w14:textId="66454542" w:rsidR="00B04C58" w:rsidRDefault="00B04C58">
      <w:pPr>
        <w:pStyle w:val="CommentText"/>
      </w:pPr>
      <w:r>
        <w:t>I think the Intro’s 3</w:t>
      </w:r>
      <w:r w:rsidRPr="00B04C58">
        <w:rPr>
          <w:vertAlign w:val="superscript"/>
        </w:rPr>
        <w:t>rd</w:t>
      </w:r>
      <w:r>
        <w:t xml:space="preserve"> paragraph could be amended to include the report’s “primary finding/takeaway”. </w:t>
      </w:r>
      <w:r w:rsidR="00322121">
        <w:t>A way to think about what that sentence would be is to imagine what would be the one tweet you would use to promote the report, which includes some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FD6221" w15:done="0"/>
  <w15:commentEx w15:paraId="5CC173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FD6221" w16cid:durableId="1FA94C75"/>
  <w16cid:commentId w16cid:paraId="5CC17392" w16cid:durableId="1FA94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5CF16" w14:textId="77777777" w:rsidR="0064167A" w:rsidRDefault="0064167A" w:rsidP="004A3907">
      <w:pPr>
        <w:spacing w:after="0" w:line="240" w:lineRule="auto"/>
      </w:pPr>
      <w:r>
        <w:separator/>
      </w:r>
    </w:p>
  </w:endnote>
  <w:endnote w:type="continuationSeparator" w:id="0">
    <w:p w14:paraId="1064CFF4" w14:textId="77777777" w:rsidR="0064167A" w:rsidRDefault="0064167A" w:rsidP="004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63FCE" w14:textId="77777777" w:rsidR="0064167A" w:rsidRDefault="0064167A" w:rsidP="004A3907">
      <w:pPr>
        <w:spacing w:after="0" w:line="240" w:lineRule="auto"/>
      </w:pPr>
      <w:r>
        <w:separator/>
      </w:r>
    </w:p>
  </w:footnote>
  <w:footnote w:type="continuationSeparator" w:id="0">
    <w:p w14:paraId="6601CA0B" w14:textId="77777777" w:rsidR="0064167A" w:rsidRDefault="0064167A" w:rsidP="004A3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0C92"/>
    <w:multiLevelType w:val="hybridMultilevel"/>
    <w:tmpl w:val="F55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F1B4F"/>
    <w:multiLevelType w:val="hybridMultilevel"/>
    <w:tmpl w:val="4B929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Lanham">
    <w15:presenceInfo w15:providerId="AD" w15:userId="S-1-5-21-941978686-1815096360-3273509800-50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740"/>
    <w:rsid w:val="00014C5E"/>
    <w:rsid w:val="000F610A"/>
    <w:rsid w:val="00195885"/>
    <w:rsid w:val="00245844"/>
    <w:rsid w:val="00251CB0"/>
    <w:rsid w:val="00296F81"/>
    <w:rsid w:val="00297A9A"/>
    <w:rsid w:val="00322121"/>
    <w:rsid w:val="00416C5B"/>
    <w:rsid w:val="00422651"/>
    <w:rsid w:val="00434740"/>
    <w:rsid w:val="004A0EEB"/>
    <w:rsid w:val="004A3907"/>
    <w:rsid w:val="004A45EC"/>
    <w:rsid w:val="004E540C"/>
    <w:rsid w:val="0053594A"/>
    <w:rsid w:val="005C7B4D"/>
    <w:rsid w:val="006336A6"/>
    <w:rsid w:val="0064167A"/>
    <w:rsid w:val="00791FF9"/>
    <w:rsid w:val="007D7EAC"/>
    <w:rsid w:val="00896B3A"/>
    <w:rsid w:val="008A6573"/>
    <w:rsid w:val="008E70CF"/>
    <w:rsid w:val="00983C7D"/>
    <w:rsid w:val="009E55EC"/>
    <w:rsid w:val="009E56B3"/>
    <w:rsid w:val="009F3B43"/>
    <w:rsid w:val="00AD7FAE"/>
    <w:rsid w:val="00AF488A"/>
    <w:rsid w:val="00B04C58"/>
    <w:rsid w:val="00B118EC"/>
    <w:rsid w:val="00C206DC"/>
    <w:rsid w:val="00C665C5"/>
    <w:rsid w:val="00CB163B"/>
    <w:rsid w:val="00CC2CAC"/>
    <w:rsid w:val="00CC6AF6"/>
    <w:rsid w:val="00D219CA"/>
    <w:rsid w:val="00D5723F"/>
    <w:rsid w:val="00DB4ADC"/>
    <w:rsid w:val="00DF736F"/>
    <w:rsid w:val="00E2042C"/>
    <w:rsid w:val="00E47AB0"/>
    <w:rsid w:val="00F118CD"/>
    <w:rsid w:val="00F50AD3"/>
    <w:rsid w:val="00F9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6FB2"/>
  <w15:chartTrackingRefBased/>
  <w15:docId w15:val="{A9EC02B8-0176-4B09-9F0F-4C762BE4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740"/>
    <w:pPr>
      <w:keepNext/>
      <w:keepLines/>
      <w:spacing w:after="160" w:line="259"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AD3"/>
    <w:pPr>
      <w:ind w:left="720"/>
      <w:contextualSpacing/>
    </w:pPr>
  </w:style>
  <w:style w:type="character" w:styleId="EndnoteReference">
    <w:name w:val="endnote reference"/>
    <w:basedOn w:val="DefaultParagraphFont"/>
    <w:uiPriority w:val="99"/>
    <w:unhideWhenUsed/>
    <w:rsid w:val="004A3907"/>
    <w:rPr>
      <w:vertAlign w:val="superscript"/>
    </w:rPr>
  </w:style>
  <w:style w:type="paragraph" w:styleId="EndnoteText">
    <w:name w:val="endnote text"/>
    <w:basedOn w:val="Normal"/>
    <w:link w:val="EndnoteTextChar"/>
    <w:uiPriority w:val="99"/>
    <w:unhideWhenUsed/>
    <w:rsid w:val="004A3907"/>
    <w:pPr>
      <w:keepNext w:val="0"/>
      <w:spacing w:after="0" w:line="240" w:lineRule="auto"/>
    </w:pPr>
    <w:rPr>
      <w:sz w:val="20"/>
      <w:szCs w:val="20"/>
    </w:rPr>
  </w:style>
  <w:style w:type="character" w:customStyle="1" w:styleId="EndnoteTextChar">
    <w:name w:val="Endnote Text Char"/>
    <w:basedOn w:val="DefaultParagraphFont"/>
    <w:link w:val="EndnoteText"/>
    <w:uiPriority w:val="99"/>
    <w:rsid w:val="004A3907"/>
    <w:rPr>
      <w:rFonts w:asciiTheme="minorHAnsi" w:hAnsiTheme="minorHAnsi"/>
      <w:sz w:val="20"/>
      <w:szCs w:val="20"/>
    </w:rPr>
  </w:style>
  <w:style w:type="paragraph" w:styleId="BalloonText">
    <w:name w:val="Balloon Text"/>
    <w:basedOn w:val="Normal"/>
    <w:link w:val="BalloonTextChar"/>
    <w:uiPriority w:val="99"/>
    <w:semiHidden/>
    <w:unhideWhenUsed/>
    <w:rsid w:val="00B04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C58"/>
    <w:rPr>
      <w:rFonts w:ascii="Segoe UI" w:hAnsi="Segoe UI" w:cs="Segoe UI"/>
      <w:sz w:val="18"/>
      <w:szCs w:val="18"/>
    </w:rPr>
  </w:style>
  <w:style w:type="character" w:styleId="CommentReference">
    <w:name w:val="annotation reference"/>
    <w:basedOn w:val="DefaultParagraphFont"/>
    <w:uiPriority w:val="99"/>
    <w:semiHidden/>
    <w:unhideWhenUsed/>
    <w:rsid w:val="00B04C58"/>
    <w:rPr>
      <w:sz w:val="16"/>
      <w:szCs w:val="16"/>
    </w:rPr>
  </w:style>
  <w:style w:type="paragraph" w:styleId="CommentText">
    <w:name w:val="annotation text"/>
    <w:basedOn w:val="Normal"/>
    <w:link w:val="CommentTextChar"/>
    <w:uiPriority w:val="99"/>
    <w:semiHidden/>
    <w:unhideWhenUsed/>
    <w:rsid w:val="00B04C58"/>
    <w:pPr>
      <w:spacing w:line="240" w:lineRule="auto"/>
    </w:pPr>
    <w:rPr>
      <w:sz w:val="20"/>
      <w:szCs w:val="20"/>
    </w:rPr>
  </w:style>
  <w:style w:type="character" w:customStyle="1" w:styleId="CommentTextChar">
    <w:name w:val="Comment Text Char"/>
    <w:basedOn w:val="DefaultParagraphFont"/>
    <w:link w:val="CommentText"/>
    <w:uiPriority w:val="99"/>
    <w:semiHidden/>
    <w:rsid w:val="00B04C58"/>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04C58"/>
    <w:rPr>
      <w:b/>
      <w:bCs/>
    </w:rPr>
  </w:style>
  <w:style w:type="character" w:customStyle="1" w:styleId="CommentSubjectChar">
    <w:name w:val="Comment Subject Char"/>
    <w:basedOn w:val="CommentTextChar"/>
    <w:link w:val="CommentSubject"/>
    <w:uiPriority w:val="99"/>
    <w:semiHidden/>
    <w:rsid w:val="00B04C58"/>
    <w:rPr>
      <w:rFonts w:asciiTheme="minorHAnsi" w:hAnsiTheme="minorHAnsi"/>
      <w:b/>
      <w:bCs/>
      <w:sz w:val="20"/>
      <w:szCs w:val="20"/>
    </w:rPr>
  </w:style>
  <w:style w:type="character" w:styleId="Hyperlink">
    <w:name w:val="Hyperlink"/>
    <w:basedOn w:val="DefaultParagraphFont"/>
    <w:uiPriority w:val="99"/>
    <w:unhideWhenUsed/>
    <w:rsid w:val="00983C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rookings.edu/research/rethinking-cluster-initiative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Berube</dc:creator>
  <cp:keywords/>
  <dc:description/>
  <cp:lastModifiedBy>David Lanham</cp:lastModifiedBy>
  <cp:revision>2</cp:revision>
  <dcterms:created xsi:type="dcterms:W3CDTF">2018-11-28T22:19:00Z</dcterms:created>
  <dcterms:modified xsi:type="dcterms:W3CDTF">2018-11-28T22:19:00Z</dcterms:modified>
</cp:coreProperties>
</file>