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86AFB" w14:textId="77777777" w:rsidR="007F4BFD" w:rsidRDefault="007F4BFD" w:rsidP="007F4BFD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Poverty levels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7CCD0A" w14:textId="77777777" w:rsidR="007F4BFD" w:rsidRDefault="007F4BFD" w:rsidP="007F4BFD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Children in households with resources below 100% of the Supplemental Poverty Measure (SPM) threshold are considered to live “in poverty.” Children below 50% of the threshold are considered “in deep poverty.” Children below 200% of the threshold are considered in “low-income” families. 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D2D8C4" w14:textId="77777777" w:rsidR="007F4BFD" w:rsidRDefault="007F4BFD" w:rsidP="007F4BFD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Gross Domestic Product (GDP) per capita</w:t>
      </w:r>
      <w:r>
        <w:rPr>
          <w:rStyle w:val="normaltextrun"/>
          <w:rFonts w:ascii="Calibri" w:hAnsi="Calibri" w:cs="Calibri"/>
          <w:sz w:val="22"/>
          <w:szCs w:val="22"/>
        </w:rPr>
        <w:t xml:space="preserve"> is the state’s GDP divided by its population. All estimates are in 2019 dollars. Source: </w:t>
      </w:r>
      <w:hyperlink r:id="rId5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FRED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D2B2C4" w14:textId="77777777" w:rsidR="007F4BFD" w:rsidRDefault="007F4BFD" w:rsidP="007F4BFD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Wage inequality </w:t>
      </w:r>
      <w:r>
        <w:rPr>
          <w:rStyle w:val="normaltextrun"/>
          <w:rFonts w:ascii="Calibri" w:hAnsi="Calibri" w:cs="Calibri"/>
          <w:sz w:val="22"/>
          <w:szCs w:val="22"/>
        </w:rPr>
        <w:t xml:space="preserve">is the ratio of wages in the 90th percentile of the wage distribution to those in the 10th percentile. Source: Constructed from </w:t>
      </w:r>
      <w:hyperlink r:id="rId6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CPS MORG</w:t>
        </w:r>
      </w:hyperlink>
      <w:r>
        <w:rPr>
          <w:rStyle w:val="normaltextrun"/>
          <w:rFonts w:ascii="Calibri" w:hAnsi="Calibri" w:cs="Calibri"/>
          <w:sz w:val="22"/>
          <w:szCs w:val="22"/>
        </w:rPr>
        <w:t xml:space="preserve"> data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20E1B3" w14:textId="77777777" w:rsidR="007F4BFD" w:rsidRDefault="007F4BFD" w:rsidP="007F4BFD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The unemployment rate</w:t>
      </w:r>
      <w:r>
        <w:rPr>
          <w:rStyle w:val="normaltextrun"/>
          <w:rFonts w:ascii="Calibri" w:hAnsi="Calibri" w:cs="Calibri"/>
          <w:sz w:val="22"/>
          <w:szCs w:val="22"/>
        </w:rPr>
        <w:t xml:space="preserve"> is the percentage of the labor force ages 16 and older that is unemployed and looking for a job. Source:</w:t>
      </w:r>
      <w:hyperlink r:id="rId7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 xml:space="preserve"> BLS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7F3100" w14:textId="77777777" w:rsidR="007F4BFD" w:rsidRDefault="007F4BFD" w:rsidP="007F4BFD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Real median wage </w:t>
      </w:r>
      <w:r>
        <w:rPr>
          <w:rStyle w:val="normaltextrun"/>
          <w:rFonts w:ascii="Calibri" w:hAnsi="Calibri" w:cs="Calibri"/>
          <w:sz w:val="22"/>
          <w:szCs w:val="22"/>
        </w:rPr>
        <w:t xml:space="preserve">is the wage at the 50th percentile of the state’s income distribution. Estimates are in 2019 dollars. Source: Constructed from </w:t>
      </w:r>
      <w:hyperlink r:id="rId8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CPS MORG</w:t>
        </w:r>
      </w:hyperlink>
      <w:r>
        <w:rPr>
          <w:rStyle w:val="normaltextrun"/>
          <w:rFonts w:ascii="Calibri" w:hAnsi="Calibri" w:cs="Calibri"/>
          <w:sz w:val="22"/>
          <w:szCs w:val="22"/>
        </w:rPr>
        <w:t xml:space="preserve"> data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877D7A" w14:textId="77777777" w:rsidR="007F4BFD" w:rsidRDefault="007F4BFD" w:rsidP="007F4BFD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Female labor force participation</w:t>
      </w:r>
      <w:r>
        <w:rPr>
          <w:rStyle w:val="normaltextrun"/>
          <w:rFonts w:ascii="Calibri" w:hAnsi="Calibri" w:cs="Calibri"/>
          <w:sz w:val="22"/>
          <w:szCs w:val="22"/>
        </w:rPr>
        <w:t xml:space="preserve"> is the percentage of women ages 16-64 who are employed or looking for work. Source: </w:t>
      </w:r>
      <w:hyperlink r:id="rId9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BLS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E5B62C" w14:textId="77777777" w:rsidR="007F4BFD" w:rsidRDefault="007F4BFD" w:rsidP="007F4BFD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Share of population with a high school degree </w:t>
      </w:r>
      <w:r>
        <w:rPr>
          <w:rStyle w:val="normaltextrun"/>
          <w:rFonts w:ascii="Calibri" w:hAnsi="Calibri" w:cs="Calibri"/>
          <w:sz w:val="22"/>
          <w:szCs w:val="22"/>
        </w:rPr>
        <w:t xml:space="preserve">is the percentage of the population ages 25 and older with at least a high school degree or the equivalent. Source: Constructed from </w:t>
      </w:r>
      <w:hyperlink r:id="rId10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CPS-ASEC</w:t>
        </w:r>
      </w:hyperlink>
      <w:r>
        <w:rPr>
          <w:rStyle w:val="normaltextrun"/>
          <w:rFonts w:ascii="Calibri" w:hAnsi="Calibri" w:cs="Calibri"/>
          <w:sz w:val="22"/>
          <w:szCs w:val="22"/>
        </w:rPr>
        <w:t xml:space="preserve"> data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8A6B68" w14:textId="77777777" w:rsidR="007F4BFD" w:rsidRDefault="007F4BFD" w:rsidP="007F4BFD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Share of children living with less than two parents </w:t>
      </w:r>
      <w:r>
        <w:rPr>
          <w:rStyle w:val="normaltextrun"/>
          <w:rFonts w:ascii="Calibri" w:hAnsi="Calibri" w:cs="Calibri"/>
          <w:sz w:val="22"/>
          <w:szCs w:val="22"/>
        </w:rPr>
        <w:t xml:space="preserve">is the percentage of children from birth to age 17 who live with one or no parents. Source: Constructed from </w:t>
      </w:r>
      <w:hyperlink r:id="rId11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CPS-ASEC</w:t>
        </w:r>
      </w:hyperlink>
      <w:r>
        <w:rPr>
          <w:rStyle w:val="normaltextrun"/>
          <w:rFonts w:ascii="Calibri" w:hAnsi="Calibri" w:cs="Calibri"/>
          <w:sz w:val="22"/>
          <w:szCs w:val="22"/>
        </w:rPr>
        <w:t xml:space="preserve"> data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47622E" w14:textId="77777777" w:rsidR="007F4BFD" w:rsidRDefault="007F4BFD" w:rsidP="007F4BFD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Teen birth rate </w:t>
      </w:r>
      <w:r>
        <w:rPr>
          <w:rStyle w:val="normaltextrun"/>
          <w:rFonts w:ascii="Calibri" w:hAnsi="Calibri" w:cs="Calibri"/>
          <w:sz w:val="22"/>
          <w:szCs w:val="22"/>
        </w:rPr>
        <w:t xml:space="preserve">is the number of births per 1,000 females ages 15-19. Source: </w:t>
      </w:r>
      <w:hyperlink r:id="rId12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Center for Disease Control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3ED0C6" w14:textId="77777777" w:rsidR="002D1896" w:rsidRDefault="002D1896"/>
    <w:sectPr w:rsidR="002D1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E2ACF"/>
    <w:multiLevelType w:val="multilevel"/>
    <w:tmpl w:val="008EC6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62318F1"/>
    <w:multiLevelType w:val="multilevel"/>
    <w:tmpl w:val="F9944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DA0605"/>
    <w:multiLevelType w:val="multilevel"/>
    <w:tmpl w:val="6010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AF7CC1"/>
    <w:multiLevelType w:val="multilevel"/>
    <w:tmpl w:val="87880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58594B"/>
    <w:multiLevelType w:val="multilevel"/>
    <w:tmpl w:val="A6AC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F23FFC"/>
    <w:multiLevelType w:val="multilevel"/>
    <w:tmpl w:val="D2580A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62A053B5"/>
    <w:multiLevelType w:val="multilevel"/>
    <w:tmpl w:val="362A3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92C0A12"/>
    <w:multiLevelType w:val="multilevel"/>
    <w:tmpl w:val="F5F6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06141419">
    <w:abstractNumId w:val="7"/>
  </w:num>
  <w:num w:numId="2" w16cid:durableId="1807815371">
    <w:abstractNumId w:val="0"/>
  </w:num>
  <w:num w:numId="3" w16cid:durableId="560554587">
    <w:abstractNumId w:val="2"/>
  </w:num>
  <w:num w:numId="4" w16cid:durableId="2004356808">
    <w:abstractNumId w:val="6"/>
  </w:num>
  <w:num w:numId="5" w16cid:durableId="1655331054">
    <w:abstractNumId w:val="4"/>
  </w:num>
  <w:num w:numId="6" w16cid:durableId="2017027728">
    <w:abstractNumId w:val="5"/>
  </w:num>
  <w:num w:numId="7" w16cid:durableId="1796825530">
    <w:abstractNumId w:val="3"/>
  </w:num>
  <w:num w:numId="8" w16cid:durableId="1952012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BFD"/>
    <w:rsid w:val="002D1896"/>
    <w:rsid w:val="007F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190B9"/>
  <w15:chartTrackingRefBased/>
  <w15:docId w15:val="{520F7155-9731-47C9-A163-EB577BBE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F4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F4BFD"/>
  </w:style>
  <w:style w:type="character" w:customStyle="1" w:styleId="eop">
    <w:name w:val="eop"/>
    <w:basedOn w:val="DefaultParagraphFont"/>
    <w:rsid w:val="007F4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9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ber.org/research/data/current-population-survey-cps-merged-outgoing-rotation-group-earnings-dat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ls.gov/sae/" TargetMode="External"/><Relationship Id="rId12" Type="http://schemas.openxmlformats.org/officeDocument/2006/relationships/hyperlink" Target="https://www.cdc.gov/nchs/data_access/VitalStatsOnline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ber.org/research/data/current-population-survey-cps-merged-outgoing-rotation-group-earnings-data" TargetMode="External"/><Relationship Id="rId11" Type="http://schemas.openxmlformats.org/officeDocument/2006/relationships/hyperlink" Target="https://cps.ipums.org/cps/" TargetMode="External"/><Relationship Id="rId5" Type="http://schemas.openxmlformats.org/officeDocument/2006/relationships/hyperlink" Target="https://fred.stlouisfed.org/categories/27281" TargetMode="External"/><Relationship Id="rId10" Type="http://schemas.openxmlformats.org/officeDocument/2006/relationships/hyperlink" Target="https://cps.ipums.org/cp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ls.gov/opub/reports/womens-databook/2020/home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Russ</dc:creator>
  <cp:keywords/>
  <dc:description/>
  <cp:lastModifiedBy>Stephen Russ</cp:lastModifiedBy>
  <cp:revision>1</cp:revision>
  <dcterms:created xsi:type="dcterms:W3CDTF">2022-07-11T12:40:00Z</dcterms:created>
  <dcterms:modified xsi:type="dcterms:W3CDTF">2022-07-11T12:42:00Z</dcterms:modified>
</cp:coreProperties>
</file>