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7F9" w:rsidRPr="00374421" w:rsidRDefault="00FD16DE" w:rsidP="007207F9">
      <w:pPr>
        <w:pStyle w:val="SheetTitle"/>
        <w:spacing w:before="40" w:after="640"/>
      </w:pPr>
      <w:r>
        <w:rPr>
          <w:noProof/>
        </w:rPr>
        <w:drawing>
          <wp:inline distT="0" distB="0" distL="0" distR="0">
            <wp:extent cx="6181725" cy="733425"/>
            <wp:effectExtent l="0" t="0" r="0" b="0"/>
            <wp:docPr id="5" name="Picture 1" descr="factsheet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_hea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733425"/>
                    </a:xfrm>
                    <a:prstGeom prst="rect">
                      <a:avLst/>
                    </a:prstGeom>
                    <a:noFill/>
                    <a:ln>
                      <a:noFill/>
                    </a:ln>
                  </pic:spPr>
                </pic:pic>
              </a:graphicData>
            </a:graphic>
          </wp:inline>
        </w:drawing>
      </w:r>
    </w:p>
    <w:p w:rsidR="00FD16DE" w:rsidRDefault="00FD16DE" w:rsidP="007207F9">
      <w:pPr>
        <w:pStyle w:val="IntroText"/>
        <w:rPr>
          <w:rFonts w:ascii="Georgia" w:hAnsi="Georgia"/>
          <w:color w:val="00264F"/>
          <w:sz w:val="40"/>
          <w:szCs w:val="40"/>
        </w:rPr>
      </w:pPr>
      <w:r w:rsidRPr="00FD16DE">
        <w:rPr>
          <w:rFonts w:ascii="Georgia" w:hAnsi="Georgia"/>
          <w:color w:val="00264F"/>
          <w:sz w:val="40"/>
          <w:szCs w:val="40"/>
        </w:rPr>
        <w:t>Notice: Important Changes to EITC Interactive Data</w:t>
      </w:r>
    </w:p>
    <w:p w:rsidR="007207F9" w:rsidRPr="00983756" w:rsidRDefault="00FD16DE" w:rsidP="007207F9">
      <w:pPr>
        <w:pStyle w:val="IntroText"/>
        <w:rPr>
          <w:rFonts w:ascii="Arial" w:hAnsi="Arial"/>
          <w:sz w:val="22"/>
          <w:szCs w:val="22"/>
        </w:rPr>
      </w:pPr>
      <w:r w:rsidRPr="00983756">
        <w:rPr>
          <w:rFonts w:ascii="Arial" w:eastAsia="SimSun" w:hAnsi="Arial" w:cs="Arial"/>
          <w:sz w:val="22"/>
          <w:szCs w:val="22"/>
        </w:rPr>
        <w:t xml:space="preserve">The Tax Year 2014 version of the EITC Interactive contains data that are substantially different from previous years’ data, due to changes in </w:t>
      </w:r>
      <w:r w:rsidR="00FB6977">
        <w:rPr>
          <w:rFonts w:ascii="Arial" w:eastAsia="SimSun" w:hAnsi="Arial" w:cs="Arial"/>
          <w:sz w:val="22"/>
          <w:szCs w:val="22"/>
        </w:rPr>
        <w:t>IRS SPEC’s</w:t>
      </w:r>
      <w:r w:rsidRPr="00983756">
        <w:rPr>
          <w:rFonts w:ascii="Arial" w:eastAsia="SimSun" w:hAnsi="Arial" w:cs="Arial"/>
          <w:sz w:val="22"/>
          <w:szCs w:val="22"/>
        </w:rPr>
        <w:t xml:space="preserve"> suppression protocols. This document outlines the nature of the changes, their effect on the data, and provides some guidance about using the data to make comparisons.</w:t>
      </w:r>
      <w:bookmarkStart w:id="0" w:name="_GoBack"/>
      <w:bookmarkEnd w:id="0"/>
    </w:p>
    <w:p w:rsidR="00FD16DE" w:rsidRPr="00983756" w:rsidRDefault="00FD16DE" w:rsidP="00FD16DE">
      <w:pPr>
        <w:pStyle w:val="BodyText"/>
        <w:ind w:left="0"/>
        <w:rPr>
          <w:rFonts w:ascii="Arial" w:eastAsia="SimSun" w:hAnsi="Arial"/>
          <w:b/>
          <w:sz w:val="22"/>
        </w:rPr>
      </w:pPr>
      <w:r w:rsidRPr="00983756">
        <w:rPr>
          <w:rFonts w:ascii="Arial" w:eastAsia="SimSun" w:hAnsi="Arial"/>
          <w:b/>
          <w:sz w:val="22"/>
        </w:rPr>
        <w:t>Changes to the Data</w:t>
      </w:r>
    </w:p>
    <w:p w:rsidR="00FD16DE" w:rsidRDefault="00FD16DE" w:rsidP="00FD16DE">
      <w:pPr>
        <w:pStyle w:val="BodyText"/>
        <w:ind w:left="0"/>
        <w:rPr>
          <w:rFonts w:ascii="Arial" w:eastAsia="SimSun" w:hAnsi="Arial"/>
        </w:rPr>
      </w:pPr>
      <w:r w:rsidRPr="00FD16DE">
        <w:rPr>
          <w:rFonts w:ascii="Arial" w:eastAsia="SimSun" w:hAnsi="Arial"/>
        </w:rPr>
        <w:t>The IRS made three major changes to the data this year:</w:t>
      </w:r>
    </w:p>
    <w:p w:rsidR="00FD16DE" w:rsidRPr="00FD16DE" w:rsidRDefault="00FD16DE" w:rsidP="00983756">
      <w:pPr>
        <w:numPr>
          <w:ilvl w:val="0"/>
          <w:numId w:val="1"/>
        </w:numPr>
        <w:spacing w:after="120"/>
        <w:rPr>
          <w:rFonts w:ascii="Arial" w:eastAsia="SimSun" w:hAnsi="Arial"/>
          <w:color w:val="000000"/>
          <w:sz w:val="20"/>
          <w:lang w:eastAsia="en-US"/>
        </w:rPr>
      </w:pPr>
      <w:r w:rsidRPr="00FD16DE">
        <w:rPr>
          <w:rFonts w:ascii="Arial" w:eastAsia="SimSun" w:hAnsi="Arial"/>
          <w:b/>
          <w:color w:val="000000"/>
          <w:sz w:val="20"/>
          <w:lang w:eastAsia="en-US"/>
        </w:rPr>
        <w:t>Only tax returns where the taxpayer’s adjusted gross income (AGI) was under $60,000 are included.</w:t>
      </w:r>
      <w:r w:rsidRPr="00FD16DE">
        <w:rPr>
          <w:rFonts w:ascii="Arial" w:eastAsia="SimSun" w:hAnsi="Arial"/>
          <w:color w:val="000000"/>
          <w:sz w:val="20"/>
          <w:lang w:eastAsia="en-US"/>
        </w:rPr>
        <w:t xml:space="preserve"> In previous years, the data included tax returns for all filers in a ZIP code, regardless of AGI.</w:t>
      </w:r>
    </w:p>
    <w:p w:rsidR="00FD16DE" w:rsidRPr="00FD16DE" w:rsidRDefault="00FD16DE" w:rsidP="00983756">
      <w:pPr>
        <w:numPr>
          <w:ilvl w:val="0"/>
          <w:numId w:val="1"/>
        </w:numPr>
        <w:spacing w:after="120"/>
        <w:rPr>
          <w:rFonts w:ascii="Arial" w:eastAsia="SimSun" w:hAnsi="Arial"/>
          <w:color w:val="000000"/>
          <w:sz w:val="20"/>
          <w:lang w:eastAsia="en-US"/>
        </w:rPr>
      </w:pPr>
      <w:r w:rsidRPr="00FD16DE">
        <w:rPr>
          <w:rFonts w:ascii="Arial" w:eastAsia="SimSun" w:hAnsi="Arial"/>
          <w:b/>
          <w:color w:val="000000"/>
          <w:sz w:val="20"/>
          <w:lang w:eastAsia="en-US"/>
        </w:rPr>
        <w:t>Data for ZIP codes that contain 100 or fewer returns are excluded.</w:t>
      </w:r>
      <w:r w:rsidRPr="00FD16DE">
        <w:rPr>
          <w:rFonts w:ascii="Arial" w:eastAsia="SimSun" w:hAnsi="Arial"/>
          <w:color w:val="000000"/>
          <w:sz w:val="20"/>
          <w:lang w:eastAsia="en-US"/>
        </w:rPr>
        <w:t xml:space="preserve"> Due to the $60,000 threshold described above, this change means that a ZIP code must have at least 100 filers with AGI under $60,000 in order to be included. Data for all o</w:t>
      </w:r>
      <w:r w:rsidR="0046704F">
        <w:rPr>
          <w:rFonts w:ascii="Arial" w:eastAsia="SimSun" w:hAnsi="Arial"/>
          <w:color w:val="000000"/>
          <w:sz w:val="20"/>
          <w:lang w:eastAsia="en-US"/>
        </w:rPr>
        <w:t xml:space="preserve">ther ZIP codes is not present. </w:t>
      </w:r>
      <w:r w:rsidRPr="00FD16DE">
        <w:rPr>
          <w:rFonts w:ascii="Arial" w:eastAsia="SimSun" w:hAnsi="Arial"/>
          <w:color w:val="000000"/>
          <w:sz w:val="20"/>
          <w:lang w:eastAsia="en-US"/>
        </w:rPr>
        <w:t>In previous years, ZIP codes that had at least 10 filers of any income level were included.</w:t>
      </w:r>
    </w:p>
    <w:p w:rsidR="00FD16DE" w:rsidRDefault="00FD16DE" w:rsidP="00983756">
      <w:pPr>
        <w:numPr>
          <w:ilvl w:val="0"/>
          <w:numId w:val="1"/>
        </w:numPr>
        <w:spacing w:after="120"/>
        <w:rPr>
          <w:rFonts w:ascii="Arial" w:eastAsia="SimSun" w:hAnsi="Arial"/>
          <w:color w:val="000000"/>
          <w:sz w:val="20"/>
          <w:lang w:eastAsia="en-US"/>
        </w:rPr>
      </w:pPr>
      <w:r w:rsidRPr="00FD16DE">
        <w:rPr>
          <w:rFonts w:ascii="Arial" w:eastAsia="SimSun" w:hAnsi="Arial"/>
          <w:b/>
          <w:color w:val="000000"/>
          <w:sz w:val="20"/>
          <w:lang w:eastAsia="en-US"/>
        </w:rPr>
        <w:t>Only variables where more than 20 tax returns were present were included in the data.</w:t>
      </w:r>
      <w:r w:rsidRPr="00FD16DE">
        <w:rPr>
          <w:rFonts w:ascii="Arial" w:eastAsia="SimSun" w:hAnsi="Arial"/>
          <w:color w:val="000000"/>
          <w:sz w:val="20"/>
          <w:lang w:eastAsia="en-US"/>
        </w:rPr>
        <w:t xml:space="preserve"> Cells that contained 20 or fewer returns are suppressed to zero. In previous years, the threshold for suppression was 10 tax returns. </w:t>
      </w:r>
    </w:p>
    <w:p w:rsidR="00983756" w:rsidRPr="00983756" w:rsidRDefault="00983756" w:rsidP="00983756">
      <w:pPr>
        <w:spacing w:after="120"/>
        <w:ind w:left="720"/>
        <w:rPr>
          <w:rFonts w:ascii="Arial" w:eastAsia="SimSun" w:hAnsi="Arial"/>
          <w:color w:val="000000"/>
          <w:sz w:val="20"/>
          <w:lang w:eastAsia="en-US"/>
        </w:rPr>
      </w:pPr>
    </w:p>
    <w:p w:rsidR="00FD16DE" w:rsidRPr="00983756" w:rsidRDefault="00FD16DE" w:rsidP="00FD16DE">
      <w:pPr>
        <w:pStyle w:val="BodyText"/>
        <w:ind w:left="0"/>
        <w:rPr>
          <w:rFonts w:ascii="Arial" w:eastAsia="SimSun" w:hAnsi="Arial"/>
          <w:b/>
          <w:sz w:val="22"/>
        </w:rPr>
      </w:pPr>
      <w:r w:rsidRPr="00983756">
        <w:rPr>
          <w:rFonts w:ascii="Arial" w:eastAsia="SimSun" w:hAnsi="Arial"/>
          <w:b/>
          <w:sz w:val="22"/>
        </w:rPr>
        <w:t>Effects of the Changes</w:t>
      </w:r>
    </w:p>
    <w:p w:rsidR="00983756" w:rsidRDefault="00FD16DE" w:rsidP="00983756">
      <w:pPr>
        <w:pStyle w:val="BodyText"/>
        <w:numPr>
          <w:ilvl w:val="0"/>
          <w:numId w:val="2"/>
        </w:numPr>
        <w:spacing w:after="0"/>
        <w:rPr>
          <w:rFonts w:ascii="Arial" w:eastAsia="SimSun" w:hAnsi="Arial"/>
          <w:b/>
        </w:rPr>
      </w:pPr>
      <w:r w:rsidRPr="00983756">
        <w:rPr>
          <w:rFonts w:ascii="Arial" w:eastAsia="SimSun" w:hAnsi="Arial"/>
          <w:b/>
        </w:rPr>
        <w:t>This year’s version of the EITC interactive only contains data covering EITC returns:</w:t>
      </w:r>
    </w:p>
    <w:p w:rsidR="00983756" w:rsidRDefault="0046704F" w:rsidP="00983756">
      <w:pPr>
        <w:pStyle w:val="BodyText"/>
        <w:ind w:left="720"/>
        <w:rPr>
          <w:rFonts w:ascii="Arial" w:eastAsia="SimSun" w:hAnsi="Arial"/>
        </w:rPr>
      </w:pPr>
      <w:r>
        <w:rPr>
          <w:rFonts w:ascii="Arial" w:eastAsia="SimSun" w:hAnsi="Arial"/>
        </w:rPr>
        <w:t xml:space="preserve">This </w:t>
      </w:r>
      <w:r w:rsidR="00FD16DE" w:rsidRPr="00983756">
        <w:rPr>
          <w:rFonts w:ascii="Arial" w:eastAsia="SimSun" w:hAnsi="Arial"/>
        </w:rPr>
        <w:t>dataset no longer provides the size of the tax filing universe, due to the loss of data about filers with AGI over $60,000.</w:t>
      </w:r>
      <w:r w:rsidR="00E75447">
        <w:rPr>
          <w:rFonts w:ascii="Arial" w:eastAsia="SimSun" w:hAnsi="Arial"/>
        </w:rPr>
        <w:t xml:space="preserve"> As a result, the limited data on all tax filers is only available upon request (interested users </w:t>
      </w:r>
      <w:r w:rsidR="002856EA">
        <w:rPr>
          <w:rFonts w:ascii="Arial" w:eastAsia="SimSun" w:hAnsi="Arial"/>
        </w:rPr>
        <w:t xml:space="preserve">should </w:t>
      </w:r>
      <w:r w:rsidR="00E75447">
        <w:rPr>
          <w:rFonts w:ascii="Arial" w:eastAsia="SimSun" w:hAnsi="Arial"/>
        </w:rPr>
        <w:t xml:space="preserve">e-mail </w:t>
      </w:r>
      <w:r w:rsidR="00E75447" w:rsidRPr="00E75447">
        <w:rPr>
          <w:rFonts w:ascii="Arial" w:eastAsia="SimSun" w:hAnsi="Arial"/>
          <w:highlight w:val="yellow"/>
        </w:rPr>
        <w:t>Natalie Holmes</w:t>
      </w:r>
      <w:r w:rsidR="00E75447">
        <w:rPr>
          <w:rFonts w:ascii="Arial" w:eastAsia="SimSun" w:hAnsi="Arial"/>
        </w:rPr>
        <w:t>).</w:t>
      </w:r>
      <w:r w:rsidR="00FD16DE" w:rsidRPr="00983756">
        <w:rPr>
          <w:rFonts w:ascii="Arial" w:eastAsia="SimSun" w:hAnsi="Arial"/>
        </w:rPr>
        <w:t xml:space="preserve"> </w:t>
      </w:r>
      <w:r w:rsidR="00E75447">
        <w:rPr>
          <w:rFonts w:ascii="Arial" w:eastAsia="SimSun" w:hAnsi="Arial"/>
        </w:rPr>
        <w:t xml:space="preserve">Since filers with AGI over $60,000 </w:t>
      </w:r>
      <w:r w:rsidR="00E75447">
        <w:rPr>
          <w:rFonts w:ascii="Arial" w:eastAsia="SimSun" w:hAnsi="Arial"/>
        </w:rPr>
        <w:t xml:space="preserve">generally </w:t>
      </w:r>
      <w:r w:rsidR="00E75447">
        <w:rPr>
          <w:rFonts w:ascii="Arial" w:eastAsia="SimSun" w:hAnsi="Arial"/>
        </w:rPr>
        <w:t xml:space="preserve">are not eligible to claim the EITC, </w:t>
      </w:r>
      <w:r w:rsidR="002856EA">
        <w:rPr>
          <w:rFonts w:ascii="Arial" w:eastAsia="SimSun" w:hAnsi="Arial"/>
        </w:rPr>
        <w:t xml:space="preserve">this particular change does not </w:t>
      </w:r>
      <w:r w:rsidR="00277273">
        <w:rPr>
          <w:rFonts w:ascii="Arial" w:eastAsia="SimSun" w:hAnsi="Arial"/>
        </w:rPr>
        <w:t>impact the EITC market segment</w:t>
      </w:r>
      <w:r w:rsidR="002856EA">
        <w:rPr>
          <w:rFonts w:ascii="Arial" w:eastAsia="SimSun" w:hAnsi="Arial"/>
        </w:rPr>
        <w:t xml:space="preserve"> as heavily</w:t>
      </w:r>
      <w:r w:rsidR="00277273">
        <w:rPr>
          <w:rFonts w:ascii="Arial" w:eastAsia="SimSun" w:hAnsi="Arial"/>
        </w:rPr>
        <w:t xml:space="preserve">. </w:t>
      </w:r>
    </w:p>
    <w:p w:rsidR="002856EA" w:rsidRPr="002856EA" w:rsidRDefault="002856EA" w:rsidP="002856EA">
      <w:pPr>
        <w:pStyle w:val="BodyText"/>
        <w:numPr>
          <w:ilvl w:val="0"/>
          <w:numId w:val="2"/>
        </w:numPr>
        <w:rPr>
          <w:rFonts w:ascii="Arial" w:eastAsia="SimSun" w:hAnsi="Arial"/>
          <w:b/>
        </w:rPr>
      </w:pPr>
      <w:r>
        <w:rPr>
          <w:rFonts w:ascii="Arial" w:eastAsia="SimSun" w:hAnsi="Arial"/>
          <w:b/>
        </w:rPr>
        <w:t>Without data on all tax filers, it is not possible to compare the characteristics of the EITC market segment with those of the universe of tax filers.</w:t>
      </w:r>
      <w:r>
        <w:rPr>
          <w:rFonts w:ascii="Arial" w:eastAsia="SimSun" w:hAnsi="Arial"/>
        </w:rPr>
        <w:t xml:space="preserve"> For example, </w:t>
      </w:r>
      <w:proofErr w:type="gramStart"/>
      <w:r w:rsidR="008E5F92">
        <w:rPr>
          <w:rFonts w:ascii="Arial" w:eastAsia="SimSun" w:hAnsi="Arial"/>
        </w:rPr>
        <w:t>these data no</w:t>
      </w:r>
      <w:proofErr w:type="gramEnd"/>
      <w:r w:rsidR="008E5F92">
        <w:rPr>
          <w:rFonts w:ascii="Arial" w:eastAsia="SimSun" w:hAnsi="Arial"/>
        </w:rPr>
        <w:t xml:space="preserve"> longer can be used to determine what share of all filers claimed the EITC or what share of tax returns prepared by volunteers were EITC returns.</w:t>
      </w:r>
    </w:p>
    <w:p w:rsidR="00983756" w:rsidRDefault="002856EA" w:rsidP="00983756">
      <w:pPr>
        <w:pStyle w:val="BodyText"/>
        <w:numPr>
          <w:ilvl w:val="0"/>
          <w:numId w:val="2"/>
        </w:numPr>
        <w:spacing w:after="0"/>
        <w:rPr>
          <w:rFonts w:ascii="Arial" w:eastAsia="SimSun" w:hAnsi="Arial"/>
          <w:b/>
        </w:rPr>
      </w:pPr>
      <w:r>
        <w:rPr>
          <w:rFonts w:ascii="Arial" w:eastAsia="SimSun" w:hAnsi="Arial"/>
          <w:b/>
        </w:rPr>
        <w:t xml:space="preserve">Even in the EITC market segment, data </w:t>
      </w:r>
      <w:r w:rsidR="00FD16DE" w:rsidRPr="00983756">
        <w:rPr>
          <w:rFonts w:ascii="Arial" w:eastAsia="SimSun" w:hAnsi="Arial"/>
          <w:b/>
        </w:rPr>
        <w:t>suppression has increased substantially:</w:t>
      </w:r>
    </w:p>
    <w:p w:rsidR="00983756" w:rsidRDefault="00FD16DE" w:rsidP="00983756">
      <w:pPr>
        <w:pStyle w:val="BodyText"/>
        <w:spacing w:after="120"/>
        <w:ind w:left="720"/>
        <w:rPr>
          <w:rFonts w:ascii="Arial" w:eastAsia="SimSun" w:hAnsi="Arial"/>
          <w:b/>
        </w:rPr>
      </w:pPr>
      <w:r w:rsidRPr="00983756">
        <w:rPr>
          <w:rFonts w:ascii="Arial" w:eastAsia="SimSun" w:hAnsi="Arial"/>
        </w:rPr>
        <w:t xml:space="preserve">Unfortunately, the IRS does not provide a flag indicating that data has been suppressed, so it is </w:t>
      </w:r>
      <w:r w:rsidRPr="00983756">
        <w:rPr>
          <w:rFonts w:ascii="Arial" w:eastAsia="SimSun" w:hAnsi="Arial"/>
        </w:rPr>
        <w:lastRenderedPageBreak/>
        <w:t xml:space="preserve">difficult to precisely identify the full scope of suppression. However, in order to better understand the impact of the changes, we applied these new suppression protocols to the data from Tax Year 2013 and were able to identify several </w:t>
      </w:r>
      <w:r w:rsidR="00BD11DB">
        <w:rPr>
          <w:rFonts w:ascii="Arial" w:eastAsia="SimSun" w:hAnsi="Arial"/>
        </w:rPr>
        <w:t>probable</w:t>
      </w:r>
      <w:r w:rsidRPr="00983756">
        <w:rPr>
          <w:rFonts w:ascii="Arial" w:eastAsia="SimSun" w:hAnsi="Arial"/>
        </w:rPr>
        <w:t xml:space="preserve"> effects:</w:t>
      </w:r>
    </w:p>
    <w:p w:rsidR="00983756" w:rsidRDefault="00FD16DE" w:rsidP="00983756">
      <w:pPr>
        <w:pStyle w:val="BodyText"/>
        <w:numPr>
          <w:ilvl w:val="1"/>
          <w:numId w:val="2"/>
        </w:numPr>
        <w:spacing w:after="60" w:line="240" w:lineRule="auto"/>
        <w:rPr>
          <w:rFonts w:ascii="Arial" w:eastAsia="SimSun" w:hAnsi="Arial"/>
          <w:b/>
        </w:rPr>
      </w:pPr>
      <w:r w:rsidRPr="00FD16DE">
        <w:rPr>
          <w:rFonts w:ascii="Arial" w:eastAsia="SimSun" w:hAnsi="Arial"/>
        </w:rPr>
        <w:t>Complete suppression of ZIP codes is geographically concentrated in states</w:t>
      </w:r>
      <w:r w:rsidR="00C26F6D">
        <w:rPr>
          <w:rFonts w:ascii="Arial" w:eastAsia="SimSun" w:hAnsi="Arial"/>
        </w:rPr>
        <w:t xml:space="preserve"> with significant rural components</w:t>
      </w:r>
      <w:r w:rsidRPr="00FD16DE">
        <w:rPr>
          <w:rFonts w:ascii="Arial" w:eastAsia="SimSun" w:hAnsi="Arial"/>
        </w:rPr>
        <w:t>, where ZIP codes contain fewer tax filers.</w:t>
      </w:r>
    </w:p>
    <w:p w:rsidR="007207F9" w:rsidRDefault="00FD16DE" w:rsidP="00BD11DB">
      <w:pPr>
        <w:pStyle w:val="BodyText"/>
        <w:numPr>
          <w:ilvl w:val="1"/>
          <w:numId w:val="2"/>
        </w:numPr>
        <w:spacing w:line="240" w:lineRule="auto"/>
        <w:rPr>
          <w:rFonts w:ascii="Arial" w:eastAsia="SimSun" w:hAnsi="Arial"/>
          <w:b/>
        </w:rPr>
      </w:pPr>
      <w:r w:rsidRPr="00983756">
        <w:rPr>
          <w:rFonts w:ascii="Arial" w:eastAsia="SimSun" w:hAnsi="Arial"/>
        </w:rPr>
        <w:t>Even in ZIP codes where the total number of EITC filers is available, many key variables are newly suppressed.</w:t>
      </w:r>
      <w:r w:rsidR="00C26F6D">
        <w:rPr>
          <w:rFonts w:ascii="Arial" w:eastAsia="SimSun" w:hAnsi="Arial"/>
        </w:rPr>
        <w:t xml:space="preserve"> In particular, the variables for returns prepared by volunteers, filers who did not file last year, and the AGI categories are likely among the most affected.</w:t>
      </w:r>
    </w:p>
    <w:p w:rsidR="00BD11DB" w:rsidRPr="00BD11DB" w:rsidRDefault="00BD11DB" w:rsidP="00BD11DB">
      <w:pPr>
        <w:pStyle w:val="BodyText"/>
        <w:spacing w:line="240" w:lineRule="auto"/>
        <w:ind w:left="0"/>
        <w:rPr>
          <w:rFonts w:ascii="Arial" w:eastAsia="SimSun" w:hAnsi="Arial"/>
        </w:rPr>
      </w:pPr>
      <w:r w:rsidRPr="00BD11DB">
        <w:rPr>
          <w:rFonts w:ascii="Arial" w:eastAsia="SimSun" w:hAnsi="Arial"/>
          <w:b/>
          <w:sz w:val="22"/>
        </w:rPr>
        <w:t>Comparisons</w:t>
      </w:r>
      <w:r>
        <w:rPr>
          <w:rFonts w:ascii="Arial" w:eastAsia="SimSun" w:hAnsi="Arial"/>
          <w:b/>
          <w:sz w:val="22"/>
        </w:rPr>
        <w:t xml:space="preserve"> Over Time and Across Geographies</w:t>
      </w:r>
    </w:p>
    <w:p w:rsidR="00923AD4" w:rsidRDefault="00BD11DB" w:rsidP="00FD16DE">
      <w:pPr>
        <w:pStyle w:val="BodyText"/>
        <w:ind w:left="0"/>
        <w:rPr>
          <w:rFonts w:ascii="Arial" w:hAnsi="Arial" w:cs="Arial"/>
          <w:szCs w:val="24"/>
        </w:rPr>
      </w:pPr>
      <w:r>
        <w:rPr>
          <w:rFonts w:ascii="Arial" w:hAnsi="Arial" w:cs="Arial"/>
          <w:szCs w:val="24"/>
        </w:rPr>
        <w:t xml:space="preserve">As a result of the changes in the universe of tax returns, comparisons between the TY2014 data and data from previous years are not valid. </w:t>
      </w:r>
      <w:r w:rsidR="00FD0FC0">
        <w:rPr>
          <w:rFonts w:ascii="Arial" w:hAnsi="Arial" w:cs="Arial"/>
          <w:szCs w:val="24"/>
        </w:rPr>
        <w:t xml:space="preserve">Even comparisons in the EITC market segment are unlikely to be valid, due to the higher suppression threshold. </w:t>
      </w:r>
      <w:r>
        <w:rPr>
          <w:rFonts w:ascii="Arial" w:hAnsi="Arial" w:cs="Arial"/>
          <w:szCs w:val="24"/>
        </w:rPr>
        <w:t>In addition, because the suppression protocols disproportionately impact less-populated places</w:t>
      </w:r>
      <w:r w:rsidR="00F064A3">
        <w:rPr>
          <w:rFonts w:ascii="Arial" w:hAnsi="Arial" w:cs="Arial"/>
          <w:szCs w:val="24"/>
        </w:rPr>
        <w:t xml:space="preserve"> and because this effect may vary for different variables,</w:t>
      </w:r>
      <w:r>
        <w:rPr>
          <w:rFonts w:ascii="Arial" w:hAnsi="Arial" w:cs="Arial"/>
          <w:szCs w:val="24"/>
        </w:rPr>
        <w:t xml:space="preserve"> comparisons across geographies should be made with caution. </w:t>
      </w:r>
    </w:p>
    <w:sectPr w:rsidR="00923AD4" w:rsidSect="00BC1011">
      <w:footerReference w:type="default" r:id="rId8"/>
      <w:footerReference w:type="first" r:id="rId9"/>
      <w:pgSz w:w="12240" w:h="15840"/>
      <w:pgMar w:top="1440" w:right="1260" w:bottom="1680"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6DE" w:rsidRDefault="00FD16DE">
      <w:r>
        <w:separator/>
      </w:r>
    </w:p>
  </w:endnote>
  <w:endnote w:type="continuationSeparator" w:id="0">
    <w:p w:rsidR="00FD16DE" w:rsidRDefault="00FD1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irfieldLTStd-Light">
    <w:altName w:val="Fairfield LT Std Light"/>
    <w:panose1 w:val="00000000000000000000"/>
    <w:charset w:val="4D"/>
    <w:family w:val="auto"/>
    <w:notTrueType/>
    <w:pitch w:val="default"/>
    <w:sig w:usb0="03000000" w:usb1="00000000" w:usb2="00000000" w:usb3="00000000" w:csb0="00000001" w:csb1="00000000"/>
  </w:font>
  <w:font w:name="Interstate-Light">
    <w:altName w:val="Courier New"/>
    <w:charset w:val="00"/>
    <w:family w:val="auto"/>
    <w:pitch w:val="variable"/>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irfield LT Std Medium">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28B" w:rsidRPr="00374421" w:rsidRDefault="00FD16DE" w:rsidP="00BC1011">
    <w:pPr>
      <w:pStyle w:val="FooterRule"/>
      <w:spacing w:before="120" w:after="120"/>
      <w:rPr>
        <w:rFonts w:ascii="Fairfield LT Std Medium" w:hAnsi="Fairfield LT Std Medium"/>
        <w:color w:val="00264F"/>
        <w:spacing w:val="6"/>
        <w:sz w:val="20"/>
      </w:rPr>
    </w:pPr>
    <w:r>
      <w:rPr>
        <w:rFonts w:ascii="Fairfield LT Std Medium" w:hAnsi="Fairfield LT Std Medium"/>
        <w:noProof/>
        <w:color w:val="00264F"/>
        <w:spacing w:val="6"/>
        <w:sz w:val="20"/>
        <w:szCs w:val="20"/>
      </w:rPr>
      <mc:AlternateContent>
        <mc:Choice Requires="wps">
          <w:drawing>
            <wp:anchor distT="0" distB="0" distL="114300" distR="114300" simplePos="0" relativeHeight="251656704" behindDoc="0" locked="0" layoutInCell="1" allowOverlap="1">
              <wp:simplePos x="0" y="0"/>
              <wp:positionH relativeFrom="column">
                <wp:align>left</wp:align>
              </wp:positionH>
              <wp:positionV relativeFrom="paragraph">
                <wp:posOffset>193040</wp:posOffset>
              </wp:positionV>
              <wp:extent cx="6172200" cy="0"/>
              <wp:effectExtent l="9525" t="12065" r="9525" b="698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29487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7E841" id="Line 3" o:spid="_x0000_s1026" style="position:absolute;z-index:25165670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15.2pt" to="48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" strokecolor="#294875" strokeweight=".5pt"/>
          </w:pict>
        </mc:Fallback>
      </mc:AlternateContent>
    </w:r>
  </w:p>
  <w:p w:rsidR="003F328B" w:rsidRPr="00C1136B" w:rsidRDefault="00FD16DE" w:rsidP="00BC1011">
    <w:pPr>
      <w:pStyle w:val="FooterText"/>
    </w:pPr>
    <w:r>
      <w:rPr>
        <w:noProof/>
      </w:rPr>
      <w:drawing>
        <wp:anchor distT="0" distB="0" distL="114300" distR="114300" simplePos="0" relativeHeight="251657728" behindDoc="0" locked="0" layoutInCell="1" allowOverlap="0">
          <wp:simplePos x="0" y="0"/>
          <wp:positionH relativeFrom="column">
            <wp:align>left</wp:align>
          </wp:positionH>
          <wp:positionV relativeFrom="paragraph">
            <wp:posOffset>-6350</wp:posOffset>
          </wp:positionV>
          <wp:extent cx="818515" cy="92710"/>
          <wp:effectExtent l="0" t="0" r="0" b="0"/>
          <wp:wrapTight wrapText="bothSides">
            <wp:wrapPolygon edited="0">
              <wp:start x="0" y="0"/>
              <wp:lineTo x="0" y="17753"/>
              <wp:lineTo x="21114" y="17753"/>
              <wp:lineTo x="21114" y="0"/>
              <wp:lineTo x="0" y="0"/>
            </wp:wrapPolygon>
          </wp:wrapTight>
          <wp:docPr id="4" name="Picture 4" descr="BROOKINGS_small_1PMS_nove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ROOKINGS_small_1PMS_novert"/>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8515" cy="9271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28B" w:rsidRPr="0037442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28B" w:rsidRPr="00374421" w:rsidRDefault="00FD16DE" w:rsidP="003F328B">
    <w:pPr>
      <w:pStyle w:val="FooterText"/>
      <w:spacing w:before="120" w:after="120"/>
      <w:rPr>
        <w:rFonts w:ascii="Fairfield LT Std Medium" w:hAnsi="Fairfield LT Std Medium"/>
        <w:color w:val="00264F"/>
        <w:spacing w:val="6"/>
        <w:sz w:val="20"/>
      </w:rPr>
    </w:pPr>
    <w:r>
      <w:rPr>
        <w:rFonts w:ascii="Fairfield LT Std Medium" w:hAnsi="Fairfield LT Std Medium"/>
        <w:noProof/>
        <w:color w:val="00264F"/>
        <w:spacing w:val="6"/>
        <w:sz w:val="20"/>
        <w:szCs w:val="20"/>
      </w:rPr>
      <mc:AlternateContent>
        <mc:Choice Requires="wps">
          <w:drawing>
            <wp:anchor distT="0" distB="0" distL="114300" distR="114300" simplePos="0" relativeHeight="251658752" behindDoc="0" locked="0" layoutInCell="1" allowOverlap="1">
              <wp:simplePos x="0" y="0"/>
              <wp:positionH relativeFrom="column">
                <wp:align>left</wp:align>
              </wp:positionH>
              <wp:positionV relativeFrom="paragraph">
                <wp:posOffset>193040</wp:posOffset>
              </wp:positionV>
              <wp:extent cx="6172200" cy="0"/>
              <wp:effectExtent l="9525" t="12065" r="9525" b="698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29487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D8A4E" id="Line 6" o:spid="_x0000_s1026" style="position:absolute;z-index:2516587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15.2pt" to="48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" strokecolor="#294875" strokeweight=".5pt"/>
          </w:pict>
        </mc:Fallback>
      </mc:AlternateContent>
    </w:r>
  </w:p>
  <w:p w:rsidR="003F328B" w:rsidRPr="003F328B" w:rsidRDefault="00FD16DE" w:rsidP="003F328B">
    <w:pPr>
      <w:pStyle w:val="FooterText"/>
      <w:spacing w:before="120" w:after="120"/>
      <w:rPr>
        <w:rFonts w:ascii="Arial" w:hAnsi="Arial" w:cs="Arial"/>
        <w:position w:val="6"/>
        <w:szCs w:val="16"/>
      </w:rPr>
    </w:pPr>
    <w:r w:rsidRPr="000E10F9">
      <w:rPr>
        <w:noProof/>
        <w:color w:val="B7CADB"/>
      </w:rPr>
      <w:drawing>
        <wp:inline distT="0" distB="0" distL="0" distR="0">
          <wp:extent cx="847725" cy="142875"/>
          <wp:effectExtent l="0" t="0" r="0" b="0"/>
          <wp:docPr id="2" name="Picture 2" descr="Brookings_sm_1PMS_no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okings_sm_1PMS_no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142875"/>
                  </a:xfrm>
                  <a:prstGeom prst="rect">
                    <a:avLst/>
                  </a:prstGeom>
                  <a:noFill/>
                  <a:ln>
                    <a:noFill/>
                  </a:ln>
                </pic:spPr>
              </pic:pic>
            </a:graphicData>
          </a:graphic>
        </wp:inline>
      </w:drawing>
    </w:r>
    <w:r w:rsidR="003F328B">
      <w:rPr>
        <w:color w:val="B7CADB"/>
      </w:rPr>
      <w:t xml:space="preserve"> </w:t>
    </w:r>
    <w:proofErr w:type="gramStart"/>
    <w:r w:rsidR="003F328B" w:rsidRPr="003F328B">
      <w:rPr>
        <w:rFonts w:ascii="Arial" w:hAnsi="Arial" w:cs="Arial"/>
        <w:color w:val="B7CADB"/>
        <w:position w:val="6"/>
        <w:szCs w:val="16"/>
      </w:rPr>
      <w:t xml:space="preserve">| </w:t>
    </w:r>
    <w:r w:rsidR="003F328B">
      <w:rPr>
        <w:rFonts w:ascii="Arial" w:hAnsi="Arial" w:cs="Arial"/>
        <w:color w:val="B7CADB"/>
        <w:position w:val="6"/>
        <w:szCs w:val="16"/>
      </w:rPr>
      <w:t xml:space="preserve"> </w:t>
    </w:r>
    <w:smartTag w:uri="urn:schemas-microsoft-com:office:smarttags" w:element="address">
      <w:smartTag w:uri="urn:schemas-microsoft-com:office:smarttags" w:element="Street">
        <w:r w:rsidR="003F328B" w:rsidRPr="003F328B">
          <w:rPr>
            <w:rFonts w:ascii="Arial" w:hAnsi="Arial" w:cs="Arial"/>
            <w:position w:val="6"/>
            <w:szCs w:val="16"/>
          </w:rPr>
          <w:t>1775</w:t>
        </w:r>
        <w:proofErr w:type="gramEnd"/>
        <w:r w:rsidR="003F328B" w:rsidRPr="003F328B">
          <w:rPr>
            <w:rFonts w:ascii="Arial" w:hAnsi="Arial" w:cs="Arial"/>
            <w:position w:val="6"/>
            <w:szCs w:val="16"/>
          </w:rPr>
          <w:t xml:space="preserve"> Massachusetts Avenue, NW</w:t>
        </w:r>
      </w:smartTag>
      <w:r w:rsidR="003F328B" w:rsidRPr="003F328B">
        <w:rPr>
          <w:rFonts w:ascii="Arial" w:hAnsi="Arial" w:cs="Arial"/>
          <w:position w:val="6"/>
          <w:szCs w:val="16"/>
        </w:rPr>
        <w:t xml:space="preserve">, </w:t>
      </w:r>
      <w:smartTag w:uri="urn:schemas-microsoft-com:office:smarttags" w:element="City">
        <w:r w:rsidR="003F328B" w:rsidRPr="003F328B">
          <w:rPr>
            <w:rFonts w:ascii="Arial" w:hAnsi="Arial" w:cs="Arial"/>
            <w:position w:val="6"/>
            <w:szCs w:val="16"/>
          </w:rPr>
          <w:t>Washington</w:t>
        </w:r>
      </w:smartTag>
      <w:r w:rsidR="003F328B" w:rsidRPr="003F328B">
        <w:rPr>
          <w:rFonts w:ascii="Arial" w:hAnsi="Arial" w:cs="Arial"/>
          <w:position w:val="6"/>
          <w:szCs w:val="16"/>
        </w:rPr>
        <w:t xml:space="preserve">, </w:t>
      </w:r>
      <w:smartTag w:uri="urn:schemas-microsoft-com:office:smarttags" w:element="State">
        <w:r w:rsidR="003F328B" w:rsidRPr="003F328B">
          <w:rPr>
            <w:rFonts w:ascii="Arial" w:hAnsi="Arial" w:cs="Arial"/>
            <w:position w:val="6"/>
            <w:szCs w:val="16"/>
          </w:rPr>
          <w:t>DC</w:t>
        </w:r>
      </w:smartTag>
      <w:r w:rsidR="003F328B" w:rsidRPr="003F328B">
        <w:rPr>
          <w:rFonts w:ascii="Arial" w:hAnsi="Arial" w:cs="Arial"/>
          <w:position w:val="6"/>
          <w:szCs w:val="16"/>
        </w:rPr>
        <w:t xml:space="preserve"> </w:t>
      </w:r>
      <w:smartTag w:uri="urn:schemas-microsoft-com:office:smarttags" w:element="PostalCode">
        <w:r w:rsidR="003F328B" w:rsidRPr="003F328B">
          <w:rPr>
            <w:rFonts w:ascii="Arial" w:hAnsi="Arial" w:cs="Arial"/>
            <w:position w:val="6"/>
            <w:szCs w:val="16"/>
          </w:rPr>
          <w:t>20036</w:t>
        </w:r>
      </w:smartTag>
    </w:smartTag>
    <w:r w:rsidR="003F328B" w:rsidRPr="003F328B">
      <w:rPr>
        <w:rFonts w:ascii="Arial" w:hAnsi="Arial" w:cs="Arial"/>
        <w:position w:val="6"/>
        <w:szCs w:val="16"/>
      </w:rPr>
      <w:t xml:space="preserve">  </w:t>
    </w:r>
    <w:r w:rsidR="003F328B" w:rsidRPr="003F328B">
      <w:rPr>
        <w:rFonts w:ascii="Arial" w:hAnsi="Arial" w:cs="Arial"/>
        <w:color w:val="B7CADB"/>
        <w:position w:val="6"/>
        <w:szCs w:val="16"/>
      </w:rPr>
      <w:t>|</w:t>
    </w:r>
    <w:r w:rsidR="003F328B" w:rsidRPr="003F328B">
      <w:rPr>
        <w:rFonts w:ascii="Arial" w:hAnsi="Arial" w:cs="Arial"/>
        <w:position w:val="6"/>
        <w:szCs w:val="16"/>
      </w:rPr>
      <w:t xml:space="preserve">  </w:t>
    </w:r>
    <w:smartTag w:uri="urn:schemas-microsoft-com:office:smarttags" w:element="phone">
      <w:smartTagPr>
        <w:attr w:name="phonenumber" w:val="$6797$$$"/>
        <w:attr w:uri="urn:schemas-microsoft-com:office:office" w:name="ls" w:val="trans"/>
      </w:smartTagPr>
      <w:r w:rsidR="003F328B" w:rsidRPr="003F328B">
        <w:rPr>
          <w:rFonts w:ascii="Arial" w:hAnsi="Arial" w:cs="Arial"/>
          <w:position w:val="6"/>
          <w:szCs w:val="16"/>
        </w:rPr>
        <w:t>202.797.6000</w:t>
      </w:r>
    </w:smartTag>
    <w:r w:rsidR="003F328B" w:rsidRPr="003F328B">
      <w:rPr>
        <w:rFonts w:ascii="Arial" w:hAnsi="Arial" w:cs="Arial"/>
        <w:position w:val="6"/>
        <w:szCs w:val="16"/>
      </w:rPr>
      <w:t xml:space="preserve">  </w:t>
    </w:r>
    <w:r w:rsidR="003F328B" w:rsidRPr="003F328B">
      <w:rPr>
        <w:rFonts w:ascii="Arial" w:hAnsi="Arial" w:cs="Arial"/>
        <w:color w:val="B7CADB"/>
        <w:position w:val="6"/>
        <w:szCs w:val="16"/>
      </w:rPr>
      <w:t>|</w:t>
    </w:r>
    <w:r w:rsidR="003F328B" w:rsidRPr="003F328B">
      <w:rPr>
        <w:rFonts w:ascii="Arial" w:hAnsi="Arial" w:cs="Arial"/>
        <w:position w:val="6"/>
        <w:szCs w:val="16"/>
      </w:rPr>
      <w:t xml:space="preserve">  fax </w:t>
    </w:r>
    <w:smartTag w:uri="urn:schemas-microsoft-com:office:smarttags" w:element="phone">
      <w:smartTagPr>
        <w:attr w:name="phonenumber" w:val="$6697$$$"/>
        <w:attr w:uri="urn:schemas-microsoft-com:office:office" w:name="ls" w:val="trans"/>
      </w:smartTagPr>
      <w:r w:rsidR="003F328B" w:rsidRPr="003F328B">
        <w:rPr>
          <w:rFonts w:ascii="Arial" w:hAnsi="Arial" w:cs="Arial"/>
          <w:position w:val="6"/>
          <w:szCs w:val="16"/>
        </w:rPr>
        <w:t>202.697.6004</w:t>
      </w:r>
    </w:smartTag>
    <w:r w:rsidR="003F328B" w:rsidRPr="003F328B">
      <w:rPr>
        <w:rFonts w:ascii="Arial" w:hAnsi="Arial" w:cs="Arial"/>
        <w:position w:val="6"/>
        <w:szCs w:val="16"/>
      </w:rPr>
      <w:t xml:space="preserve">  </w:t>
    </w:r>
    <w:r w:rsidR="003F328B" w:rsidRPr="003F328B">
      <w:rPr>
        <w:rFonts w:ascii="Arial" w:hAnsi="Arial" w:cs="Arial"/>
        <w:color w:val="B7CADB"/>
        <w:position w:val="6"/>
        <w:szCs w:val="16"/>
      </w:rPr>
      <w:t>|</w:t>
    </w:r>
    <w:r w:rsidR="003F328B" w:rsidRPr="003F328B">
      <w:rPr>
        <w:rFonts w:ascii="Arial" w:hAnsi="Arial" w:cs="Arial"/>
        <w:position w:val="6"/>
        <w:szCs w:val="16"/>
      </w:rPr>
      <w:t xml:space="preserve">  brookings.edu</w:t>
    </w:r>
  </w:p>
  <w:p w:rsidR="003F328B" w:rsidRPr="003F328B" w:rsidRDefault="003F328B" w:rsidP="003F3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6DE" w:rsidRDefault="00FD16DE">
      <w:r>
        <w:separator/>
      </w:r>
    </w:p>
  </w:footnote>
  <w:footnote w:type="continuationSeparator" w:id="0">
    <w:p w:rsidR="00FD16DE" w:rsidRDefault="00FD1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3768C"/>
    <w:multiLevelType w:val="hybridMultilevel"/>
    <w:tmpl w:val="64E62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62F01"/>
    <w:multiLevelType w:val="hybridMultilevel"/>
    <w:tmpl w:val="A604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DE"/>
    <w:rsid w:val="00185F0D"/>
    <w:rsid w:val="00186586"/>
    <w:rsid w:val="002172D0"/>
    <w:rsid w:val="00277273"/>
    <w:rsid w:val="00284BC6"/>
    <w:rsid w:val="002856EA"/>
    <w:rsid w:val="00312B5A"/>
    <w:rsid w:val="00361336"/>
    <w:rsid w:val="0036358E"/>
    <w:rsid w:val="003F328B"/>
    <w:rsid w:val="0046704F"/>
    <w:rsid w:val="00513591"/>
    <w:rsid w:val="005B07F8"/>
    <w:rsid w:val="00613EFF"/>
    <w:rsid w:val="006362BF"/>
    <w:rsid w:val="00681E59"/>
    <w:rsid w:val="006A0E36"/>
    <w:rsid w:val="006B387C"/>
    <w:rsid w:val="006C34ED"/>
    <w:rsid w:val="007207F9"/>
    <w:rsid w:val="00831A7A"/>
    <w:rsid w:val="008A2940"/>
    <w:rsid w:val="008E5F92"/>
    <w:rsid w:val="00923AD4"/>
    <w:rsid w:val="0097160B"/>
    <w:rsid w:val="00983756"/>
    <w:rsid w:val="009C5AF5"/>
    <w:rsid w:val="009C6C41"/>
    <w:rsid w:val="009F6060"/>
    <w:rsid w:val="00AC0157"/>
    <w:rsid w:val="00B30206"/>
    <w:rsid w:val="00BC1011"/>
    <w:rsid w:val="00BD11DB"/>
    <w:rsid w:val="00C26F6D"/>
    <w:rsid w:val="00DA37A8"/>
    <w:rsid w:val="00E4030A"/>
    <w:rsid w:val="00E47C53"/>
    <w:rsid w:val="00E62068"/>
    <w:rsid w:val="00E74C67"/>
    <w:rsid w:val="00E75447"/>
    <w:rsid w:val="00F064A3"/>
    <w:rsid w:val="00FB6977"/>
    <w:rsid w:val="00FD0FC0"/>
    <w:rsid w:val="00FD16DE"/>
    <w:rsid w:val="00FE021B"/>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ostalCode"/>
  <w:shapeDefaults>
    <o:shapedefaults v:ext="edit" spidmax="2055"/>
    <o:shapelayout v:ext="edit">
      <o:idmap v:ext="edit" data="1"/>
    </o:shapelayout>
  </w:shapeDefaults>
  <w:decimalSymbol w:val="."/>
  <w:listSeparator w:val=","/>
  <w14:docId w14:val="6FEC97BE"/>
  <w15:chartTrackingRefBased/>
  <w15:docId w15:val="{F5D1BFB7-6550-4FBE-B819-895103E1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F9"/>
    <w:rPr>
      <w:sz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E2E0F"/>
    <w:pPr>
      <w:tabs>
        <w:tab w:val="center" w:pos="4320"/>
        <w:tab w:val="right" w:pos="8640"/>
      </w:tabs>
    </w:pPr>
  </w:style>
  <w:style w:type="paragraph" w:styleId="Footer">
    <w:name w:val="footer"/>
    <w:basedOn w:val="Normal"/>
    <w:rsid w:val="00FE2E0F"/>
    <w:pPr>
      <w:tabs>
        <w:tab w:val="center" w:pos="4320"/>
        <w:tab w:val="right" w:pos="8640"/>
      </w:tabs>
    </w:pPr>
  </w:style>
  <w:style w:type="paragraph" w:styleId="Date">
    <w:name w:val="Date"/>
    <w:basedOn w:val="Normal"/>
    <w:next w:val="Normal"/>
    <w:rsid w:val="00DA37A8"/>
  </w:style>
  <w:style w:type="paragraph" w:customStyle="1" w:styleId="SheetTitle">
    <w:name w:val="..Sheet Title"/>
    <w:next w:val="IntroText"/>
    <w:rsid w:val="007207F9"/>
    <w:pPr>
      <w:widowControl w:val="0"/>
      <w:suppressAutoHyphens/>
      <w:autoSpaceDE w:val="0"/>
      <w:autoSpaceDN w:val="0"/>
      <w:adjustRightInd w:val="0"/>
      <w:spacing w:before="120" w:after="120" w:line="440" w:lineRule="atLeast"/>
      <w:textAlignment w:val="center"/>
    </w:pPr>
    <w:rPr>
      <w:rFonts w:ascii="FairfieldLTStd-Light" w:hAnsi="FairfieldLTStd-Light"/>
      <w:color w:val="00264F"/>
      <w:sz w:val="40"/>
      <w:szCs w:val="40"/>
    </w:rPr>
  </w:style>
  <w:style w:type="paragraph" w:customStyle="1" w:styleId="IntroText">
    <w:name w:val="..Intro Text"/>
    <w:next w:val="Normal"/>
    <w:rsid w:val="007207F9"/>
    <w:pPr>
      <w:widowControl w:val="0"/>
      <w:suppressAutoHyphens/>
      <w:autoSpaceDE w:val="0"/>
      <w:autoSpaceDN w:val="0"/>
      <w:adjustRightInd w:val="0"/>
      <w:spacing w:after="400" w:line="340" w:lineRule="atLeast"/>
      <w:textAlignment w:val="center"/>
    </w:pPr>
    <w:rPr>
      <w:rFonts w:ascii="Interstate-Light" w:hAnsi="Interstate-Light"/>
      <w:color w:val="294875"/>
      <w:sz w:val="24"/>
      <w:szCs w:val="24"/>
    </w:rPr>
  </w:style>
  <w:style w:type="paragraph" w:customStyle="1" w:styleId="BodyText">
    <w:name w:val="..Body Text"/>
    <w:rsid w:val="007207F9"/>
    <w:pPr>
      <w:widowControl w:val="0"/>
      <w:suppressAutoHyphens/>
      <w:autoSpaceDE w:val="0"/>
      <w:autoSpaceDN w:val="0"/>
      <w:adjustRightInd w:val="0"/>
      <w:spacing w:after="200" w:line="260" w:lineRule="atLeast"/>
      <w:ind w:left="919"/>
      <w:textAlignment w:val="center"/>
    </w:pPr>
    <w:rPr>
      <w:rFonts w:ascii="Interstate-Light" w:hAnsi="Interstate-Light"/>
      <w:color w:val="000000"/>
    </w:rPr>
  </w:style>
  <w:style w:type="paragraph" w:customStyle="1" w:styleId="FooterText">
    <w:name w:val="..Footer Text"/>
    <w:basedOn w:val="FooterRule"/>
    <w:rsid w:val="007207F9"/>
    <w:pPr>
      <w:spacing w:before="134"/>
      <w:ind w:left="24"/>
    </w:pPr>
  </w:style>
  <w:style w:type="paragraph" w:customStyle="1" w:styleId="FooterRule">
    <w:name w:val="..Footer Rule"/>
    <w:rsid w:val="007207F9"/>
    <w:rPr>
      <w:rFonts w:ascii="Interstate-Light" w:hAnsi="Interstate-Light"/>
      <w:color w:val="294875"/>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2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appfiles\APPS\APPS\GPO%20Custom%20Files\OfficeTemplates\Brookings%20Fact%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Brookings Fact Sheet</Template>
  <TotalTime>1080</TotalTime>
  <Pages>2</Pages>
  <Words>572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The Brookings Institution</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Cecile Murray</dc:creator>
  <cp:keywords/>
  <dc:description/>
  <cp:lastModifiedBy>Cecile Murray</cp:lastModifiedBy>
  <cp:revision>10</cp:revision>
  <dcterms:created xsi:type="dcterms:W3CDTF">2016-12-08T21:15:00Z</dcterms:created>
  <dcterms:modified xsi:type="dcterms:W3CDTF">2016-12-09T15:42:00Z</dcterms:modified>
</cp:coreProperties>
</file>