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39B" w:rsidRPr="00FD3482" w:rsidRDefault="0074539B" w:rsidP="0074539B">
      <w:pPr>
        <w:pStyle w:val="Heading1"/>
        <w:spacing w:before="56"/>
        <w:ind w:left="-360" w:firstLine="360"/>
        <w:rPr>
          <w:rFonts w:ascii="Georgia" w:hAnsi="Georgia"/>
          <w:color w:val="003D79"/>
          <w:spacing w:val="-18"/>
          <w:w w:val="105"/>
          <w:sz w:val="28"/>
          <w:szCs w:val="28"/>
        </w:rPr>
      </w:pPr>
      <w:r w:rsidRPr="00FD3482">
        <w:rPr>
          <w:rFonts w:ascii="Georgia" w:hAnsi="Georgia"/>
          <w:color w:val="003D79"/>
          <w:spacing w:val="-18"/>
          <w:w w:val="105"/>
          <w:sz w:val="28"/>
          <w:szCs w:val="28"/>
        </w:rPr>
        <w:t>Acknowledgements</w:t>
      </w:r>
    </w:p>
    <w:p w:rsidR="0074539B" w:rsidRPr="00FD3482" w:rsidRDefault="0074539B" w:rsidP="0074539B">
      <w:pPr>
        <w:pStyle w:val="Heading1"/>
        <w:spacing w:before="56"/>
        <w:ind w:left="-360" w:firstLine="360"/>
        <w:rPr>
          <w:rFonts w:ascii="Georgia" w:hAnsi="Georgia"/>
          <w:b w:val="0"/>
          <w:bCs w:val="0"/>
          <w:sz w:val="28"/>
          <w:szCs w:val="28"/>
        </w:rPr>
      </w:pPr>
    </w:p>
    <w:p w:rsidR="009C715D" w:rsidRPr="00FD3482" w:rsidRDefault="009C715D" w:rsidP="009C715D">
      <w:pPr>
        <w:spacing w:after="0" w:line="240" w:lineRule="auto"/>
        <w:rPr>
          <w:rFonts w:ascii="Arial" w:eastAsia="Times New Roman" w:hAnsi="Arial" w:cs="Arial"/>
        </w:rPr>
      </w:pPr>
      <w:r w:rsidRPr="00FD3482">
        <w:rPr>
          <w:rFonts w:ascii="Arial" w:eastAsia="Times New Roman" w:hAnsi="Arial" w:cs="Arial"/>
        </w:rPr>
        <w:t>The Metropolitan Policy Program at Brookings would like to thank the Nathan Cummings Foundation</w:t>
      </w:r>
      <w:r w:rsidR="00F626CD">
        <w:rPr>
          <w:rFonts w:ascii="Arial" w:eastAsia="Times New Roman" w:hAnsi="Arial" w:cs="Arial"/>
        </w:rPr>
        <w:t xml:space="preserve"> and </w:t>
      </w:r>
      <w:r w:rsidR="00967734">
        <w:rPr>
          <w:rFonts w:ascii="Arial" w:eastAsia="Times New Roman" w:hAnsi="Arial" w:cs="Arial"/>
        </w:rPr>
        <w:t xml:space="preserve">the </w:t>
      </w:r>
      <w:r w:rsidR="00F626CD">
        <w:rPr>
          <w:rFonts w:ascii="Arial" w:eastAsia="Times New Roman" w:hAnsi="Arial" w:cs="Arial"/>
        </w:rPr>
        <w:t>Alcoa Foundation for their</w:t>
      </w:r>
      <w:r w:rsidRPr="00FD3482">
        <w:rPr>
          <w:rFonts w:ascii="Arial" w:eastAsia="Times New Roman" w:hAnsi="Arial" w:cs="Arial"/>
        </w:rPr>
        <w:t xml:space="preserve"> support</w:t>
      </w:r>
      <w:r w:rsidR="00F626CD">
        <w:rPr>
          <w:rFonts w:ascii="Arial" w:eastAsia="Times New Roman" w:hAnsi="Arial" w:cs="Arial"/>
        </w:rPr>
        <w:t xml:space="preserve"> of the Program’s clean economy research</w:t>
      </w:r>
      <w:r w:rsidRPr="00FD3482">
        <w:rPr>
          <w:rFonts w:ascii="Arial" w:eastAsia="Times New Roman" w:hAnsi="Arial" w:cs="Arial"/>
        </w:rPr>
        <w:t>. We would also like to thank</w:t>
      </w:r>
      <w:r w:rsidR="00F626CD">
        <w:rPr>
          <w:rFonts w:ascii="Arial" w:eastAsia="Times New Roman" w:hAnsi="Arial" w:cs="Arial"/>
        </w:rPr>
        <w:t xml:space="preserve"> general supporters of the Program’s advanced industries initiative, including Antoine van Agtmael,</w:t>
      </w:r>
      <w:r w:rsidR="00C34312">
        <w:rPr>
          <w:rFonts w:ascii="Arial" w:eastAsia="Times New Roman" w:hAnsi="Arial" w:cs="Arial"/>
        </w:rPr>
        <w:t xml:space="preserve"> Central Indiana Corporate Partnership</w:t>
      </w:r>
      <w:r w:rsidR="00967734">
        <w:rPr>
          <w:rFonts w:ascii="Arial" w:eastAsia="Times New Roman" w:hAnsi="Arial" w:cs="Arial"/>
        </w:rPr>
        <w:t xml:space="preserve"> </w:t>
      </w:r>
      <w:r w:rsidR="00C34312">
        <w:rPr>
          <w:rFonts w:ascii="Arial" w:eastAsia="Times New Roman" w:hAnsi="Arial" w:cs="Arial"/>
        </w:rPr>
        <w:t>/</w:t>
      </w:r>
      <w:r w:rsidR="00967734">
        <w:rPr>
          <w:rFonts w:ascii="Arial" w:eastAsia="Times New Roman" w:hAnsi="Arial" w:cs="Arial"/>
        </w:rPr>
        <w:t xml:space="preserve"> </w:t>
      </w:r>
      <w:r w:rsidR="00C34312">
        <w:rPr>
          <w:rFonts w:ascii="Arial" w:eastAsia="Times New Roman" w:hAnsi="Arial" w:cs="Arial"/>
        </w:rPr>
        <w:t>BioCrossroads</w:t>
      </w:r>
      <w:r w:rsidR="00967734">
        <w:rPr>
          <w:rFonts w:ascii="Arial" w:eastAsia="Times New Roman" w:hAnsi="Arial" w:cs="Arial"/>
        </w:rPr>
        <w:t>,</w:t>
      </w:r>
      <w:r w:rsidR="00C34312">
        <w:rPr>
          <w:rFonts w:ascii="Arial" w:eastAsia="Times New Roman" w:hAnsi="Arial" w:cs="Arial"/>
        </w:rPr>
        <w:t xml:space="preserve"> HCA Healthcare,</w:t>
      </w:r>
      <w:r w:rsidR="00F626CD">
        <w:rPr>
          <w:rFonts w:ascii="Arial" w:eastAsia="Times New Roman" w:hAnsi="Arial" w:cs="Arial"/>
        </w:rPr>
        <w:t xml:space="preserve"> Lear Corporation, and Switch</w:t>
      </w:r>
      <w:r w:rsidRPr="00FD3482">
        <w:rPr>
          <w:rFonts w:ascii="Arial" w:eastAsia="Times New Roman" w:hAnsi="Arial" w:cs="Arial"/>
        </w:rPr>
        <w:t>.</w:t>
      </w:r>
    </w:p>
    <w:p w:rsidR="009C715D" w:rsidRPr="00FD3482" w:rsidRDefault="009C715D" w:rsidP="009C715D">
      <w:pPr>
        <w:spacing w:after="0" w:line="240" w:lineRule="auto"/>
        <w:rPr>
          <w:rFonts w:ascii="Arial" w:eastAsia="Times New Roman" w:hAnsi="Arial" w:cs="Arial"/>
        </w:rPr>
      </w:pPr>
      <w:bookmarkStart w:id="0" w:name="_GoBack"/>
      <w:bookmarkEnd w:id="0"/>
    </w:p>
    <w:p w:rsidR="009C715D" w:rsidRPr="00FD3482" w:rsidRDefault="009C715D" w:rsidP="009C715D">
      <w:pPr>
        <w:spacing w:after="0" w:line="240" w:lineRule="auto"/>
        <w:rPr>
          <w:rFonts w:ascii="Arial" w:eastAsia="Times New Roman" w:hAnsi="Arial" w:cs="Arial"/>
        </w:rPr>
      </w:pPr>
      <w:r w:rsidRPr="00FD3482">
        <w:rPr>
          <w:rFonts w:ascii="Arial" w:eastAsia="Times New Roman" w:hAnsi="Arial" w:cs="Arial"/>
        </w:rPr>
        <w:t xml:space="preserve">For their substantive contributions to this policy brief and invaluable insights, meanwhile, we wish to thank </w:t>
      </w:r>
      <w:r w:rsidR="00F308FF" w:rsidRPr="00FD3482">
        <w:rPr>
          <w:rFonts w:ascii="Arial" w:eastAsia="Times New Roman" w:hAnsi="Arial" w:cs="Arial"/>
        </w:rPr>
        <w:t xml:space="preserve">David Hart, </w:t>
      </w:r>
      <w:r w:rsidR="000D7E39" w:rsidRPr="00FD3482">
        <w:rPr>
          <w:rFonts w:ascii="Arial" w:eastAsia="Times New Roman" w:hAnsi="Arial" w:cs="Arial"/>
        </w:rPr>
        <w:t xml:space="preserve">Bruce Jones, Jessica </w:t>
      </w:r>
      <w:proofErr w:type="spellStart"/>
      <w:r w:rsidR="000D7E39" w:rsidRPr="00FD3482">
        <w:rPr>
          <w:rFonts w:ascii="Arial" w:eastAsia="Times New Roman" w:hAnsi="Arial" w:cs="Arial"/>
        </w:rPr>
        <w:t>Lovering</w:t>
      </w:r>
      <w:proofErr w:type="spellEnd"/>
      <w:r w:rsidR="000D7E39" w:rsidRPr="00FD3482">
        <w:rPr>
          <w:rFonts w:ascii="Arial" w:eastAsia="Times New Roman" w:hAnsi="Arial" w:cs="Arial"/>
        </w:rPr>
        <w:t>, Adele Morris, and David Victor</w:t>
      </w:r>
      <w:r w:rsidRPr="00FD3482">
        <w:rPr>
          <w:rFonts w:ascii="Arial" w:eastAsia="Times New Roman" w:hAnsi="Arial" w:cs="Arial"/>
        </w:rPr>
        <w:t xml:space="preserve">. </w:t>
      </w:r>
      <w:r w:rsidR="000D7E39" w:rsidRPr="00FD3482">
        <w:rPr>
          <w:rFonts w:ascii="Arial" w:eastAsia="Times New Roman" w:hAnsi="Arial" w:cs="Arial"/>
        </w:rPr>
        <w:t xml:space="preserve"> </w:t>
      </w:r>
      <w:r w:rsidRPr="00FD3482">
        <w:rPr>
          <w:rFonts w:ascii="Arial" w:eastAsia="Times New Roman" w:hAnsi="Arial" w:cs="Arial"/>
        </w:rPr>
        <w:t xml:space="preserve">And finally, within the Metropolitan Policy Program, the authors would like to thank </w:t>
      </w:r>
      <w:r w:rsidR="000D7E39" w:rsidRPr="00FD3482">
        <w:rPr>
          <w:rFonts w:ascii="Arial" w:eastAsia="Times New Roman" w:hAnsi="Arial" w:cs="Arial"/>
        </w:rPr>
        <w:t xml:space="preserve">Kevin Baier, </w:t>
      </w:r>
      <w:r w:rsidRPr="00FD3482">
        <w:rPr>
          <w:rFonts w:ascii="Arial" w:eastAsia="Times New Roman" w:hAnsi="Arial" w:cs="Arial"/>
        </w:rPr>
        <w:t>Alan Berube, Joe Kane, Amy Liu,</w:t>
      </w:r>
      <w:r w:rsidR="00E32DD5">
        <w:rPr>
          <w:rFonts w:ascii="Arial" w:eastAsia="Times New Roman" w:hAnsi="Arial" w:cs="Arial"/>
        </w:rPr>
        <w:t xml:space="preserve"> Sifan Liu,</w:t>
      </w:r>
      <w:r w:rsidRPr="00FD3482">
        <w:rPr>
          <w:rFonts w:ascii="Arial" w:eastAsia="Times New Roman" w:hAnsi="Arial" w:cs="Arial"/>
        </w:rPr>
        <w:t xml:space="preserve"> and Jacob Whiton for their substantive assistance</w:t>
      </w:r>
      <w:r w:rsidR="00F308FF" w:rsidRPr="00FD3482">
        <w:rPr>
          <w:rFonts w:ascii="Arial" w:eastAsia="Times New Roman" w:hAnsi="Arial" w:cs="Arial"/>
        </w:rPr>
        <w:t>;</w:t>
      </w:r>
      <w:r w:rsidRPr="00FD3482">
        <w:rPr>
          <w:rFonts w:ascii="Arial" w:eastAsia="Times New Roman" w:hAnsi="Arial" w:cs="Arial"/>
        </w:rPr>
        <w:t xml:space="preserve"> </w:t>
      </w:r>
      <w:r w:rsidR="0052194B" w:rsidRPr="00846031">
        <w:rPr>
          <w:rFonts w:ascii="Arial" w:eastAsia="Times New Roman" w:hAnsi="Arial" w:cs="Arial"/>
        </w:rPr>
        <w:t>Patrick Watson</w:t>
      </w:r>
      <w:r w:rsidRPr="00846031">
        <w:rPr>
          <w:rFonts w:ascii="Arial" w:eastAsia="Times New Roman" w:hAnsi="Arial" w:cs="Arial"/>
        </w:rPr>
        <w:t xml:space="preserve"> </w:t>
      </w:r>
      <w:r w:rsidR="0052194B">
        <w:rPr>
          <w:rFonts w:ascii="Arial" w:eastAsia="Times New Roman" w:hAnsi="Arial" w:cs="Arial"/>
        </w:rPr>
        <w:t>for his</w:t>
      </w:r>
      <w:r w:rsidRPr="00FD3482">
        <w:rPr>
          <w:rFonts w:ascii="Arial" w:eastAsia="Times New Roman" w:hAnsi="Arial" w:cs="Arial"/>
        </w:rPr>
        <w:t xml:space="preserve"> editorial help</w:t>
      </w:r>
      <w:r w:rsidR="00F308FF" w:rsidRPr="00FD3482">
        <w:rPr>
          <w:rFonts w:ascii="Arial" w:eastAsia="Times New Roman" w:hAnsi="Arial" w:cs="Arial"/>
        </w:rPr>
        <w:t>;</w:t>
      </w:r>
      <w:r w:rsidRPr="00FD3482">
        <w:rPr>
          <w:rFonts w:ascii="Arial" w:eastAsia="Times New Roman" w:hAnsi="Arial" w:cs="Arial"/>
        </w:rPr>
        <w:t xml:space="preserve"> and </w:t>
      </w:r>
      <w:r w:rsidR="0052194B" w:rsidRPr="00846031">
        <w:rPr>
          <w:rFonts w:ascii="Arial" w:eastAsia="Times New Roman" w:hAnsi="Arial" w:cs="Arial"/>
        </w:rPr>
        <w:t xml:space="preserve">Julia Kraeger </w:t>
      </w:r>
      <w:r w:rsidR="0052194B">
        <w:rPr>
          <w:rFonts w:ascii="Arial" w:eastAsia="Times New Roman" w:hAnsi="Arial" w:cs="Arial"/>
        </w:rPr>
        <w:t xml:space="preserve">and </w:t>
      </w:r>
      <w:r w:rsidR="0052194B" w:rsidRPr="00846031">
        <w:rPr>
          <w:rFonts w:ascii="Arial" w:eastAsia="Times New Roman" w:hAnsi="Arial" w:cs="Arial"/>
        </w:rPr>
        <w:t>Allison Courtin</w:t>
      </w:r>
      <w:r w:rsidRPr="00846031">
        <w:rPr>
          <w:rFonts w:ascii="Arial" w:eastAsia="Times New Roman" w:hAnsi="Arial" w:cs="Arial"/>
        </w:rPr>
        <w:t xml:space="preserve"> </w:t>
      </w:r>
      <w:r w:rsidRPr="00FD3482">
        <w:rPr>
          <w:rFonts w:ascii="Arial" w:eastAsia="Times New Roman" w:hAnsi="Arial" w:cs="Arial"/>
        </w:rPr>
        <w:t>for visual development, design, and layout.</w:t>
      </w:r>
    </w:p>
    <w:p w:rsidR="009C715D" w:rsidRPr="0074539B" w:rsidRDefault="009C715D" w:rsidP="009C715D">
      <w:pPr>
        <w:spacing w:after="0" w:line="240" w:lineRule="auto"/>
        <w:rPr>
          <w:rFonts w:eastAsia="Times New Roman" w:cs="Times New Roman"/>
        </w:rPr>
      </w:pPr>
    </w:p>
    <w:p w:rsidR="0074539B" w:rsidRPr="00FD3482" w:rsidRDefault="00FD3482" w:rsidP="0074539B">
      <w:pPr>
        <w:pStyle w:val="Heading1"/>
        <w:spacing w:before="56"/>
        <w:ind w:left="-360" w:firstLine="360"/>
        <w:rPr>
          <w:rFonts w:ascii="Georgia" w:hAnsi="Georgia"/>
          <w:b w:val="0"/>
          <w:bCs w:val="0"/>
          <w:sz w:val="28"/>
          <w:szCs w:val="28"/>
        </w:rPr>
      </w:pPr>
      <w:r w:rsidRPr="00FD3482">
        <w:rPr>
          <w:rFonts w:ascii="Georgia" w:hAnsi="Georgia"/>
          <w:color w:val="003D79"/>
          <w:spacing w:val="-18"/>
          <w:w w:val="105"/>
          <w:sz w:val="28"/>
          <w:szCs w:val="28"/>
        </w:rPr>
        <w:t>About the Authors</w:t>
      </w:r>
    </w:p>
    <w:p w:rsidR="0074539B" w:rsidRPr="00FD3482" w:rsidRDefault="0074539B" w:rsidP="0074539B">
      <w:pPr>
        <w:pStyle w:val="BodyText"/>
        <w:ind w:left="-360"/>
        <w:rPr>
          <w:rFonts w:ascii="Georgia" w:hAnsi="Georgia"/>
          <w:color w:val="231F20"/>
          <w:sz w:val="28"/>
          <w:szCs w:val="28"/>
        </w:rPr>
      </w:pPr>
    </w:p>
    <w:p w:rsidR="00FD3482" w:rsidRPr="00FD3482" w:rsidRDefault="00FD3482" w:rsidP="00FD3482">
      <w:pPr>
        <w:pStyle w:val="Pa6"/>
        <w:spacing w:after="260"/>
        <w:rPr>
          <w:rFonts w:ascii="Arial" w:hAnsi="Arial" w:cs="Arial"/>
          <w:color w:val="000000"/>
        </w:rPr>
      </w:pPr>
      <w:r w:rsidRPr="00FD3482">
        <w:rPr>
          <w:rStyle w:val="A12"/>
          <w:sz w:val="24"/>
          <w:szCs w:val="24"/>
        </w:rPr>
        <w:t xml:space="preserve">Devashree Saha </w:t>
      </w:r>
      <w:r w:rsidRPr="00FD3482">
        <w:rPr>
          <w:rFonts w:ascii="Arial" w:hAnsi="Arial" w:cs="Arial"/>
          <w:color w:val="000000"/>
        </w:rPr>
        <w:t xml:space="preserve">is a senior policy associate and associate fellow at the Brookings Institution Metropolitan Policy Program. Her research primarily focuses on the intersection of clean energy and economic development policy, including the transition to a clean energy economy. </w:t>
      </w:r>
    </w:p>
    <w:p w:rsidR="00FD3482" w:rsidRPr="00FD3482" w:rsidRDefault="00FD3482" w:rsidP="00FD3482">
      <w:pPr>
        <w:pStyle w:val="Pa6"/>
        <w:spacing w:after="260"/>
        <w:rPr>
          <w:rFonts w:ascii="Arial" w:hAnsi="Arial" w:cs="Arial"/>
          <w:color w:val="000000"/>
        </w:rPr>
      </w:pPr>
      <w:r w:rsidRPr="00FD3482">
        <w:rPr>
          <w:rFonts w:ascii="Arial" w:hAnsi="Arial" w:cs="Arial"/>
          <w:b/>
          <w:bCs/>
          <w:color w:val="000000"/>
        </w:rPr>
        <w:t xml:space="preserve">Contact: </w:t>
      </w:r>
      <w:hyperlink r:id="rId4" w:history="1">
        <w:r w:rsidR="00F626CD" w:rsidRPr="00555A8E">
          <w:rPr>
            <w:rStyle w:val="Hyperlink"/>
            <w:rFonts w:ascii="Arial" w:hAnsi="Arial" w:cs="Arial"/>
          </w:rPr>
          <w:t>dsaha@brookings.edu</w:t>
        </w:r>
      </w:hyperlink>
      <w:r w:rsidR="00F626CD">
        <w:rPr>
          <w:rFonts w:ascii="Arial" w:hAnsi="Arial" w:cs="Arial"/>
          <w:color w:val="000000"/>
        </w:rPr>
        <w:t xml:space="preserve"> </w:t>
      </w:r>
      <w:r w:rsidRPr="00FD3482">
        <w:rPr>
          <w:rFonts w:ascii="Arial" w:hAnsi="Arial" w:cs="Arial"/>
          <w:color w:val="000000"/>
        </w:rPr>
        <w:t xml:space="preserve"> </w:t>
      </w:r>
      <w:r w:rsidR="00F626CD">
        <w:rPr>
          <w:rFonts w:ascii="Arial" w:hAnsi="Arial" w:cs="Arial"/>
          <w:color w:val="000000"/>
        </w:rPr>
        <w:t xml:space="preserve"> </w:t>
      </w:r>
    </w:p>
    <w:p w:rsidR="00FD3482" w:rsidRPr="00FD3482" w:rsidRDefault="00FD3482" w:rsidP="00FD3482">
      <w:pPr>
        <w:pStyle w:val="Pa6"/>
        <w:spacing w:after="260"/>
        <w:rPr>
          <w:rFonts w:ascii="Arial" w:hAnsi="Arial" w:cs="Arial"/>
          <w:color w:val="000000"/>
        </w:rPr>
      </w:pPr>
      <w:r w:rsidRPr="00FD3482">
        <w:rPr>
          <w:rStyle w:val="A12"/>
          <w:sz w:val="24"/>
          <w:szCs w:val="24"/>
        </w:rPr>
        <w:t>Mark Muro</w:t>
      </w:r>
      <w:r w:rsidRPr="00FD3482">
        <w:rPr>
          <w:rFonts w:ascii="Arial" w:hAnsi="Arial" w:cs="Arial"/>
          <w:color w:val="000000"/>
        </w:rPr>
        <w:t xml:space="preserve">, a senior fellow and director of policy for the Metropolitan Policy Program at Brookings, manages the program’s public policy analysis and leads key policy research projects. </w:t>
      </w:r>
    </w:p>
    <w:p w:rsidR="0074539B" w:rsidRPr="0074539B" w:rsidRDefault="00FD3482" w:rsidP="00FD3482">
      <w:pPr>
        <w:pStyle w:val="BodyText"/>
        <w:ind w:left="-360" w:firstLine="360"/>
        <w:rPr>
          <w:rFonts w:asciiTheme="minorHAnsi" w:hAnsiTheme="minorHAnsi"/>
          <w:color w:val="231F20"/>
          <w:sz w:val="22"/>
          <w:szCs w:val="22"/>
        </w:rPr>
      </w:pPr>
      <w:r w:rsidRPr="00FD3482">
        <w:rPr>
          <w:rFonts w:cs="Arial"/>
          <w:b/>
          <w:bCs/>
          <w:color w:val="000000"/>
          <w:sz w:val="24"/>
          <w:szCs w:val="24"/>
        </w:rPr>
        <w:t xml:space="preserve">Contact: </w:t>
      </w:r>
      <w:hyperlink r:id="rId5" w:history="1">
        <w:r w:rsidR="00F626CD" w:rsidRPr="00555A8E">
          <w:rPr>
            <w:rStyle w:val="Hyperlink"/>
            <w:rFonts w:cs="Arial"/>
            <w:sz w:val="24"/>
            <w:szCs w:val="24"/>
          </w:rPr>
          <w:t>mmuro@brookings.edu</w:t>
        </w:r>
      </w:hyperlink>
      <w:r w:rsidR="00F626CD">
        <w:rPr>
          <w:rFonts w:cs="Arial"/>
          <w:color w:val="000000"/>
          <w:sz w:val="24"/>
          <w:szCs w:val="24"/>
        </w:rPr>
        <w:t xml:space="preserve"> </w:t>
      </w:r>
    </w:p>
    <w:p w:rsidR="0074539B" w:rsidRPr="0074539B" w:rsidRDefault="0074539B" w:rsidP="0074539B">
      <w:pPr>
        <w:pStyle w:val="BodyText"/>
        <w:ind w:left="-360" w:firstLine="360"/>
        <w:rPr>
          <w:rFonts w:asciiTheme="minorHAnsi" w:hAnsiTheme="minorHAnsi"/>
          <w:color w:val="231F20"/>
          <w:sz w:val="22"/>
          <w:szCs w:val="22"/>
        </w:rPr>
      </w:pPr>
    </w:p>
    <w:p w:rsidR="0074539B" w:rsidRPr="0074539B" w:rsidRDefault="0074539B" w:rsidP="0074539B">
      <w:pPr>
        <w:spacing w:before="1" w:line="240" w:lineRule="exact"/>
        <w:rPr>
          <w:rFonts w:eastAsiaTheme="minorEastAsia"/>
        </w:rPr>
      </w:pPr>
    </w:p>
    <w:p w:rsidR="00FE6E53" w:rsidRDefault="00FE6E53" w:rsidP="009C715D">
      <w:pPr>
        <w:spacing w:after="0" w:line="240" w:lineRule="auto"/>
        <w:rPr>
          <w:rFonts w:ascii="Calibri" w:eastAsia="Times New Roman" w:hAnsi="Calibri" w:cs="Arial"/>
          <w:sz w:val="27"/>
          <w:szCs w:val="27"/>
        </w:rPr>
      </w:pPr>
    </w:p>
    <w:p w:rsidR="00FE6E53" w:rsidRDefault="00FE6E53" w:rsidP="009C715D">
      <w:pPr>
        <w:spacing w:after="0" w:line="240" w:lineRule="auto"/>
        <w:rPr>
          <w:rFonts w:ascii="Calibri" w:eastAsia="Times New Roman" w:hAnsi="Calibri" w:cs="Arial"/>
          <w:sz w:val="27"/>
          <w:szCs w:val="27"/>
        </w:rPr>
      </w:pPr>
    </w:p>
    <w:p w:rsidR="00FE6E53" w:rsidRDefault="00FE6E53" w:rsidP="009C715D">
      <w:pPr>
        <w:spacing w:after="0" w:line="240" w:lineRule="auto"/>
        <w:rPr>
          <w:rFonts w:ascii="Calibri" w:eastAsia="Times New Roman" w:hAnsi="Calibri" w:cs="Arial"/>
          <w:sz w:val="27"/>
          <w:szCs w:val="27"/>
        </w:rPr>
      </w:pPr>
      <w:r w:rsidRPr="00FE6E53">
        <w:rPr>
          <w:rFonts w:ascii="Calibri" w:eastAsia="Times New Roman" w:hAnsi="Calibri" w:cs="Arial"/>
          <w:noProof/>
          <w:sz w:val="27"/>
          <w:szCs w:val="27"/>
        </w:rPr>
        <w:lastRenderedPageBreak/>
        <mc:AlternateContent>
          <mc:Choice Requires="wps">
            <w:drawing>
              <wp:anchor distT="45720" distB="45720" distL="114300" distR="114300" simplePos="0" relativeHeight="251659264" behindDoc="0" locked="0" layoutInCell="1" allowOverlap="1" wp14:anchorId="54BDCD0F" wp14:editId="1070AB64">
                <wp:simplePos x="0" y="0"/>
                <wp:positionH relativeFrom="margin">
                  <wp:align>left</wp:align>
                </wp:positionH>
                <wp:positionV relativeFrom="paragraph">
                  <wp:posOffset>390525</wp:posOffset>
                </wp:positionV>
                <wp:extent cx="5686425" cy="38576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3857625"/>
                        </a:xfrm>
                        <a:prstGeom prst="rect">
                          <a:avLst/>
                        </a:prstGeom>
                        <a:solidFill>
                          <a:srgbClr val="FFFFFF"/>
                        </a:solidFill>
                        <a:ln w="9525">
                          <a:solidFill>
                            <a:srgbClr val="000000"/>
                          </a:solidFill>
                          <a:miter lim="800000"/>
                          <a:headEnd/>
                          <a:tailEnd/>
                        </a:ln>
                      </wps:spPr>
                      <wps:txbx>
                        <w:txbxContent>
                          <w:p w:rsidR="0074539B" w:rsidRDefault="0074539B">
                            <w:pPr>
                              <w:rPr>
                                <w:sz w:val="40"/>
                                <w:szCs w:val="40"/>
                              </w:rPr>
                            </w:pPr>
                            <w:r w:rsidRPr="00FE6E53">
                              <w:rPr>
                                <w:sz w:val="40"/>
                                <w:szCs w:val="40"/>
                              </w:rPr>
                              <w:t>About the Metropolitan Policy Program at Brookings</w:t>
                            </w:r>
                          </w:p>
                          <w:p w:rsidR="0074539B" w:rsidRPr="00FE6E53" w:rsidRDefault="0074539B" w:rsidP="00FE6E53">
                            <w:pPr>
                              <w:spacing w:after="0" w:line="240" w:lineRule="auto"/>
                              <w:rPr>
                                <w:rFonts w:eastAsia="Times New Roman" w:cs="Arial"/>
                                <w:sz w:val="27"/>
                                <w:szCs w:val="27"/>
                              </w:rPr>
                            </w:pPr>
                            <w:r w:rsidRPr="00FE6E53">
                              <w:rPr>
                                <w:rFonts w:eastAsia="Times New Roman" w:cs="Arial"/>
                                <w:sz w:val="27"/>
                                <w:szCs w:val="27"/>
                              </w:rPr>
                              <w:t>The Metropolitan Policy Program at Brookings delivers research and solutions to help metropolitan leaders build an advanced economy that works for all. To learn more visit www.brookings.edu/metro.</w:t>
                            </w:r>
                          </w:p>
                          <w:p w:rsidR="0074539B" w:rsidRDefault="0074539B" w:rsidP="00FE6E53">
                            <w:pPr>
                              <w:spacing w:after="0" w:line="240" w:lineRule="auto"/>
                              <w:rPr>
                                <w:rFonts w:eastAsia="Times New Roman" w:cs="Arial"/>
                                <w:sz w:val="27"/>
                                <w:szCs w:val="27"/>
                              </w:rPr>
                            </w:pPr>
                          </w:p>
                          <w:p w:rsidR="0074539B" w:rsidRDefault="0074539B" w:rsidP="00FE6E53">
                            <w:pPr>
                              <w:spacing w:after="0" w:line="240" w:lineRule="auto"/>
                              <w:rPr>
                                <w:rFonts w:eastAsia="Times New Roman" w:cs="Arial"/>
                                <w:sz w:val="27"/>
                                <w:szCs w:val="27"/>
                              </w:rPr>
                            </w:pPr>
                            <w:r w:rsidRPr="00FE6E53">
                              <w:rPr>
                                <w:rFonts w:eastAsia="Times New Roman" w:cs="Arial"/>
                                <w:sz w:val="27"/>
                                <w:szCs w:val="27"/>
                              </w:rPr>
                              <w:t>The Brookings Institution is a nonprofit organization devoted to independent research and policy solutions. Its mission is to conduct high-quality, independent research and, based on that research, to provide innovative, practical recommendations for policymakers and the public. The conclusions and recommendations of any Brookings publication are solely those of its author(s), and do not reflect the views of the Institution, its management, or its other scholars.</w:t>
                            </w:r>
                          </w:p>
                          <w:p w:rsidR="0074539B" w:rsidRPr="00FE6E53" w:rsidRDefault="0074539B" w:rsidP="00FE6E53">
                            <w:pPr>
                              <w:spacing w:after="0" w:line="240" w:lineRule="auto"/>
                              <w:rPr>
                                <w:rFonts w:eastAsia="Times New Roman" w:cs="Arial"/>
                                <w:sz w:val="27"/>
                                <w:szCs w:val="27"/>
                              </w:rPr>
                            </w:pPr>
                          </w:p>
                          <w:p w:rsidR="0074539B" w:rsidRPr="00FE6E53" w:rsidRDefault="0074539B" w:rsidP="00FE6E53">
                            <w:pPr>
                              <w:spacing w:after="0" w:line="240" w:lineRule="auto"/>
                              <w:rPr>
                                <w:rFonts w:ascii="Arial" w:eastAsia="Times New Roman" w:hAnsi="Arial" w:cs="Arial"/>
                                <w:sz w:val="27"/>
                                <w:szCs w:val="27"/>
                              </w:rPr>
                            </w:pPr>
                            <w:r w:rsidRPr="00FE6E53">
                              <w:rPr>
                                <w:rFonts w:ascii="Calibri" w:eastAsia="Times New Roman" w:hAnsi="Calibri" w:cs="Arial"/>
                                <w:sz w:val="27"/>
                                <w:szCs w:val="27"/>
                              </w:rPr>
                              <w:t>Brookings recognizes that the value it provides is in its absolute commitment to quality</w:t>
                            </w:r>
                            <w:r>
                              <w:rPr>
                                <w:rFonts w:ascii="Calibri" w:eastAsia="Times New Roman" w:hAnsi="Calibri" w:cs="Arial"/>
                                <w:sz w:val="27"/>
                                <w:szCs w:val="27"/>
                              </w:rPr>
                              <w:t xml:space="preserve"> </w:t>
                            </w:r>
                            <w:r w:rsidRPr="00FE6E53">
                              <w:rPr>
                                <w:rFonts w:eastAsia="Times New Roman" w:cs="Arial"/>
                                <w:sz w:val="27"/>
                                <w:szCs w:val="27"/>
                              </w:rPr>
                              <w:t>independence, and impact. Activities supported by its donors reflect this commitment.</w:t>
                            </w:r>
                          </w:p>
                          <w:p w:rsidR="0074539B" w:rsidRPr="00FE6E53" w:rsidRDefault="0074539B">
                            <w:pPr>
                              <w:rPr>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BDCD0F" id="_x0000_t202" coordsize="21600,21600" o:spt="202" path="m,l,21600r21600,l21600,xe">
                <v:stroke joinstyle="miter"/>
                <v:path gradientshapeok="t" o:connecttype="rect"/>
              </v:shapetype>
              <v:shape id="Text Box 2" o:spid="_x0000_s1026" type="#_x0000_t202" style="position:absolute;margin-left:0;margin-top:30.75pt;width:447.75pt;height:303.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">
                <v:textbox>
                  <w:txbxContent>
                    <w:p w:rsidR="0074539B" w:rsidRDefault="0074539B">
                      <w:pPr>
                        <w:rPr>
                          <w:sz w:val="40"/>
                          <w:szCs w:val="40"/>
                        </w:rPr>
                      </w:pPr>
                      <w:r w:rsidRPr="00FE6E53">
                        <w:rPr>
                          <w:sz w:val="40"/>
                          <w:szCs w:val="40"/>
                        </w:rPr>
                        <w:t>About the Metropolitan Policy Program at Brookings</w:t>
                      </w:r>
                    </w:p>
                    <w:p w:rsidR="0074539B" w:rsidRPr="00FE6E53" w:rsidRDefault="0074539B" w:rsidP="00FE6E53">
                      <w:pPr>
                        <w:spacing w:after="0" w:line="240" w:lineRule="auto"/>
                        <w:rPr>
                          <w:rFonts w:eastAsia="Times New Roman" w:cs="Arial"/>
                          <w:sz w:val="27"/>
                          <w:szCs w:val="27"/>
                        </w:rPr>
                      </w:pPr>
                      <w:r w:rsidRPr="00FE6E53">
                        <w:rPr>
                          <w:rFonts w:eastAsia="Times New Roman" w:cs="Arial"/>
                          <w:sz w:val="27"/>
                          <w:szCs w:val="27"/>
                        </w:rPr>
                        <w:t>The Metropolitan Policy Program at Brookings delivers research and solutions to help metropolitan leaders build an advanced economy that works for all. To learn more visit www.brookings.edu/metro.</w:t>
                      </w:r>
                    </w:p>
                    <w:p w:rsidR="0074539B" w:rsidRDefault="0074539B" w:rsidP="00FE6E53">
                      <w:pPr>
                        <w:spacing w:after="0" w:line="240" w:lineRule="auto"/>
                        <w:rPr>
                          <w:rFonts w:eastAsia="Times New Roman" w:cs="Arial"/>
                          <w:sz w:val="27"/>
                          <w:szCs w:val="27"/>
                        </w:rPr>
                      </w:pPr>
                    </w:p>
                    <w:p w:rsidR="0074539B" w:rsidRDefault="0074539B" w:rsidP="00FE6E53">
                      <w:pPr>
                        <w:spacing w:after="0" w:line="240" w:lineRule="auto"/>
                        <w:rPr>
                          <w:rFonts w:eastAsia="Times New Roman" w:cs="Arial"/>
                          <w:sz w:val="27"/>
                          <w:szCs w:val="27"/>
                        </w:rPr>
                      </w:pPr>
                      <w:r w:rsidRPr="00FE6E53">
                        <w:rPr>
                          <w:rFonts w:eastAsia="Times New Roman" w:cs="Arial"/>
                          <w:sz w:val="27"/>
                          <w:szCs w:val="27"/>
                        </w:rPr>
                        <w:t>The Brookings Institution is a nonprofit organization devoted to independent research and policy solutions. Its mission is to conduct high-quality, independent research and, based on that research, to provide innovative, practical recommendations for policymakers and the public. The conclusions and recommendations of any Brookings publication are solely those of its author(s), and do not reflect the views of the Institution, its management, or its other scholars.</w:t>
                      </w:r>
                    </w:p>
                    <w:p w:rsidR="0074539B" w:rsidRPr="00FE6E53" w:rsidRDefault="0074539B" w:rsidP="00FE6E53">
                      <w:pPr>
                        <w:spacing w:after="0" w:line="240" w:lineRule="auto"/>
                        <w:rPr>
                          <w:rFonts w:eastAsia="Times New Roman" w:cs="Arial"/>
                          <w:sz w:val="27"/>
                          <w:szCs w:val="27"/>
                        </w:rPr>
                      </w:pPr>
                    </w:p>
                    <w:p w:rsidR="0074539B" w:rsidRPr="00FE6E53" w:rsidRDefault="0074539B" w:rsidP="00FE6E53">
                      <w:pPr>
                        <w:spacing w:after="0" w:line="240" w:lineRule="auto"/>
                        <w:rPr>
                          <w:rFonts w:ascii="Arial" w:eastAsia="Times New Roman" w:hAnsi="Arial" w:cs="Arial"/>
                          <w:sz w:val="27"/>
                          <w:szCs w:val="27"/>
                        </w:rPr>
                      </w:pPr>
                      <w:r w:rsidRPr="00FE6E53">
                        <w:rPr>
                          <w:rFonts w:ascii="Calibri" w:eastAsia="Times New Roman" w:hAnsi="Calibri" w:cs="Arial"/>
                          <w:sz w:val="27"/>
                          <w:szCs w:val="27"/>
                        </w:rPr>
                        <w:t>Brookings recognizes that the value it provides is in its absolute commitment to quality</w:t>
                      </w:r>
                      <w:r>
                        <w:rPr>
                          <w:rFonts w:ascii="Calibri" w:eastAsia="Times New Roman" w:hAnsi="Calibri" w:cs="Arial"/>
                          <w:sz w:val="27"/>
                          <w:szCs w:val="27"/>
                        </w:rPr>
                        <w:t xml:space="preserve"> </w:t>
                      </w:r>
                      <w:r w:rsidRPr="00FE6E53">
                        <w:rPr>
                          <w:rFonts w:eastAsia="Times New Roman" w:cs="Arial"/>
                          <w:sz w:val="27"/>
                          <w:szCs w:val="27"/>
                        </w:rPr>
                        <w:t>independence, and impact. Activities supported by its donors reflect this commitment.</w:t>
                      </w:r>
                    </w:p>
                    <w:p w:rsidR="0074539B" w:rsidRPr="00FE6E53" w:rsidRDefault="0074539B">
                      <w:pPr>
                        <w:rPr>
                          <w:sz w:val="40"/>
                          <w:szCs w:val="40"/>
                        </w:rPr>
                      </w:pPr>
                    </w:p>
                  </w:txbxContent>
                </v:textbox>
                <w10:wrap type="square" anchorx="margin"/>
              </v:shape>
            </w:pict>
          </mc:Fallback>
        </mc:AlternateContent>
      </w:r>
    </w:p>
    <w:p w:rsidR="00FE6E53" w:rsidRPr="009C715D" w:rsidRDefault="00FE6E53" w:rsidP="009C715D">
      <w:pPr>
        <w:spacing w:after="0" w:line="240" w:lineRule="auto"/>
        <w:rPr>
          <w:rFonts w:ascii="Calibri" w:eastAsia="Times New Roman" w:hAnsi="Calibri" w:cs="Arial"/>
          <w:sz w:val="27"/>
          <w:szCs w:val="27"/>
        </w:rPr>
      </w:pPr>
    </w:p>
    <w:p w:rsidR="000D7E39" w:rsidRPr="0074539B" w:rsidRDefault="000D7E39">
      <w:pPr>
        <w:rPr>
          <w:rFonts w:ascii="Calibri" w:hAnsi="Calibri"/>
          <w:color w:val="FF0000"/>
        </w:rPr>
      </w:pPr>
      <w:r>
        <w:rPr>
          <w:rFonts w:ascii="Calibri" w:hAnsi="Calibri"/>
          <w:color w:val="FF0000"/>
        </w:rPr>
        <w:t>Get any disclaimer language</w:t>
      </w:r>
    </w:p>
    <w:p w:rsidR="00D151EF" w:rsidRPr="00D151EF" w:rsidRDefault="00D151EF" w:rsidP="00D151EF">
      <w:pPr>
        <w:spacing w:after="0" w:line="240" w:lineRule="auto"/>
        <w:rPr>
          <w:rFonts w:eastAsia="Times New Roman" w:cs="Arial"/>
          <w:sz w:val="27"/>
          <w:szCs w:val="27"/>
        </w:rPr>
      </w:pPr>
      <w:r w:rsidRPr="00D151EF">
        <w:rPr>
          <w:rFonts w:eastAsia="Times New Roman" w:cs="Arial"/>
          <w:sz w:val="27"/>
          <w:szCs w:val="27"/>
        </w:rPr>
        <w:t>1775 Massachusetts Avenue, NW</w:t>
      </w:r>
    </w:p>
    <w:p w:rsidR="00D151EF" w:rsidRPr="00D151EF" w:rsidRDefault="00D151EF" w:rsidP="00D151EF">
      <w:pPr>
        <w:spacing w:after="0" w:line="240" w:lineRule="auto"/>
        <w:rPr>
          <w:rFonts w:eastAsia="Times New Roman" w:cs="Arial"/>
          <w:sz w:val="27"/>
          <w:szCs w:val="27"/>
        </w:rPr>
      </w:pPr>
      <w:r w:rsidRPr="00D151EF">
        <w:rPr>
          <w:rFonts w:eastAsia="Times New Roman" w:cs="Arial"/>
          <w:sz w:val="27"/>
          <w:szCs w:val="27"/>
        </w:rPr>
        <w:t>Washington D.C. 20036-2188</w:t>
      </w:r>
    </w:p>
    <w:p w:rsidR="00D151EF" w:rsidRPr="00D151EF" w:rsidRDefault="00D151EF" w:rsidP="00D151EF">
      <w:pPr>
        <w:spacing w:after="0" w:line="240" w:lineRule="auto"/>
        <w:rPr>
          <w:rFonts w:eastAsia="Times New Roman" w:cs="Arial"/>
          <w:sz w:val="27"/>
          <w:szCs w:val="27"/>
        </w:rPr>
      </w:pPr>
      <w:r w:rsidRPr="00D151EF">
        <w:rPr>
          <w:rFonts w:eastAsia="Times New Roman" w:cs="Arial"/>
          <w:sz w:val="27"/>
          <w:szCs w:val="27"/>
        </w:rPr>
        <w:t>telephone 202.797.6000</w:t>
      </w:r>
    </w:p>
    <w:p w:rsidR="00D151EF" w:rsidRPr="00D151EF" w:rsidRDefault="00D151EF" w:rsidP="00D151EF">
      <w:pPr>
        <w:spacing w:after="0" w:line="240" w:lineRule="auto"/>
        <w:rPr>
          <w:rFonts w:eastAsia="Times New Roman" w:cs="Arial"/>
          <w:sz w:val="27"/>
          <w:szCs w:val="27"/>
        </w:rPr>
      </w:pPr>
      <w:r w:rsidRPr="00D151EF">
        <w:rPr>
          <w:rFonts w:eastAsia="Times New Roman" w:cs="Arial"/>
          <w:sz w:val="27"/>
          <w:szCs w:val="27"/>
        </w:rPr>
        <w:t>fax 202.797.6004</w:t>
      </w:r>
    </w:p>
    <w:p w:rsidR="00D151EF" w:rsidRPr="00D151EF" w:rsidRDefault="00D151EF" w:rsidP="00D151EF">
      <w:pPr>
        <w:spacing w:after="0" w:line="240" w:lineRule="auto"/>
        <w:rPr>
          <w:rFonts w:eastAsia="Times New Roman" w:cs="Arial"/>
          <w:b/>
          <w:sz w:val="27"/>
          <w:szCs w:val="27"/>
        </w:rPr>
      </w:pPr>
      <w:r w:rsidRPr="00D151EF">
        <w:rPr>
          <w:rFonts w:eastAsia="Times New Roman" w:cs="Arial"/>
          <w:b/>
          <w:sz w:val="27"/>
          <w:szCs w:val="27"/>
        </w:rPr>
        <w:t>www.brookings.edu</w:t>
      </w:r>
    </w:p>
    <w:p w:rsidR="00D151EF" w:rsidRDefault="00D151EF" w:rsidP="00D151EF">
      <w:pPr>
        <w:spacing w:after="0" w:line="240" w:lineRule="auto"/>
        <w:rPr>
          <w:rFonts w:eastAsia="Times New Roman" w:cs="Arial"/>
          <w:sz w:val="27"/>
          <w:szCs w:val="27"/>
        </w:rPr>
      </w:pPr>
    </w:p>
    <w:p w:rsidR="00D151EF" w:rsidRPr="00D151EF" w:rsidRDefault="00D151EF" w:rsidP="00D151EF">
      <w:pPr>
        <w:spacing w:after="0" w:line="240" w:lineRule="auto"/>
        <w:rPr>
          <w:rFonts w:eastAsia="Times New Roman" w:cs="Arial"/>
          <w:b/>
          <w:sz w:val="27"/>
          <w:szCs w:val="27"/>
        </w:rPr>
      </w:pPr>
      <w:r w:rsidRPr="00D151EF">
        <w:rPr>
          <w:rFonts w:eastAsia="Times New Roman" w:cs="Arial"/>
          <w:b/>
          <w:sz w:val="27"/>
          <w:szCs w:val="27"/>
        </w:rPr>
        <w:t>Metropolitan Policy Program</w:t>
      </w:r>
    </w:p>
    <w:p w:rsidR="00D151EF" w:rsidRPr="00D151EF" w:rsidRDefault="00D151EF" w:rsidP="00D151EF">
      <w:pPr>
        <w:spacing w:after="0" w:line="240" w:lineRule="auto"/>
        <w:rPr>
          <w:rFonts w:eastAsia="Times New Roman" w:cs="Arial"/>
          <w:sz w:val="27"/>
          <w:szCs w:val="27"/>
        </w:rPr>
      </w:pPr>
      <w:r w:rsidRPr="00D151EF">
        <w:rPr>
          <w:rFonts w:eastAsia="Times New Roman" w:cs="Arial"/>
          <w:sz w:val="27"/>
          <w:szCs w:val="27"/>
        </w:rPr>
        <w:t>telephone 202.797.6139</w:t>
      </w:r>
    </w:p>
    <w:p w:rsidR="00D151EF" w:rsidRPr="00D151EF" w:rsidRDefault="00D151EF" w:rsidP="00D151EF">
      <w:pPr>
        <w:spacing w:after="0" w:line="240" w:lineRule="auto"/>
        <w:rPr>
          <w:rFonts w:eastAsia="Times New Roman" w:cs="Arial"/>
          <w:sz w:val="27"/>
          <w:szCs w:val="27"/>
        </w:rPr>
      </w:pPr>
      <w:r w:rsidRPr="00D151EF">
        <w:rPr>
          <w:rFonts w:eastAsia="Times New Roman" w:cs="Arial"/>
          <w:sz w:val="27"/>
          <w:szCs w:val="27"/>
        </w:rPr>
        <w:t>fax 202.797.2965</w:t>
      </w:r>
    </w:p>
    <w:p w:rsidR="00D151EF" w:rsidRPr="00D151EF" w:rsidRDefault="00D151EF" w:rsidP="00D151EF">
      <w:pPr>
        <w:spacing w:after="0" w:line="240" w:lineRule="auto"/>
        <w:rPr>
          <w:rFonts w:eastAsia="Times New Roman" w:cs="Arial"/>
          <w:b/>
          <w:sz w:val="27"/>
          <w:szCs w:val="27"/>
        </w:rPr>
      </w:pPr>
      <w:r w:rsidRPr="00D151EF">
        <w:rPr>
          <w:rFonts w:eastAsia="Times New Roman" w:cs="Arial"/>
          <w:b/>
          <w:sz w:val="27"/>
          <w:szCs w:val="27"/>
        </w:rPr>
        <w:t>www.brookings.edu/metro</w:t>
      </w:r>
    </w:p>
    <w:p w:rsidR="00D151EF" w:rsidRPr="00D151EF" w:rsidRDefault="00D151EF"/>
    <w:sectPr w:rsidR="00D151EF" w:rsidRPr="00D15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15D"/>
    <w:rsid w:val="000D7E39"/>
    <w:rsid w:val="002D0C75"/>
    <w:rsid w:val="00437296"/>
    <w:rsid w:val="0052194B"/>
    <w:rsid w:val="0074539B"/>
    <w:rsid w:val="00846031"/>
    <w:rsid w:val="00880ADF"/>
    <w:rsid w:val="00967734"/>
    <w:rsid w:val="009C715D"/>
    <w:rsid w:val="00B6738F"/>
    <w:rsid w:val="00C34312"/>
    <w:rsid w:val="00D151EF"/>
    <w:rsid w:val="00E32DD5"/>
    <w:rsid w:val="00F308FF"/>
    <w:rsid w:val="00F626CD"/>
    <w:rsid w:val="00FD3482"/>
    <w:rsid w:val="00FE6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D84C0C-6EEB-4FD1-9A01-9F8871D6A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74539B"/>
    <w:pPr>
      <w:widowControl w:val="0"/>
      <w:spacing w:after="0" w:line="240" w:lineRule="auto"/>
      <w:ind w:left="116"/>
      <w:outlineLvl w:val="0"/>
    </w:pPr>
    <w:rPr>
      <w:rFonts w:ascii="Times New Roman" w:eastAsia="Times New Roman" w:hAnsi="Times New Roman"/>
      <w:b/>
      <w:bCs/>
      <w:sz w:val="24"/>
      <w:szCs w:val="24"/>
    </w:rPr>
  </w:style>
  <w:style w:type="paragraph" w:styleId="Heading2">
    <w:name w:val="heading 2"/>
    <w:basedOn w:val="Normal"/>
    <w:link w:val="Heading2Char"/>
    <w:uiPriority w:val="1"/>
    <w:semiHidden/>
    <w:unhideWhenUsed/>
    <w:qFormat/>
    <w:rsid w:val="0074539B"/>
    <w:pPr>
      <w:widowControl w:val="0"/>
      <w:spacing w:before="33" w:after="0" w:line="240" w:lineRule="auto"/>
      <w:ind w:left="116"/>
      <w:outlineLvl w:val="1"/>
    </w:pPr>
    <w:rPr>
      <w:rFonts w:ascii="Arial" w:eastAsia="Arial" w:hAnsi="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715D"/>
    <w:rPr>
      <w:color w:val="0563C1" w:themeColor="hyperlink"/>
      <w:u w:val="single"/>
    </w:rPr>
  </w:style>
  <w:style w:type="character" w:customStyle="1" w:styleId="Heading1Char">
    <w:name w:val="Heading 1 Char"/>
    <w:basedOn w:val="DefaultParagraphFont"/>
    <w:link w:val="Heading1"/>
    <w:uiPriority w:val="1"/>
    <w:rsid w:val="0074539B"/>
    <w:rPr>
      <w:rFonts w:ascii="Times New Roman" w:eastAsia="Times New Roman" w:hAnsi="Times New Roman"/>
      <w:b/>
      <w:bCs/>
      <w:sz w:val="24"/>
      <w:szCs w:val="24"/>
    </w:rPr>
  </w:style>
  <w:style w:type="character" w:customStyle="1" w:styleId="Heading2Char">
    <w:name w:val="Heading 2 Char"/>
    <w:basedOn w:val="DefaultParagraphFont"/>
    <w:link w:val="Heading2"/>
    <w:uiPriority w:val="1"/>
    <w:semiHidden/>
    <w:rsid w:val="0074539B"/>
    <w:rPr>
      <w:rFonts w:ascii="Arial" w:eastAsia="Arial" w:hAnsi="Arial"/>
      <w:b/>
      <w:bCs/>
      <w:sz w:val="18"/>
      <w:szCs w:val="18"/>
    </w:rPr>
  </w:style>
  <w:style w:type="paragraph" w:styleId="BodyText">
    <w:name w:val="Body Text"/>
    <w:basedOn w:val="Normal"/>
    <w:link w:val="BodyTextChar"/>
    <w:uiPriority w:val="1"/>
    <w:unhideWhenUsed/>
    <w:qFormat/>
    <w:rsid w:val="0074539B"/>
    <w:pPr>
      <w:widowControl w:val="0"/>
      <w:spacing w:before="1" w:after="0" w:line="240" w:lineRule="auto"/>
      <w:ind w:left="110"/>
    </w:pPr>
    <w:rPr>
      <w:rFonts w:ascii="Arial" w:eastAsia="Arial" w:hAnsi="Arial"/>
      <w:sz w:val="18"/>
      <w:szCs w:val="18"/>
    </w:rPr>
  </w:style>
  <w:style w:type="character" w:customStyle="1" w:styleId="BodyTextChar">
    <w:name w:val="Body Text Char"/>
    <w:basedOn w:val="DefaultParagraphFont"/>
    <w:link w:val="BodyText"/>
    <w:uiPriority w:val="1"/>
    <w:rsid w:val="0074539B"/>
    <w:rPr>
      <w:rFonts w:ascii="Arial" w:eastAsia="Arial" w:hAnsi="Arial"/>
      <w:sz w:val="18"/>
      <w:szCs w:val="18"/>
    </w:rPr>
  </w:style>
  <w:style w:type="paragraph" w:customStyle="1" w:styleId="Pa8">
    <w:name w:val="Pa8"/>
    <w:basedOn w:val="Normal"/>
    <w:next w:val="Normal"/>
    <w:uiPriority w:val="99"/>
    <w:rsid w:val="00FD3482"/>
    <w:pPr>
      <w:autoSpaceDE w:val="0"/>
      <w:autoSpaceDN w:val="0"/>
      <w:adjustRightInd w:val="0"/>
      <w:spacing w:after="0" w:line="361" w:lineRule="atLeast"/>
    </w:pPr>
    <w:rPr>
      <w:rFonts w:ascii="Georgia" w:hAnsi="Georgia"/>
      <w:sz w:val="24"/>
      <w:szCs w:val="24"/>
    </w:rPr>
  </w:style>
  <w:style w:type="paragraph" w:customStyle="1" w:styleId="Pa6">
    <w:name w:val="Pa6"/>
    <w:basedOn w:val="Normal"/>
    <w:next w:val="Normal"/>
    <w:uiPriority w:val="99"/>
    <w:rsid w:val="00FD3482"/>
    <w:pPr>
      <w:autoSpaceDE w:val="0"/>
      <w:autoSpaceDN w:val="0"/>
      <w:adjustRightInd w:val="0"/>
      <w:spacing w:after="0" w:line="221" w:lineRule="atLeast"/>
    </w:pPr>
    <w:rPr>
      <w:rFonts w:ascii="Georgia" w:hAnsi="Georgia"/>
      <w:sz w:val="24"/>
      <w:szCs w:val="24"/>
    </w:rPr>
  </w:style>
  <w:style w:type="character" w:customStyle="1" w:styleId="A12">
    <w:name w:val="A12"/>
    <w:uiPriority w:val="99"/>
    <w:rsid w:val="00FD3482"/>
    <w:rPr>
      <w:rFonts w:ascii="Arial" w:hAnsi="Arial" w:cs="Arial"/>
      <w:b/>
      <w:bCs/>
      <w:color w:val="00000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967681">
      <w:bodyDiv w:val="1"/>
      <w:marLeft w:val="0"/>
      <w:marRight w:val="0"/>
      <w:marTop w:val="0"/>
      <w:marBottom w:val="0"/>
      <w:divBdr>
        <w:top w:val="none" w:sz="0" w:space="0" w:color="auto"/>
        <w:left w:val="none" w:sz="0" w:space="0" w:color="auto"/>
        <w:bottom w:val="none" w:sz="0" w:space="0" w:color="auto"/>
        <w:right w:val="none" w:sz="0" w:space="0" w:color="auto"/>
      </w:divBdr>
    </w:div>
    <w:div w:id="336274807">
      <w:bodyDiv w:val="1"/>
      <w:marLeft w:val="0"/>
      <w:marRight w:val="0"/>
      <w:marTop w:val="0"/>
      <w:marBottom w:val="0"/>
      <w:divBdr>
        <w:top w:val="none" w:sz="0" w:space="0" w:color="auto"/>
        <w:left w:val="none" w:sz="0" w:space="0" w:color="auto"/>
        <w:bottom w:val="none" w:sz="0" w:space="0" w:color="auto"/>
        <w:right w:val="none" w:sz="0" w:space="0" w:color="auto"/>
      </w:divBdr>
    </w:div>
    <w:div w:id="391346657">
      <w:bodyDiv w:val="1"/>
      <w:marLeft w:val="0"/>
      <w:marRight w:val="0"/>
      <w:marTop w:val="0"/>
      <w:marBottom w:val="0"/>
      <w:divBdr>
        <w:top w:val="none" w:sz="0" w:space="0" w:color="auto"/>
        <w:left w:val="none" w:sz="0" w:space="0" w:color="auto"/>
        <w:bottom w:val="none" w:sz="0" w:space="0" w:color="auto"/>
        <w:right w:val="none" w:sz="0" w:space="0" w:color="auto"/>
      </w:divBdr>
      <w:divsChild>
        <w:div w:id="1832023146">
          <w:marLeft w:val="0"/>
          <w:marRight w:val="0"/>
          <w:marTop w:val="0"/>
          <w:marBottom w:val="0"/>
          <w:divBdr>
            <w:top w:val="none" w:sz="0" w:space="0" w:color="auto"/>
            <w:left w:val="none" w:sz="0" w:space="0" w:color="auto"/>
            <w:bottom w:val="none" w:sz="0" w:space="0" w:color="auto"/>
            <w:right w:val="none" w:sz="0" w:space="0" w:color="auto"/>
          </w:divBdr>
        </w:div>
        <w:div w:id="614363364">
          <w:marLeft w:val="0"/>
          <w:marRight w:val="0"/>
          <w:marTop w:val="0"/>
          <w:marBottom w:val="0"/>
          <w:divBdr>
            <w:top w:val="none" w:sz="0" w:space="0" w:color="auto"/>
            <w:left w:val="none" w:sz="0" w:space="0" w:color="auto"/>
            <w:bottom w:val="none" w:sz="0" w:space="0" w:color="auto"/>
            <w:right w:val="none" w:sz="0" w:space="0" w:color="auto"/>
          </w:divBdr>
        </w:div>
        <w:div w:id="2131510915">
          <w:marLeft w:val="0"/>
          <w:marRight w:val="0"/>
          <w:marTop w:val="0"/>
          <w:marBottom w:val="0"/>
          <w:divBdr>
            <w:top w:val="none" w:sz="0" w:space="0" w:color="auto"/>
            <w:left w:val="none" w:sz="0" w:space="0" w:color="auto"/>
            <w:bottom w:val="none" w:sz="0" w:space="0" w:color="auto"/>
            <w:right w:val="none" w:sz="0" w:space="0" w:color="auto"/>
          </w:divBdr>
        </w:div>
        <w:div w:id="794761725">
          <w:marLeft w:val="0"/>
          <w:marRight w:val="0"/>
          <w:marTop w:val="0"/>
          <w:marBottom w:val="0"/>
          <w:divBdr>
            <w:top w:val="none" w:sz="0" w:space="0" w:color="auto"/>
            <w:left w:val="none" w:sz="0" w:space="0" w:color="auto"/>
            <w:bottom w:val="none" w:sz="0" w:space="0" w:color="auto"/>
            <w:right w:val="none" w:sz="0" w:space="0" w:color="auto"/>
          </w:divBdr>
        </w:div>
        <w:div w:id="306056535">
          <w:marLeft w:val="0"/>
          <w:marRight w:val="0"/>
          <w:marTop w:val="0"/>
          <w:marBottom w:val="0"/>
          <w:divBdr>
            <w:top w:val="none" w:sz="0" w:space="0" w:color="auto"/>
            <w:left w:val="none" w:sz="0" w:space="0" w:color="auto"/>
            <w:bottom w:val="none" w:sz="0" w:space="0" w:color="auto"/>
            <w:right w:val="none" w:sz="0" w:space="0" w:color="auto"/>
          </w:divBdr>
        </w:div>
        <w:div w:id="1629433132">
          <w:marLeft w:val="0"/>
          <w:marRight w:val="0"/>
          <w:marTop w:val="0"/>
          <w:marBottom w:val="0"/>
          <w:divBdr>
            <w:top w:val="none" w:sz="0" w:space="0" w:color="auto"/>
            <w:left w:val="none" w:sz="0" w:space="0" w:color="auto"/>
            <w:bottom w:val="none" w:sz="0" w:space="0" w:color="auto"/>
            <w:right w:val="none" w:sz="0" w:space="0" w:color="auto"/>
          </w:divBdr>
        </w:div>
        <w:div w:id="2028748528">
          <w:marLeft w:val="0"/>
          <w:marRight w:val="0"/>
          <w:marTop w:val="0"/>
          <w:marBottom w:val="0"/>
          <w:divBdr>
            <w:top w:val="none" w:sz="0" w:space="0" w:color="auto"/>
            <w:left w:val="none" w:sz="0" w:space="0" w:color="auto"/>
            <w:bottom w:val="none" w:sz="0" w:space="0" w:color="auto"/>
            <w:right w:val="none" w:sz="0" w:space="0" w:color="auto"/>
          </w:divBdr>
        </w:div>
        <w:div w:id="137377633">
          <w:marLeft w:val="0"/>
          <w:marRight w:val="0"/>
          <w:marTop w:val="0"/>
          <w:marBottom w:val="0"/>
          <w:divBdr>
            <w:top w:val="none" w:sz="0" w:space="0" w:color="auto"/>
            <w:left w:val="none" w:sz="0" w:space="0" w:color="auto"/>
            <w:bottom w:val="none" w:sz="0" w:space="0" w:color="auto"/>
            <w:right w:val="none" w:sz="0" w:space="0" w:color="auto"/>
          </w:divBdr>
        </w:div>
        <w:div w:id="587731387">
          <w:marLeft w:val="0"/>
          <w:marRight w:val="0"/>
          <w:marTop w:val="0"/>
          <w:marBottom w:val="0"/>
          <w:divBdr>
            <w:top w:val="none" w:sz="0" w:space="0" w:color="auto"/>
            <w:left w:val="none" w:sz="0" w:space="0" w:color="auto"/>
            <w:bottom w:val="none" w:sz="0" w:space="0" w:color="auto"/>
            <w:right w:val="none" w:sz="0" w:space="0" w:color="auto"/>
          </w:divBdr>
        </w:div>
        <w:div w:id="1169753613">
          <w:marLeft w:val="0"/>
          <w:marRight w:val="0"/>
          <w:marTop w:val="0"/>
          <w:marBottom w:val="0"/>
          <w:divBdr>
            <w:top w:val="none" w:sz="0" w:space="0" w:color="auto"/>
            <w:left w:val="none" w:sz="0" w:space="0" w:color="auto"/>
            <w:bottom w:val="none" w:sz="0" w:space="0" w:color="auto"/>
            <w:right w:val="none" w:sz="0" w:space="0" w:color="auto"/>
          </w:divBdr>
        </w:div>
        <w:div w:id="756680262">
          <w:marLeft w:val="0"/>
          <w:marRight w:val="0"/>
          <w:marTop w:val="0"/>
          <w:marBottom w:val="0"/>
          <w:divBdr>
            <w:top w:val="none" w:sz="0" w:space="0" w:color="auto"/>
            <w:left w:val="none" w:sz="0" w:space="0" w:color="auto"/>
            <w:bottom w:val="none" w:sz="0" w:space="0" w:color="auto"/>
            <w:right w:val="none" w:sz="0" w:space="0" w:color="auto"/>
          </w:divBdr>
        </w:div>
        <w:div w:id="659112537">
          <w:marLeft w:val="0"/>
          <w:marRight w:val="0"/>
          <w:marTop w:val="0"/>
          <w:marBottom w:val="0"/>
          <w:divBdr>
            <w:top w:val="none" w:sz="0" w:space="0" w:color="auto"/>
            <w:left w:val="none" w:sz="0" w:space="0" w:color="auto"/>
            <w:bottom w:val="none" w:sz="0" w:space="0" w:color="auto"/>
            <w:right w:val="none" w:sz="0" w:space="0" w:color="auto"/>
          </w:divBdr>
        </w:div>
        <w:div w:id="2047095980">
          <w:marLeft w:val="0"/>
          <w:marRight w:val="0"/>
          <w:marTop w:val="0"/>
          <w:marBottom w:val="0"/>
          <w:divBdr>
            <w:top w:val="none" w:sz="0" w:space="0" w:color="auto"/>
            <w:left w:val="none" w:sz="0" w:space="0" w:color="auto"/>
            <w:bottom w:val="none" w:sz="0" w:space="0" w:color="auto"/>
            <w:right w:val="none" w:sz="0" w:space="0" w:color="auto"/>
          </w:divBdr>
        </w:div>
        <w:div w:id="1299922890">
          <w:marLeft w:val="0"/>
          <w:marRight w:val="0"/>
          <w:marTop w:val="0"/>
          <w:marBottom w:val="0"/>
          <w:divBdr>
            <w:top w:val="none" w:sz="0" w:space="0" w:color="auto"/>
            <w:left w:val="none" w:sz="0" w:space="0" w:color="auto"/>
            <w:bottom w:val="none" w:sz="0" w:space="0" w:color="auto"/>
            <w:right w:val="none" w:sz="0" w:space="0" w:color="auto"/>
          </w:divBdr>
        </w:div>
        <w:div w:id="1254581858">
          <w:marLeft w:val="0"/>
          <w:marRight w:val="0"/>
          <w:marTop w:val="0"/>
          <w:marBottom w:val="0"/>
          <w:divBdr>
            <w:top w:val="none" w:sz="0" w:space="0" w:color="auto"/>
            <w:left w:val="none" w:sz="0" w:space="0" w:color="auto"/>
            <w:bottom w:val="none" w:sz="0" w:space="0" w:color="auto"/>
            <w:right w:val="none" w:sz="0" w:space="0" w:color="auto"/>
          </w:divBdr>
        </w:div>
        <w:div w:id="1780177419">
          <w:marLeft w:val="0"/>
          <w:marRight w:val="0"/>
          <w:marTop w:val="0"/>
          <w:marBottom w:val="0"/>
          <w:divBdr>
            <w:top w:val="none" w:sz="0" w:space="0" w:color="auto"/>
            <w:left w:val="none" w:sz="0" w:space="0" w:color="auto"/>
            <w:bottom w:val="none" w:sz="0" w:space="0" w:color="auto"/>
            <w:right w:val="none" w:sz="0" w:space="0" w:color="auto"/>
          </w:divBdr>
        </w:div>
        <w:div w:id="2028557815">
          <w:marLeft w:val="0"/>
          <w:marRight w:val="0"/>
          <w:marTop w:val="0"/>
          <w:marBottom w:val="0"/>
          <w:divBdr>
            <w:top w:val="none" w:sz="0" w:space="0" w:color="auto"/>
            <w:left w:val="none" w:sz="0" w:space="0" w:color="auto"/>
            <w:bottom w:val="none" w:sz="0" w:space="0" w:color="auto"/>
            <w:right w:val="none" w:sz="0" w:space="0" w:color="auto"/>
          </w:divBdr>
        </w:div>
        <w:div w:id="390346940">
          <w:marLeft w:val="0"/>
          <w:marRight w:val="0"/>
          <w:marTop w:val="0"/>
          <w:marBottom w:val="0"/>
          <w:divBdr>
            <w:top w:val="none" w:sz="0" w:space="0" w:color="auto"/>
            <w:left w:val="none" w:sz="0" w:space="0" w:color="auto"/>
            <w:bottom w:val="none" w:sz="0" w:space="0" w:color="auto"/>
            <w:right w:val="none" w:sz="0" w:space="0" w:color="auto"/>
          </w:divBdr>
        </w:div>
        <w:div w:id="603155766">
          <w:marLeft w:val="0"/>
          <w:marRight w:val="0"/>
          <w:marTop w:val="0"/>
          <w:marBottom w:val="0"/>
          <w:divBdr>
            <w:top w:val="none" w:sz="0" w:space="0" w:color="auto"/>
            <w:left w:val="none" w:sz="0" w:space="0" w:color="auto"/>
            <w:bottom w:val="none" w:sz="0" w:space="0" w:color="auto"/>
            <w:right w:val="none" w:sz="0" w:space="0" w:color="auto"/>
          </w:divBdr>
        </w:div>
        <w:div w:id="1231575958">
          <w:marLeft w:val="0"/>
          <w:marRight w:val="0"/>
          <w:marTop w:val="0"/>
          <w:marBottom w:val="0"/>
          <w:divBdr>
            <w:top w:val="none" w:sz="0" w:space="0" w:color="auto"/>
            <w:left w:val="none" w:sz="0" w:space="0" w:color="auto"/>
            <w:bottom w:val="none" w:sz="0" w:space="0" w:color="auto"/>
            <w:right w:val="none" w:sz="0" w:space="0" w:color="auto"/>
          </w:divBdr>
        </w:div>
        <w:div w:id="462424270">
          <w:marLeft w:val="0"/>
          <w:marRight w:val="0"/>
          <w:marTop w:val="0"/>
          <w:marBottom w:val="0"/>
          <w:divBdr>
            <w:top w:val="none" w:sz="0" w:space="0" w:color="auto"/>
            <w:left w:val="none" w:sz="0" w:space="0" w:color="auto"/>
            <w:bottom w:val="none" w:sz="0" w:space="0" w:color="auto"/>
            <w:right w:val="none" w:sz="0" w:space="0" w:color="auto"/>
          </w:divBdr>
        </w:div>
        <w:div w:id="1533687180">
          <w:marLeft w:val="0"/>
          <w:marRight w:val="0"/>
          <w:marTop w:val="0"/>
          <w:marBottom w:val="0"/>
          <w:divBdr>
            <w:top w:val="none" w:sz="0" w:space="0" w:color="auto"/>
            <w:left w:val="none" w:sz="0" w:space="0" w:color="auto"/>
            <w:bottom w:val="none" w:sz="0" w:space="0" w:color="auto"/>
            <w:right w:val="none" w:sz="0" w:space="0" w:color="auto"/>
          </w:divBdr>
        </w:div>
        <w:div w:id="1534030921">
          <w:marLeft w:val="0"/>
          <w:marRight w:val="0"/>
          <w:marTop w:val="0"/>
          <w:marBottom w:val="0"/>
          <w:divBdr>
            <w:top w:val="none" w:sz="0" w:space="0" w:color="auto"/>
            <w:left w:val="none" w:sz="0" w:space="0" w:color="auto"/>
            <w:bottom w:val="none" w:sz="0" w:space="0" w:color="auto"/>
            <w:right w:val="none" w:sz="0" w:space="0" w:color="auto"/>
          </w:divBdr>
        </w:div>
        <w:div w:id="952324231">
          <w:marLeft w:val="0"/>
          <w:marRight w:val="0"/>
          <w:marTop w:val="0"/>
          <w:marBottom w:val="0"/>
          <w:divBdr>
            <w:top w:val="none" w:sz="0" w:space="0" w:color="auto"/>
            <w:left w:val="none" w:sz="0" w:space="0" w:color="auto"/>
            <w:bottom w:val="none" w:sz="0" w:space="0" w:color="auto"/>
            <w:right w:val="none" w:sz="0" w:space="0" w:color="auto"/>
          </w:divBdr>
        </w:div>
        <w:div w:id="2081248226">
          <w:marLeft w:val="0"/>
          <w:marRight w:val="0"/>
          <w:marTop w:val="0"/>
          <w:marBottom w:val="0"/>
          <w:divBdr>
            <w:top w:val="none" w:sz="0" w:space="0" w:color="auto"/>
            <w:left w:val="none" w:sz="0" w:space="0" w:color="auto"/>
            <w:bottom w:val="none" w:sz="0" w:space="0" w:color="auto"/>
            <w:right w:val="none" w:sz="0" w:space="0" w:color="auto"/>
          </w:divBdr>
        </w:div>
        <w:div w:id="413166512">
          <w:marLeft w:val="0"/>
          <w:marRight w:val="0"/>
          <w:marTop w:val="0"/>
          <w:marBottom w:val="0"/>
          <w:divBdr>
            <w:top w:val="none" w:sz="0" w:space="0" w:color="auto"/>
            <w:left w:val="none" w:sz="0" w:space="0" w:color="auto"/>
            <w:bottom w:val="none" w:sz="0" w:space="0" w:color="auto"/>
            <w:right w:val="none" w:sz="0" w:space="0" w:color="auto"/>
          </w:divBdr>
        </w:div>
        <w:div w:id="1820606903">
          <w:marLeft w:val="0"/>
          <w:marRight w:val="0"/>
          <w:marTop w:val="0"/>
          <w:marBottom w:val="0"/>
          <w:divBdr>
            <w:top w:val="none" w:sz="0" w:space="0" w:color="auto"/>
            <w:left w:val="none" w:sz="0" w:space="0" w:color="auto"/>
            <w:bottom w:val="none" w:sz="0" w:space="0" w:color="auto"/>
            <w:right w:val="none" w:sz="0" w:space="0" w:color="auto"/>
          </w:divBdr>
        </w:div>
      </w:divsChild>
    </w:div>
    <w:div w:id="905608259">
      <w:bodyDiv w:val="1"/>
      <w:marLeft w:val="0"/>
      <w:marRight w:val="0"/>
      <w:marTop w:val="0"/>
      <w:marBottom w:val="0"/>
      <w:divBdr>
        <w:top w:val="none" w:sz="0" w:space="0" w:color="auto"/>
        <w:left w:val="none" w:sz="0" w:space="0" w:color="auto"/>
        <w:bottom w:val="none" w:sz="0" w:space="0" w:color="auto"/>
        <w:right w:val="none" w:sz="0" w:space="0" w:color="auto"/>
      </w:divBdr>
      <w:divsChild>
        <w:div w:id="634145873">
          <w:marLeft w:val="0"/>
          <w:marRight w:val="0"/>
          <w:marTop w:val="0"/>
          <w:marBottom w:val="0"/>
          <w:divBdr>
            <w:top w:val="none" w:sz="0" w:space="0" w:color="auto"/>
            <w:left w:val="none" w:sz="0" w:space="0" w:color="auto"/>
            <w:bottom w:val="none" w:sz="0" w:space="0" w:color="auto"/>
            <w:right w:val="none" w:sz="0" w:space="0" w:color="auto"/>
          </w:divBdr>
        </w:div>
        <w:div w:id="1419907491">
          <w:marLeft w:val="0"/>
          <w:marRight w:val="0"/>
          <w:marTop w:val="0"/>
          <w:marBottom w:val="0"/>
          <w:divBdr>
            <w:top w:val="none" w:sz="0" w:space="0" w:color="auto"/>
            <w:left w:val="none" w:sz="0" w:space="0" w:color="auto"/>
            <w:bottom w:val="none" w:sz="0" w:space="0" w:color="auto"/>
            <w:right w:val="none" w:sz="0" w:space="0" w:color="auto"/>
          </w:divBdr>
        </w:div>
        <w:div w:id="561717010">
          <w:marLeft w:val="0"/>
          <w:marRight w:val="0"/>
          <w:marTop w:val="0"/>
          <w:marBottom w:val="0"/>
          <w:divBdr>
            <w:top w:val="none" w:sz="0" w:space="0" w:color="auto"/>
            <w:left w:val="none" w:sz="0" w:space="0" w:color="auto"/>
            <w:bottom w:val="none" w:sz="0" w:space="0" w:color="auto"/>
            <w:right w:val="none" w:sz="0" w:space="0" w:color="auto"/>
          </w:divBdr>
        </w:div>
        <w:div w:id="396899604">
          <w:marLeft w:val="0"/>
          <w:marRight w:val="0"/>
          <w:marTop w:val="0"/>
          <w:marBottom w:val="0"/>
          <w:divBdr>
            <w:top w:val="none" w:sz="0" w:space="0" w:color="auto"/>
            <w:left w:val="none" w:sz="0" w:space="0" w:color="auto"/>
            <w:bottom w:val="none" w:sz="0" w:space="0" w:color="auto"/>
            <w:right w:val="none" w:sz="0" w:space="0" w:color="auto"/>
          </w:divBdr>
        </w:div>
        <w:div w:id="1356734841">
          <w:marLeft w:val="0"/>
          <w:marRight w:val="0"/>
          <w:marTop w:val="0"/>
          <w:marBottom w:val="0"/>
          <w:divBdr>
            <w:top w:val="none" w:sz="0" w:space="0" w:color="auto"/>
            <w:left w:val="none" w:sz="0" w:space="0" w:color="auto"/>
            <w:bottom w:val="none" w:sz="0" w:space="0" w:color="auto"/>
            <w:right w:val="none" w:sz="0" w:space="0" w:color="auto"/>
          </w:divBdr>
        </w:div>
        <w:div w:id="594168939">
          <w:marLeft w:val="0"/>
          <w:marRight w:val="0"/>
          <w:marTop w:val="0"/>
          <w:marBottom w:val="0"/>
          <w:divBdr>
            <w:top w:val="none" w:sz="0" w:space="0" w:color="auto"/>
            <w:left w:val="none" w:sz="0" w:space="0" w:color="auto"/>
            <w:bottom w:val="none" w:sz="0" w:space="0" w:color="auto"/>
            <w:right w:val="none" w:sz="0" w:space="0" w:color="auto"/>
          </w:divBdr>
        </w:div>
        <w:div w:id="1359620056">
          <w:marLeft w:val="0"/>
          <w:marRight w:val="0"/>
          <w:marTop w:val="0"/>
          <w:marBottom w:val="0"/>
          <w:divBdr>
            <w:top w:val="none" w:sz="0" w:space="0" w:color="auto"/>
            <w:left w:val="none" w:sz="0" w:space="0" w:color="auto"/>
            <w:bottom w:val="none" w:sz="0" w:space="0" w:color="auto"/>
            <w:right w:val="none" w:sz="0" w:space="0" w:color="auto"/>
          </w:divBdr>
        </w:div>
        <w:div w:id="197281952">
          <w:marLeft w:val="0"/>
          <w:marRight w:val="0"/>
          <w:marTop w:val="0"/>
          <w:marBottom w:val="0"/>
          <w:divBdr>
            <w:top w:val="none" w:sz="0" w:space="0" w:color="auto"/>
            <w:left w:val="none" w:sz="0" w:space="0" w:color="auto"/>
            <w:bottom w:val="none" w:sz="0" w:space="0" w:color="auto"/>
            <w:right w:val="none" w:sz="0" w:space="0" w:color="auto"/>
          </w:divBdr>
        </w:div>
        <w:div w:id="822355448">
          <w:marLeft w:val="0"/>
          <w:marRight w:val="0"/>
          <w:marTop w:val="0"/>
          <w:marBottom w:val="0"/>
          <w:divBdr>
            <w:top w:val="none" w:sz="0" w:space="0" w:color="auto"/>
            <w:left w:val="none" w:sz="0" w:space="0" w:color="auto"/>
            <w:bottom w:val="none" w:sz="0" w:space="0" w:color="auto"/>
            <w:right w:val="none" w:sz="0" w:space="0" w:color="auto"/>
          </w:divBdr>
        </w:div>
      </w:divsChild>
    </w:div>
    <w:div w:id="1358193500">
      <w:bodyDiv w:val="1"/>
      <w:marLeft w:val="0"/>
      <w:marRight w:val="0"/>
      <w:marTop w:val="0"/>
      <w:marBottom w:val="0"/>
      <w:divBdr>
        <w:top w:val="none" w:sz="0" w:space="0" w:color="auto"/>
        <w:left w:val="none" w:sz="0" w:space="0" w:color="auto"/>
        <w:bottom w:val="none" w:sz="0" w:space="0" w:color="auto"/>
        <w:right w:val="none" w:sz="0" w:space="0" w:color="auto"/>
      </w:divBdr>
      <w:divsChild>
        <w:div w:id="1179387234">
          <w:marLeft w:val="0"/>
          <w:marRight w:val="0"/>
          <w:marTop w:val="0"/>
          <w:marBottom w:val="0"/>
          <w:divBdr>
            <w:top w:val="none" w:sz="0" w:space="0" w:color="auto"/>
            <w:left w:val="none" w:sz="0" w:space="0" w:color="auto"/>
            <w:bottom w:val="none" w:sz="0" w:space="0" w:color="auto"/>
            <w:right w:val="none" w:sz="0" w:space="0" w:color="auto"/>
          </w:divBdr>
        </w:div>
        <w:div w:id="2049376386">
          <w:marLeft w:val="0"/>
          <w:marRight w:val="0"/>
          <w:marTop w:val="0"/>
          <w:marBottom w:val="0"/>
          <w:divBdr>
            <w:top w:val="none" w:sz="0" w:space="0" w:color="auto"/>
            <w:left w:val="none" w:sz="0" w:space="0" w:color="auto"/>
            <w:bottom w:val="none" w:sz="0" w:space="0" w:color="auto"/>
            <w:right w:val="none" w:sz="0" w:space="0" w:color="auto"/>
          </w:divBdr>
        </w:div>
        <w:div w:id="345596168">
          <w:marLeft w:val="0"/>
          <w:marRight w:val="0"/>
          <w:marTop w:val="0"/>
          <w:marBottom w:val="0"/>
          <w:divBdr>
            <w:top w:val="none" w:sz="0" w:space="0" w:color="auto"/>
            <w:left w:val="none" w:sz="0" w:space="0" w:color="auto"/>
            <w:bottom w:val="none" w:sz="0" w:space="0" w:color="auto"/>
            <w:right w:val="none" w:sz="0" w:space="0" w:color="auto"/>
          </w:divBdr>
        </w:div>
        <w:div w:id="423888586">
          <w:marLeft w:val="0"/>
          <w:marRight w:val="0"/>
          <w:marTop w:val="0"/>
          <w:marBottom w:val="0"/>
          <w:divBdr>
            <w:top w:val="none" w:sz="0" w:space="0" w:color="auto"/>
            <w:left w:val="none" w:sz="0" w:space="0" w:color="auto"/>
            <w:bottom w:val="none" w:sz="0" w:space="0" w:color="auto"/>
            <w:right w:val="none" w:sz="0" w:space="0" w:color="auto"/>
          </w:divBdr>
        </w:div>
        <w:div w:id="1838379792">
          <w:marLeft w:val="0"/>
          <w:marRight w:val="0"/>
          <w:marTop w:val="0"/>
          <w:marBottom w:val="0"/>
          <w:divBdr>
            <w:top w:val="none" w:sz="0" w:space="0" w:color="auto"/>
            <w:left w:val="none" w:sz="0" w:space="0" w:color="auto"/>
            <w:bottom w:val="none" w:sz="0" w:space="0" w:color="auto"/>
            <w:right w:val="none" w:sz="0" w:space="0" w:color="auto"/>
          </w:divBdr>
        </w:div>
        <w:div w:id="1645503945">
          <w:marLeft w:val="0"/>
          <w:marRight w:val="0"/>
          <w:marTop w:val="0"/>
          <w:marBottom w:val="0"/>
          <w:divBdr>
            <w:top w:val="none" w:sz="0" w:space="0" w:color="auto"/>
            <w:left w:val="none" w:sz="0" w:space="0" w:color="auto"/>
            <w:bottom w:val="none" w:sz="0" w:space="0" w:color="auto"/>
            <w:right w:val="none" w:sz="0" w:space="0" w:color="auto"/>
          </w:divBdr>
        </w:div>
        <w:div w:id="1946157186">
          <w:marLeft w:val="0"/>
          <w:marRight w:val="0"/>
          <w:marTop w:val="0"/>
          <w:marBottom w:val="0"/>
          <w:divBdr>
            <w:top w:val="none" w:sz="0" w:space="0" w:color="auto"/>
            <w:left w:val="none" w:sz="0" w:space="0" w:color="auto"/>
            <w:bottom w:val="none" w:sz="0" w:space="0" w:color="auto"/>
            <w:right w:val="none" w:sz="0" w:space="0" w:color="auto"/>
          </w:divBdr>
        </w:div>
        <w:div w:id="1985506796">
          <w:marLeft w:val="0"/>
          <w:marRight w:val="0"/>
          <w:marTop w:val="0"/>
          <w:marBottom w:val="0"/>
          <w:divBdr>
            <w:top w:val="none" w:sz="0" w:space="0" w:color="auto"/>
            <w:left w:val="none" w:sz="0" w:space="0" w:color="auto"/>
            <w:bottom w:val="none" w:sz="0" w:space="0" w:color="auto"/>
            <w:right w:val="none" w:sz="0" w:space="0" w:color="auto"/>
          </w:divBdr>
        </w:div>
        <w:div w:id="475072101">
          <w:marLeft w:val="0"/>
          <w:marRight w:val="0"/>
          <w:marTop w:val="0"/>
          <w:marBottom w:val="0"/>
          <w:divBdr>
            <w:top w:val="none" w:sz="0" w:space="0" w:color="auto"/>
            <w:left w:val="none" w:sz="0" w:space="0" w:color="auto"/>
            <w:bottom w:val="none" w:sz="0" w:space="0" w:color="auto"/>
            <w:right w:val="none" w:sz="0" w:space="0" w:color="auto"/>
          </w:divBdr>
        </w:div>
        <w:div w:id="1372414157">
          <w:marLeft w:val="0"/>
          <w:marRight w:val="0"/>
          <w:marTop w:val="0"/>
          <w:marBottom w:val="0"/>
          <w:divBdr>
            <w:top w:val="none" w:sz="0" w:space="0" w:color="auto"/>
            <w:left w:val="none" w:sz="0" w:space="0" w:color="auto"/>
            <w:bottom w:val="none" w:sz="0" w:space="0" w:color="auto"/>
            <w:right w:val="none" w:sz="0" w:space="0" w:color="auto"/>
          </w:divBdr>
        </w:div>
        <w:div w:id="781144003">
          <w:marLeft w:val="0"/>
          <w:marRight w:val="0"/>
          <w:marTop w:val="0"/>
          <w:marBottom w:val="0"/>
          <w:divBdr>
            <w:top w:val="none" w:sz="0" w:space="0" w:color="auto"/>
            <w:left w:val="none" w:sz="0" w:space="0" w:color="auto"/>
            <w:bottom w:val="none" w:sz="0" w:space="0" w:color="auto"/>
            <w:right w:val="none" w:sz="0" w:space="0" w:color="auto"/>
          </w:divBdr>
        </w:div>
        <w:div w:id="2085293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muro@brookings.edu" TargetMode="External"/><Relationship Id="rId4" Type="http://schemas.openxmlformats.org/officeDocument/2006/relationships/hyperlink" Target="mailto:dsaha@brooking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Devashree Saha</dc:creator>
  <cp:keywords/>
  <dc:description/>
  <cp:lastModifiedBy>Devashree Saha</cp:lastModifiedBy>
  <cp:revision>15</cp:revision>
  <dcterms:created xsi:type="dcterms:W3CDTF">2016-09-15T14:16:00Z</dcterms:created>
  <dcterms:modified xsi:type="dcterms:W3CDTF">2016-11-28T15:45:00Z</dcterms:modified>
</cp:coreProperties>
</file>