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F7737" w14:textId="6777726A" w:rsidR="009D5BC8" w:rsidRPr="00304A3B" w:rsidRDefault="0062327E" w:rsidP="0062327E">
      <w:pPr>
        <w:rPr>
          <w:rFonts w:ascii="Times New Roman" w:hAnsi="Times New Roman" w:cs="Times New Roman"/>
          <w:b/>
          <w:bCs/>
        </w:rPr>
      </w:pPr>
      <w:r w:rsidRPr="00304A3B">
        <w:rPr>
          <w:rFonts w:ascii="Times New Roman" w:hAnsi="Times New Roman" w:cs="Times New Roman"/>
          <w:b/>
          <w:bCs/>
        </w:rPr>
        <w:t xml:space="preserve">Mapping Global Cities: Understanding the </w:t>
      </w:r>
      <w:r w:rsidR="00EC0CD0" w:rsidRPr="00304A3B">
        <w:rPr>
          <w:rFonts w:ascii="Times New Roman" w:hAnsi="Times New Roman" w:cs="Times New Roman"/>
          <w:b/>
          <w:bCs/>
        </w:rPr>
        <w:t>Metropolitan</w:t>
      </w:r>
      <w:r w:rsidRPr="00304A3B">
        <w:rPr>
          <w:rFonts w:ascii="Times New Roman" w:hAnsi="Times New Roman" w:cs="Times New Roman"/>
          <w:b/>
          <w:bCs/>
        </w:rPr>
        <w:t xml:space="preserve"> Drivers of Global Growth and Prosperity</w:t>
      </w:r>
    </w:p>
    <w:p w14:paraId="6C6D31E2" w14:textId="3B01983D" w:rsidR="00B85AA0" w:rsidRPr="00304A3B" w:rsidRDefault="00B85AA0" w:rsidP="0062327E">
      <w:pPr>
        <w:rPr>
          <w:rFonts w:ascii="Times New Roman" w:hAnsi="Times New Roman" w:cs="Times New Roman"/>
          <w:bCs/>
        </w:rPr>
      </w:pPr>
      <w:r w:rsidRPr="00304A3B">
        <w:rPr>
          <w:rFonts w:ascii="Times New Roman" w:hAnsi="Times New Roman" w:cs="Times New Roman"/>
          <w:bCs/>
        </w:rPr>
        <w:t xml:space="preserve">Jesus Leal Trujillo and Joseph </w:t>
      </w:r>
      <w:proofErr w:type="spellStart"/>
      <w:r w:rsidRPr="00304A3B">
        <w:rPr>
          <w:rFonts w:ascii="Times New Roman" w:hAnsi="Times New Roman" w:cs="Times New Roman"/>
          <w:bCs/>
        </w:rPr>
        <w:t>Parilla</w:t>
      </w:r>
      <w:proofErr w:type="spellEnd"/>
    </w:p>
    <w:p w14:paraId="4C1CF28C" w14:textId="77777777" w:rsidR="00A8197C" w:rsidRPr="00304A3B" w:rsidRDefault="00A8197C" w:rsidP="00A8197C">
      <w:pPr>
        <w:spacing w:line="240" w:lineRule="auto"/>
        <w:rPr>
          <w:rFonts w:ascii="Times New Roman" w:hAnsi="Times New Roman" w:cs="Times New Roman"/>
          <w:b/>
        </w:rPr>
      </w:pPr>
      <w:r w:rsidRPr="00304A3B">
        <w:rPr>
          <w:rFonts w:ascii="Times New Roman" w:hAnsi="Times New Roman" w:cs="Times New Roman"/>
          <w:b/>
        </w:rPr>
        <w:t>Executive Summary</w:t>
      </w:r>
    </w:p>
    <w:p w14:paraId="0D91B171" w14:textId="77777777" w:rsidR="00A8197C" w:rsidRPr="00304A3B" w:rsidRDefault="00A8197C" w:rsidP="00A8197C">
      <w:pPr>
        <w:spacing w:line="240" w:lineRule="auto"/>
        <w:rPr>
          <w:rFonts w:ascii="Times New Roman" w:hAnsi="Times New Roman" w:cs="Times New Roman"/>
        </w:rPr>
      </w:pPr>
      <w:r w:rsidRPr="00304A3B">
        <w:rPr>
          <w:rFonts w:ascii="Times New Roman" w:hAnsi="Times New Roman" w:cs="Times New Roman"/>
        </w:rPr>
        <w:t xml:space="preserve">Mass urbanization has ensured that global economic growth is increasingly powered by urban economic growth. The 123 largest metro areas in the world generate nearly one-third of global output with only 13 percent of the world’s population. In this urban-centered world, the classic notion of a global city has also been upended. No longer is the global economy driven a select few major financial centers; rather it has evolved into a network of global cities that play a more differentiated role in producing global growth and opportunity. </w:t>
      </w:r>
    </w:p>
    <w:p w14:paraId="7E987D8E" w14:textId="17B3F35A" w:rsidR="00292039" w:rsidRPr="00304A3B" w:rsidRDefault="00A8197C" w:rsidP="00292039">
      <w:pPr>
        <w:spacing w:line="240" w:lineRule="auto"/>
        <w:rPr>
          <w:rFonts w:ascii="Times New Roman" w:hAnsi="Times New Roman" w:cs="Times New Roman"/>
        </w:rPr>
      </w:pPr>
      <w:r w:rsidRPr="00304A3B">
        <w:rPr>
          <w:rFonts w:ascii="Times New Roman" w:hAnsi="Times New Roman" w:cs="Times New Roman"/>
        </w:rPr>
        <w:t>This report introduces a new typology of what const</w:t>
      </w:r>
      <w:r w:rsidR="00292039" w:rsidRPr="00304A3B">
        <w:rPr>
          <w:rFonts w:ascii="Times New Roman" w:hAnsi="Times New Roman" w:cs="Times New Roman"/>
        </w:rPr>
        <w:t xml:space="preserve">itutes global cities today. It </w:t>
      </w:r>
      <w:r w:rsidRPr="00304A3B">
        <w:rPr>
          <w:rFonts w:ascii="Times New Roman" w:hAnsi="Times New Roman" w:cs="Times New Roman"/>
        </w:rPr>
        <w:t xml:space="preserve">demonstrates how global cities vary in how they attract and amass economic drivers, and thus contribute differently to global economic growth. </w:t>
      </w:r>
      <w:r w:rsidR="00292039" w:rsidRPr="00304A3B">
        <w:rPr>
          <w:rFonts w:ascii="Times New Roman" w:hAnsi="Times New Roman" w:cs="Times New Roman"/>
        </w:rPr>
        <w:t>In doing so, this approach aims to help</w:t>
      </w:r>
      <w:r w:rsidRPr="00304A3B">
        <w:rPr>
          <w:rFonts w:ascii="Times New Roman" w:hAnsi="Times New Roman" w:cs="Times New Roman"/>
        </w:rPr>
        <w:t xml:space="preserve"> multinational stakeholders and observers understand how the global economy is o</w:t>
      </w:r>
      <w:r w:rsidR="00292039" w:rsidRPr="00304A3B">
        <w:rPr>
          <w:rFonts w:ascii="Times New Roman" w:hAnsi="Times New Roman" w:cs="Times New Roman"/>
        </w:rPr>
        <w:t>rganized and concentrated. Specifically, the typology maps</w:t>
      </w:r>
      <w:r w:rsidRPr="00304A3B">
        <w:rPr>
          <w:rFonts w:ascii="Times New Roman" w:hAnsi="Times New Roman" w:cs="Times New Roman"/>
        </w:rPr>
        <w:t xml:space="preserve"> the assets and challenges faced by global cities by examining their economic characteristics, industrial structure, and </w:t>
      </w:r>
      <w:r w:rsidR="00292039" w:rsidRPr="00304A3B">
        <w:rPr>
          <w:rFonts w:ascii="Times New Roman" w:hAnsi="Times New Roman" w:cs="Times New Roman"/>
        </w:rPr>
        <w:t>endowments</w:t>
      </w:r>
      <w:r w:rsidRPr="00304A3B">
        <w:rPr>
          <w:rFonts w:ascii="Times New Roman" w:hAnsi="Times New Roman" w:cs="Times New Roman"/>
        </w:rPr>
        <w:t xml:space="preserve"> related to </w:t>
      </w:r>
      <w:r w:rsidR="00292039" w:rsidRPr="00304A3B">
        <w:rPr>
          <w:rFonts w:ascii="Times New Roman" w:hAnsi="Times New Roman" w:cs="Times New Roman"/>
        </w:rPr>
        <w:t xml:space="preserve">key competitiveness factors: </w:t>
      </w:r>
      <w:r w:rsidRPr="00304A3B">
        <w:rPr>
          <w:rFonts w:ascii="Times New Roman" w:hAnsi="Times New Roman" w:cs="Times New Roman"/>
        </w:rPr>
        <w:t>tradable clusters, innovation, talent, a</w:t>
      </w:r>
      <w:r w:rsidR="00292039" w:rsidRPr="00304A3B">
        <w:rPr>
          <w:rFonts w:ascii="Times New Roman" w:hAnsi="Times New Roman" w:cs="Times New Roman"/>
        </w:rPr>
        <w:t>nd infrastructure connectivity (governance is a fifth key factor in our framework but is not quantitatively measured in the typology). Using advanced statistical techniques to cluster metros according to these fundamental drivers</w:t>
      </w:r>
      <w:r w:rsidRPr="00304A3B">
        <w:rPr>
          <w:rFonts w:ascii="Times New Roman" w:hAnsi="Times New Roman" w:cs="Times New Roman"/>
        </w:rPr>
        <w:t xml:space="preserve">, the typology </w:t>
      </w:r>
      <w:r w:rsidR="00292039" w:rsidRPr="00304A3B">
        <w:rPr>
          <w:rFonts w:ascii="Times New Roman" w:hAnsi="Times New Roman" w:cs="Times New Roman"/>
        </w:rPr>
        <w:t xml:space="preserve">reveals that, indeed, there is no one way to be a global city.  </w:t>
      </w:r>
      <w:r w:rsidRPr="00304A3B">
        <w:rPr>
          <w:rFonts w:ascii="Times New Roman" w:hAnsi="Times New Roman" w:cs="Times New Roman"/>
        </w:rPr>
        <w:t xml:space="preserve"> </w:t>
      </w:r>
      <w:r w:rsidR="00292039" w:rsidRPr="00304A3B">
        <w:rPr>
          <w:rFonts w:ascii="Times New Roman" w:hAnsi="Times New Roman" w:cs="Times New Roman"/>
        </w:rPr>
        <w:t xml:space="preserve">Grouped into seven metropolitan groups, the distinct competitive positions of the world’s largest metro economies become sharper, as do the peers metropolitan areas can look to for common solutions and investments to enhance economic growth: </w:t>
      </w:r>
    </w:p>
    <w:p w14:paraId="1EEB37C6" w14:textId="41839DFC" w:rsidR="00A8197C" w:rsidRPr="00304A3B" w:rsidRDefault="00A8197C" w:rsidP="00A8197C">
      <w:pPr>
        <w:pStyle w:val="ListParagraph"/>
        <w:numPr>
          <w:ilvl w:val="0"/>
          <w:numId w:val="21"/>
        </w:numPr>
        <w:spacing w:line="240" w:lineRule="auto"/>
        <w:rPr>
          <w:rFonts w:ascii="Times New Roman" w:hAnsi="Times New Roman" w:cs="Times New Roman"/>
        </w:rPr>
      </w:pPr>
      <w:r w:rsidRPr="00304A3B">
        <w:rPr>
          <w:rFonts w:ascii="Times New Roman" w:hAnsi="Times New Roman" w:cs="Times New Roman"/>
          <w:b/>
        </w:rPr>
        <w:t xml:space="preserve">Global Giants </w:t>
      </w:r>
      <w:r w:rsidRPr="00304A3B">
        <w:rPr>
          <w:rFonts w:ascii="Times New Roman" w:hAnsi="Times New Roman" w:cs="Times New Roman"/>
        </w:rPr>
        <w:t xml:space="preserve">are the largest cities in the United States (New York and Los Angeles), Japan (Tokyo and Osaka-Kobe), France (Paris), and the United Kingdom (London). These extremely large, wealthy metro areas are hubs for financial markets or major corporations, and serve as key nodes in </w:t>
      </w:r>
      <w:r w:rsidR="00292039" w:rsidRPr="00304A3B">
        <w:rPr>
          <w:rFonts w:ascii="Times New Roman" w:hAnsi="Times New Roman" w:cs="Times New Roman"/>
        </w:rPr>
        <w:t xml:space="preserve">global capital and talent flows. </w:t>
      </w:r>
    </w:p>
    <w:p w14:paraId="40C75935" w14:textId="77777777" w:rsidR="00A8197C" w:rsidRPr="00304A3B" w:rsidRDefault="00A8197C" w:rsidP="00A8197C">
      <w:pPr>
        <w:pStyle w:val="ListParagraph"/>
        <w:spacing w:before="240" w:line="240" w:lineRule="auto"/>
        <w:rPr>
          <w:rFonts w:ascii="Times New Roman" w:hAnsi="Times New Roman" w:cs="Times New Roman"/>
          <w:b/>
        </w:rPr>
      </w:pPr>
    </w:p>
    <w:p w14:paraId="3AB61B86" w14:textId="2C30865E" w:rsidR="00A8197C" w:rsidRPr="00304A3B" w:rsidRDefault="00A8197C" w:rsidP="00A8197C">
      <w:pPr>
        <w:pStyle w:val="ListParagraph"/>
        <w:numPr>
          <w:ilvl w:val="0"/>
          <w:numId w:val="21"/>
        </w:numPr>
        <w:spacing w:before="240" w:line="240" w:lineRule="auto"/>
        <w:rPr>
          <w:rFonts w:ascii="Times New Roman" w:hAnsi="Times New Roman" w:cs="Times New Roman"/>
          <w:b/>
        </w:rPr>
      </w:pPr>
      <w:r w:rsidRPr="00304A3B">
        <w:rPr>
          <w:rFonts w:ascii="Times New Roman" w:hAnsi="Times New Roman" w:cs="Times New Roman"/>
          <w:b/>
        </w:rPr>
        <w:t xml:space="preserve">Asian Anchors </w:t>
      </w:r>
      <w:r w:rsidRPr="00304A3B">
        <w:rPr>
          <w:rFonts w:ascii="Times New Roman" w:hAnsi="Times New Roman" w:cs="Times New Roman"/>
        </w:rPr>
        <w:t>include five Pacific-oriented metro areas—Beijing, Hong Kong, Seoul-Incheon, S</w:t>
      </w:r>
      <w:r w:rsidR="00292039" w:rsidRPr="00304A3B">
        <w:rPr>
          <w:rFonts w:ascii="Times New Roman" w:hAnsi="Times New Roman" w:cs="Times New Roman"/>
        </w:rPr>
        <w:t xml:space="preserve">hanghai, and Singapore— and a sixth major emerging market metro, </w:t>
      </w:r>
      <w:r w:rsidRPr="00304A3B">
        <w:rPr>
          <w:rFonts w:ascii="Times New Roman" w:hAnsi="Times New Roman" w:cs="Times New Roman"/>
        </w:rPr>
        <w:t>Moscow.</w:t>
      </w:r>
      <w:r w:rsidRPr="00304A3B">
        <w:rPr>
          <w:rFonts w:ascii="Times New Roman" w:hAnsi="Times New Roman" w:cs="Times New Roman"/>
          <w:b/>
        </w:rPr>
        <w:t xml:space="preserve"> </w:t>
      </w:r>
      <w:r w:rsidRPr="00304A3B">
        <w:rPr>
          <w:rFonts w:ascii="Times New Roman" w:hAnsi="Times New Roman" w:cs="Times New Roman"/>
        </w:rPr>
        <w:t xml:space="preserve">Asian Anchors are not as wealthy as their Global Giant counterparts, but play a similar role as command centers in fast-growing Asia, drawing on their infrastructure connectivity and talented workforces to attract the most FDI of any metro grouping. </w:t>
      </w:r>
    </w:p>
    <w:p w14:paraId="774AB247" w14:textId="77777777" w:rsidR="00A8197C" w:rsidRPr="00304A3B" w:rsidRDefault="00A8197C" w:rsidP="00A8197C">
      <w:pPr>
        <w:pStyle w:val="ListParagraph"/>
        <w:spacing w:line="240" w:lineRule="auto"/>
        <w:rPr>
          <w:rFonts w:ascii="Times New Roman" w:hAnsi="Times New Roman" w:cs="Times New Roman"/>
        </w:rPr>
      </w:pPr>
    </w:p>
    <w:p w14:paraId="07A63C64" w14:textId="7C63A4B9" w:rsidR="00A8197C" w:rsidRPr="00304A3B" w:rsidRDefault="00A8197C" w:rsidP="00A8197C">
      <w:pPr>
        <w:pStyle w:val="ListParagraph"/>
        <w:numPr>
          <w:ilvl w:val="0"/>
          <w:numId w:val="21"/>
        </w:numPr>
        <w:spacing w:line="240" w:lineRule="auto"/>
        <w:rPr>
          <w:rFonts w:ascii="Times New Roman" w:hAnsi="Times New Roman" w:cs="Times New Roman"/>
        </w:rPr>
      </w:pPr>
      <w:r w:rsidRPr="00304A3B">
        <w:rPr>
          <w:rFonts w:ascii="Times New Roman" w:hAnsi="Times New Roman" w:cs="Times New Roman"/>
          <w:b/>
        </w:rPr>
        <w:t xml:space="preserve">Emerging Gateways </w:t>
      </w:r>
      <w:r w:rsidRPr="00304A3B">
        <w:rPr>
          <w:rFonts w:ascii="Times New Roman" w:hAnsi="Times New Roman" w:cs="Times New Roman"/>
        </w:rPr>
        <w:t xml:space="preserve">are 28 large business and transportation entry points for major national and regional markets in Africa (e.g. Johannesburg), Asia (e.g. Mumbai), Latin America (e.g. São Paulo), and the Middle East (e.g. Istanbul). These metros have grown healthily to reach middle-income status, but they lag on many key competitiveness factors </w:t>
      </w:r>
      <w:r w:rsidR="00292039" w:rsidRPr="00304A3B">
        <w:rPr>
          <w:rFonts w:ascii="Times New Roman" w:hAnsi="Times New Roman" w:cs="Times New Roman"/>
        </w:rPr>
        <w:t xml:space="preserve">as </w:t>
      </w:r>
      <w:r w:rsidRPr="00304A3B">
        <w:rPr>
          <w:rFonts w:ascii="Times New Roman" w:hAnsi="Times New Roman" w:cs="Times New Roman"/>
        </w:rPr>
        <w:t xml:space="preserve">compared to global peers. </w:t>
      </w:r>
    </w:p>
    <w:p w14:paraId="0F677FB4" w14:textId="77777777" w:rsidR="00A8197C" w:rsidRPr="00304A3B" w:rsidRDefault="00A8197C" w:rsidP="00A8197C">
      <w:pPr>
        <w:pStyle w:val="ListParagraph"/>
        <w:spacing w:line="240" w:lineRule="auto"/>
        <w:rPr>
          <w:rFonts w:ascii="Times New Roman" w:hAnsi="Times New Roman" w:cs="Times New Roman"/>
        </w:rPr>
      </w:pPr>
    </w:p>
    <w:p w14:paraId="109AD8C9" w14:textId="2D97CF72" w:rsidR="00A8197C" w:rsidRPr="00304A3B" w:rsidRDefault="00A8197C" w:rsidP="00A8197C">
      <w:pPr>
        <w:pStyle w:val="ListParagraph"/>
        <w:numPr>
          <w:ilvl w:val="0"/>
          <w:numId w:val="21"/>
        </w:numPr>
        <w:spacing w:line="240" w:lineRule="auto"/>
        <w:rPr>
          <w:rFonts w:ascii="Times New Roman" w:hAnsi="Times New Roman" w:cs="Times New Roman"/>
        </w:rPr>
      </w:pPr>
      <w:r w:rsidRPr="00304A3B">
        <w:rPr>
          <w:rFonts w:ascii="Times New Roman" w:hAnsi="Times New Roman" w:cs="Times New Roman"/>
          <w:b/>
        </w:rPr>
        <w:t xml:space="preserve">Factory China </w:t>
      </w:r>
      <w:r w:rsidRPr="00304A3B">
        <w:rPr>
          <w:rFonts w:ascii="Times New Roman" w:hAnsi="Times New Roman" w:cs="Times New Roman"/>
        </w:rPr>
        <w:t>include</w:t>
      </w:r>
      <w:r w:rsidR="00292039" w:rsidRPr="00304A3B">
        <w:rPr>
          <w:rFonts w:ascii="Times New Roman" w:hAnsi="Times New Roman" w:cs="Times New Roman"/>
        </w:rPr>
        <w:t>s</w:t>
      </w:r>
      <w:r w:rsidRPr="00304A3B">
        <w:rPr>
          <w:rFonts w:ascii="Times New Roman" w:hAnsi="Times New Roman" w:cs="Times New Roman"/>
        </w:rPr>
        <w:t xml:space="preserve"> 22 second and third-tier Chinese cities distinctly reliant on export-intensive manufacturing to power economic growth and global engagement. Factory China grew faster than every o</w:t>
      </w:r>
      <w:r w:rsidR="00292039" w:rsidRPr="00304A3B">
        <w:rPr>
          <w:rFonts w:ascii="Times New Roman" w:hAnsi="Times New Roman" w:cs="Times New Roman"/>
        </w:rPr>
        <w:t>ther metro grouping since 2000. B</w:t>
      </w:r>
      <w:r w:rsidRPr="00304A3B">
        <w:rPr>
          <w:rFonts w:ascii="Times New Roman" w:hAnsi="Times New Roman" w:cs="Times New Roman"/>
        </w:rPr>
        <w:t xml:space="preserve">ut they </w:t>
      </w:r>
      <w:r w:rsidR="00292039" w:rsidRPr="00304A3B">
        <w:rPr>
          <w:rFonts w:ascii="Times New Roman" w:hAnsi="Times New Roman" w:cs="Times New Roman"/>
        </w:rPr>
        <w:t xml:space="preserve">now </w:t>
      </w:r>
      <w:r w:rsidRPr="00304A3B">
        <w:rPr>
          <w:rFonts w:ascii="Times New Roman" w:hAnsi="Times New Roman" w:cs="Times New Roman"/>
        </w:rPr>
        <w:t xml:space="preserve">must upgrade </w:t>
      </w:r>
      <w:r w:rsidR="005525C3" w:rsidRPr="00304A3B">
        <w:rPr>
          <w:rFonts w:ascii="Times New Roman" w:hAnsi="Times New Roman" w:cs="Times New Roman"/>
        </w:rPr>
        <w:t>their human capital</w:t>
      </w:r>
      <w:r w:rsidRPr="00304A3B">
        <w:rPr>
          <w:rFonts w:ascii="Times New Roman" w:hAnsi="Times New Roman" w:cs="Times New Roman"/>
        </w:rPr>
        <w:t xml:space="preserve"> to effect a transition to a more balanced, services-oriented industrial structure. </w:t>
      </w:r>
    </w:p>
    <w:p w14:paraId="1F7B59EF" w14:textId="77777777" w:rsidR="00A8197C" w:rsidRPr="00304A3B" w:rsidRDefault="00A8197C" w:rsidP="00A8197C">
      <w:pPr>
        <w:pStyle w:val="ListParagraph"/>
        <w:spacing w:line="240" w:lineRule="auto"/>
        <w:rPr>
          <w:rFonts w:ascii="Times New Roman" w:hAnsi="Times New Roman" w:cs="Times New Roman"/>
        </w:rPr>
      </w:pPr>
    </w:p>
    <w:p w14:paraId="5A35E12B" w14:textId="5A2C9214" w:rsidR="00A8197C" w:rsidRPr="00304A3B" w:rsidRDefault="00A8197C" w:rsidP="00A8197C">
      <w:pPr>
        <w:pStyle w:val="ListParagraph"/>
        <w:numPr>
          <w:ilvl w:val="0"/>
          <w:numId w:val="21"/>
        </w:numPr>
        <w:spacing w:line="240" w:lineRule="auto"/>
        <w:rPr>
          <w:rFonts w:ascii="Times New Roman" w:hAnsi="Times New Roman" w:cs="Times New Roman"/>
        </w:rPr>
      </w:pPr>
      <w:r w:rsidRPr="00304A3B">
        <w:rPr>
          <w:rFonts w:ascii="Times New Roman" w:hAnsi="Times New Roman" w:cs="Times New Roman"/>
          <w:b/>
        </w:rPr>
        <w:t xml:space="preserve">Knowledge Capitals </w:t>
      </w:r>
      <w:r w:rsidRPr="00304A3B">
        <w:rPr>
          <w:rFonts w:ascii="Times New Roman" w:hAnsi="Times New Roman" w:cs="Times New Roman"/>
        </w:rPr>
        <w:t>are 19 mid-sized,</w:t>
      </w:r>
      <w:r w:rsidR="005525C3" w:rsidRPr="00304A3B">
        <w:rPr>
          <w:rFonts w:ascii="Times New Roman" w:hAnsi="Times New Roman" w:cs="Times New Roman"/>
        </w:rPr>
        <w:t xml:space="preserve"> highly productive innovation </w:t>
      </w:r>
      <w:r w:rsidRPr="00304A3B">
        <w:rPr>
          <w:rFonts w:ascii="Times New Roman" w:hAnsi="Times New Roman" w:cs="Times New Roman"/>
        </w:rPr>
        <w:t>centers in the United States (e.g. Boston, Dallas, San Jose, Seattle, etc.) and Europe (</w:t>
      </w:r>
      <w:r w:rsidR="005525C3" w:rsidRPr="00304A3B">
        <w:rPr>
          <w:rFonts w:ascii="Times New Roman" w:hAnsi="Times New Roman" w:cs="Times New Roman"/>
        </w:rPr>
        <w:t xml:space="preserve">e.g., </w:t>
      </w:r>
      <w:r w:rsidRPr="00304A3B">
        <w:rPr>
          <w:rFonts w:ascii="Times New Roman" w:hAnsi="Times New Roman" w:cs="Times New Roman"/>
        </w:rPr>
        <w:t xml:space="preserve">Amsterdam and Zurich) with talented workforces and elite research universities. These regions are at the world’s innovation frontier, and thus challenged constantly to generate new knowledge and ideas to sustain growth.  </w:t>
      </w:r>
    </w:p>
    <w:p w14:paraId="600C0310" w14:textId="77777777" w:rsidR="00A8197C" w:rsidRPr="00304A3B" w:rsidRDefault="00A8197C" w:rsidP="00A8197C">
      <w:pPr>
        <w:pStyle w:val="ListParagraph"/>
        <w:rPr>
          <w:rFonts w:ascii="Times New Roman" w:hAnsi="Times New Roman" w:cs="Times New Roman"/>
        </w:rPr>
      </w:pPr>
    </w:p>
    <w:p w14:paraId="47DE71DA" w14:textId="324BCC41" w:rsidR="00A8197C" w:rsidRPr="00304A3B" w:rsidRDefault="00A8197C" w:rsidP="00A8197C">
      <w:pPr>
        <w:pStyle w:val="ListParagraph"/>
        <w:numPr>
          <w:ilvl w:val="0"/>
          <w:numId w:val="21"/>
        </w:numPr>
        <w:spacing w:line="240" w:lineRule="auto"/>
        <w:rPr>
          <w:rFonts w:ascii="Times New Roman" w:hAnsi="Times New Roman" w:cs="Times New Roman"/>
        </w:rPr>
      </w:pPr>
      <w:r w:rsidRPr="00304A3B">
        <w:rPr>
          <w:rFonts w:ascii="Times New Roman" w:hAnsi="Times New Roman" w:cs="Times New Roman"/>
          <w:b/>
        </w:rPr>
        <w:t xml:space="preserve">American Middleweights </w:t>
      </w:r>
      <w:r w:rsidRPr="00304A3B">
        <w:rPr>
          <w:rFonts w:ascii="Times New Roman" w:hAnsi="Times New Roman" w:cs="Times New Roman"/>
        </w:rPr>
        <w:t xml:space="preserve">are 16 mid-sized U.S. metro areas, including places like Indianapolis, Miami, and St. </w:t>
      </w:r>
      <w:proofErr w:type="gramStart"/>
      <w:r w:rsidRPr="00304A3B">
        <w:rPr>
          <w:rFonts w:ascii="Times New Roman" w:hAnsi="Times New Roman" w:cs="Times New Roman"/>
        </w:rPr>
        <w:t>Louis, that</w:t>
      </w:r>
      <w:proofErr w:type="gramEnd"/>
      <w:r w:rsidRPr="00304A3B">
        <w:rPr>
          <w:rFonts w:ascii="Times New Roman" w:hAnsi="Times New Roman" w:cs="Times New Roman"/>
        </w:rPr>
        <w:t xml:space="preserve"> are relatively wealthy and house </w:t>
      </w:r>
      <w:r w:rsidR="005525C3" w:rsidRPr="00304A3B">
        <w:rPr>
          <w:rFonts w:ascii="Times New Roman" w:hAnsi="Times New Roman" w:cs="Times New Roman"/>
        </w:rPr>
        <w:t>strong</w:t>
      </w:r>
      <w:r w:rsidRPr="00304A3B">
        <w:rPr>
          <w:rFonts w:ascii="Times New Roman" w:hAnsi="Times New Roman" w:cs="Times New Roman"/>
        </w:rPr>
        <w:t xml:space="preserve"> universities and other anchor institutions. But relatively low traded sector productivity and FDI levels suggest they must continue </w:t>
      </w:r>
      <w:r w:rsidR="005525C3" w:rsidRPr="00304A3B">
        <w:rPr>
          <w:rFonts w:ascii="Times New Roman" w:hAnsi="Times New Roman" w:cs="Times New Roman"/>
        </w:rPr>
        <w:t xml:space="preserve">to strategically align their existing assets </w:t>
      </w:r>
      <w:r w:rsidRPr="00304A3B">
        <w:rPr>
          <w:rFonts w:ascii="Times New Roman" w:hAnsi="Times New Roman" w:cs="Times New Roman"/>
        </w:rPr>
        <w:t xml:space="preserve">to improve traded sector competitiveness. </w:t>
      </w:r>
    </w:p>
    <w:p w14:paraId="3BC28765" w14:textId="77777777" w:rsidR="00A8197C" w:rsidRPr="00304A3B" w:rsidRDefault="00A8197C" w:rsidP="00A8197C">
      <w:pPr>
        <w:pStyle w:val="ListParagraph"/>
        <w:rPr>
          <w:rFonts w:ascii="Times New Roman" w:hAnsi="Times New Roman" w:cs="Times New Roman"/>
        </w:rPr>
      </w:pPr>
    </w:p>
    <w:p w14:paraId="30D1074F" w14:textId="77777777" w:rsidR="00A8197C" w:rsidRPr="00304A3B" w:rsidRDefault="00A8197C" w:rsidP="00A8197C">
      <w:pPr>
        <w:pStyle w:val="ListParagraph"/>
        <w:numPr>
          <w:ilvl w:val="0"/>
          <w:numId w:val="21"/>
        </w:numPr>
        <w:spacing w:line="240" w:lineRule="auto"/>
        <w:rPr>
          <w:rFonts w:ascii="Times New Roman" w:hAnsi="Times New Roman" w:cs="Times New Roman"/>
        </w:rPr>
      </w:pPr>
      <w:r w:rsidRPr="00304A3B">
        <w:rPr>
          <w:rFonts w:ascii="Times New Roman" w:hAnsi="Times New Roman" w:cs="Times New Roman"/>
          <w:b/>
          <w:bCs/>
        </w:rPr>
        <w:t xml:space="preserve">International Middleweights </w:t>
      </w:r>
      <w:r w:rsidRPr="00304A3B">
        <w:rPr>
          <w:rFonts w:ascii="Times New Roman" w:hAnsi="Times New Roman" w:cs="Times New Roman"/>
          <w:bCs/>
        </w:rPr>
        <w:t xml:space="preserve">include </w:t>
      </w:r>
      <w:r w:rsidRPr="00304A3B">
        <w:rPr>
          <w:rFonts w:ascii="Times New Roman" w:hAnsi="Times New Roman" w:cs="Times New Roman"/>
        </w:rPr>
        <w:t xml:space="preserve">26 mid-sized cities in Australia (Melbourne and Sydney), Canada (Montreal and Toronto), and Europe (several German metros) globally connected by people and investment flows, but where growth has lagged after the financial crisis. Like their American middleweight peers, they are striving for a post-recession niche in the global economy, to varying degrees of success. </w:t>
      </w:r>
    </w:p>
    <w:p w14:paraId="5E121E77" w14:textId="2A947420" w:rsidR="00A8197C" w:rsidRPr="00304A3B" w:rsidRDefault="00A8197C" w:rsidP="00A8197C">
      <w:pPr>
        <w:spacing w:line="240" w:lineRule="auto"/>
        <w:rPr>
          <w:rFonts w:ascii="Times New Roman" w:hAnsi="Times New Roman" w:cs="Times New Roman"/>
        </w:rPr>
      </w:pPr>
      <w:r w:rsidRPr="00304A3B">
        <w:rPr>
          <w:rFonts w:ascii="Times New Roman" w:hAnsi="Times New Roman" w:cs="Times New Roman"/>
        </w:rPr>
        <w:t xml:space="preserve">Local and national leaders must govern in ways that deliver growth that is sustainable and inclusive. </w:t>
      </w:r>
      <w:r w:rsidR="00292039" w:rsidRPr="00304A3B">
        <w:rPr>
          <w:rFonts w:ascii="Times New Roman" w:hAnsi="Times New Roman" w:cs="Times New Roman"/>
        </w:rPr>
        <w:t xml:space="preserve">They often must make choices about policies and investments devoid of much-needed data. </w:t>
      </w:r>
      <w:r w:rsidRPr="00304A3B">
        <w:rPr>
          <w:rFonts w:ascii="Times New Roman" w:hAnsi="Times New Roman" w:cs="Times New Roman"/>
        </w:rPr>
        <w:t xml:space="preserve">For decision-makers in global cities, this </w:t>
      </w:r>
      <w:r w:rsidR="00292039" w:rsidRPr="00304A3B">
        <w:rPr>
          <w:rFonts w:ascii="Times New Roman" w:hAnsi="Times New Roman" w:cs="Times New Roman"/>
        </w:rPr>
        <w:t>report</w:t>
      </w:r>
      <w:r w:rsidRPr="00304A3B">
        <w:rPr>
          <w:rFonts w:ascii="Times New Roman" w:hAnsi="Times New Roman" w:cs="Times New Roman"/>
        </w:rPr>
        <w:t xml:space="preserve">—and </w:t>
      </w:r>
      <w:r w:rsidR="00292039" w:rsidRPr="00304A3B">
        <w:rPr>
          <w:rFonts w:ascii="Times New Roman" w:hAnsi="Times New Roman" w:cs="Times New Roman"/>
        </w:rPr>
        <w:t>its</w:t>
      </w:r>
      <w:r w:rsidRPr="00304A3B">
        <w:rPr>
          <w:rFonts w:ascii="Times New Roman" w:hAnsi="Times New Roman" w:cs="Times New Roman"/>
        </w:rPr>
        <w:t xml:space="preserve"> accompanying online interactive—can enable better application of peer city comparisons, how to identify more relevant global innovations to local challenges, and reinforce a city-region’s relative role and performance to inform economic strategies that ensure their ongoing prosperity. </w:t>
      </w:r>
    </w:p>
    <w:p w14:paraId="7827A0FB" w14:textId="77777777" w:rsidR="00A8197C" w:rsidRPr="00304A3B" w:rsidRDefault="00A8197C" w:rsidP="00A8197C">
      <w:pPr>
        <w:spacing w:line="240" w:lineRule="auto"/>
        <w:rPr>
          <w:rFonts w:ascii="Times New Roman" w:hAnsi="Times New Roman" w:cs="Times New Roman"/>
          <w:b/>
        </w:rPr>
      </w:pPr>
      <w:r w:rsidRPr="00304A3B">
        <w:rPr>
          <w:rFonts w:ascii="Times New Roman" w:hAnsi="Times New Roman" w:cs="Times New Roman"/>
          <w:b/>
        </w:rPr>
        <w:t>I. Introduction</w:t>
      </w:r>
    </w:p>
    <w:p w14:paraId="2357B0A6" w14:textId="77777777" w:rsidR="00A8197C" w:rsidRPr="00304A3B" w:rsidRDefault="00A8197C" w:rsidP="00A8197C">
      <w:pPr>
        <w:spacing w:line="240" w:lineRule="auto"/>
        <w:rPr>
          <w:rFonts w:ascii="Times New Roman" w:hAnsi="Times New Roman" w:cs="Times New Roman"/>
        </w:rPr>
      </w:pPr>
      <w:r w:rsidRPr="00304A3B">
        <w:rPr>
          <w:rFonts w:ascii="Times New Roman" w:hAnsi="Times New Roman" w:cs="Times New Roman"/>
        </w:rPr>
        <w:t xml:space="preserve">As the global economy has become more integrated and urbanized, fueled in large part by technology, major cities and metropolitan areas have become key engines of economic growth. The 123 largest metro areas in the world generate nearly one third of global output with only 13 percent of the world’s population. In this urban-centered world, the classic notion of a global city has also been upended. </w:t>
      </w:r>
    </w:p>
    <w:p w14:paraId="7620A6B2" w14:textId="77777777" w:rsidR="00A8197C" w:rsidRPr="00304A3B" w:rsidRDefault="00A8197C" w:rsidP="00A8197C">
      <w:pPr>
        <w:spacing w:line="240" w:lineRule="auto"/>
        <w:rPr>
          <w:rFonts w:ascii="Times New Roman" w:hAnsi="Times New Roman" w:cs="Times New Roman"/>
        </w:rPr>
      </w:pPr>
      <w:r w:rsidRPr="00304A3B">
        <w:rPr>
          <w:rFonts w:ascii="Times New Roman" w:hAnsi="Times New Roman" w:cs="Times New Roman"/>
        </w:rPr>
        <w:t>This report introduces a redefined map of global cities, drawing on a new typology that demonstrates how metro areas vary in how they attract and amass economic drivers, and thus contribute differently to global economic growth. New concerns about economic stagnation—in both developing and developed economies—add urgency to mapping the role of the world’s cities and the extent to which they are well-positioned to deliver the next round of global growth.</w:t>
      </w:r>
      <w:r w:rsidRPr="00304A3B">
        <w:rPr>
          <w:rStyle w:val="EndnoteReference"/>
          <w:rFonts w:ascii="Times New Roman" w:hAnsi="Times New Roman" w:cs="Times New Roman"/>
        </w:rPr>
        <w:endnoteReference w:id="1"/>
      </w:r>
      <w:r w:rsidRPr="00304A3B">
        <w:rPr>
          <w:rFonts w:ascii="Times New Roman" w:hAnsi="Times New Roman" w:cs="Times New Roman"/>
        </w:rPr>
        <w:t xml:space="preserve"> </w:t>
      </w:r>
    </w:p>
    <w:p w14:paraId="5DA7E510" w14:textId="77777777" w:rsidR="00A8197C" w:rsidRPr="00304A3B" w:rsidRDefault="00A8197C" w:rsidP="00A8197C">
      <w:pPr>
        <w:spacing w:line="240" w:lineRule="auto"/>
        <w:rPr>
          <w:rFonts w:ascii="Times New Roman" w:hAnsi="Times New Roman" w:cs="Times New Roman"/>
        </w:rPr>
      </w:pPr>
      <w:r w:rsidRPr="00304A3B">
        <w:rPr>
          <w:rFonts w:ascii="Times New Roman" w:hAnsi="Times New Roman" w:cs="Times New Roman"/>
        </w:rPr>
        <w:t>Instead of a comprehensive ranking or indexed score, which many prior cities indices and reports have capably achieved</w:t>
      </w:r>
      <w:r w:rsidRPr="00304A3B">
        <w:rPr>
          <w:rStyle w:val="EndnoteReference"/>
          <w:rFonts w:ascii="Times New Roman" w:hAnsi="Times New Roman" w:cs="Times New Roman"/>
        </w:rPr>
        <w:endnoteReference w:id="2"/>
      </w:r>
      <w:r w:rsidRPr="00304A3B">
        <w:rPr>
          <w:rFonts w:ascii="Times New Roman" w:hAnsi="Times New Roman" w:cs="Times New Roman"/>
        </w:rPr>
        <w:t xml:space="preserve">, this analysis differentiates the assets and challenges faced by seven types of global cities. This perspective reveals that all major cities are indeed global; they participate as critical nodes in an integrated marketplace and are shaped by global currents. But cities also operate from much different starting points and experience diverse economic trajectories. Concerns about global growth, productivity, and wages are not monolithic so this typology can inform the different city-led paths to address them. For metro leaders, this typology can also ensure better application of peer comparisons, how to identify more relevant global innovations to local challenges, and reinforce a city-region’s relative role and performance to inform economic strategies that ensure their ongoing prosperity. </w:t>
      </w:r>
    </w:p>
    <w:p w14:paraId="473A1E8C" w14:textId="71DBC55D" w:rsidR="00A8197C" w:rsidRPr="00304A3B" w:rsidRDefault="00A8197C" w:rsidP="002565A4">
      <w:pPr>
        <w:spacing w:line="240" w:lineRule="auto"/>
        <w:rPr>
          <w:rFonts w:ascii="Times New Roman" w:hAnsi="Times New Roman" w:cs="Times New Roman"/>
        </w:rPr>
      </w:pPr>
      <w:r w:rsidRPr="00304A3B">
        <w:rPr>
          <w:rFonts w:ascii="Times New Roman" w:hAnsi="Times New Roman" w:cs="Times New Roman"/>
        </w:rPr>
        <w:t>This report proceeds in four parts. In the following section, we explore the three global forces of urbanization, globalization, and technological change, and how together they are demanding city-regions focus on five core factors—traded clusters, innovation, talent, infrastructure connectivity, and governance—to bolster their economic competitiveness. Building on thes</w:t>
      </w:r>
      <w:r w:rsidR="005525C3" w:rsidRPr="00304A3B">
        <w:rPr>
          <w:rFonts w:ascii="Times New Roman" w:hAnsi="Times New Roman" w:cs="Times New Roman"/>
        </w:rPr>
        <w:t>e factors, Part III outlines the data and methods deployed to create the metropolitan typology</w:t>
      </w:r>
      <w:r w:rsidRPr="00304A3B">
        <w:rPr>
          <w:rFonts w:ascii="Times New Roman" w:hAnsi="Times New Roman" w:cs="Times New Roman"/>
        </w:rPr>
        <w:t>. Part IV</w:t>
      </w:r>
      <w:r w:rsidR="005525C3" w:rsidRPr="00304A3B">
        <w:rPr>
          <w:rFonts w:ascii="Times New Roman" w:hAnsi="Times New Roman" w:cs="Times New Roman"/>
        </w:rPr>
        <w:t xml:space="preserve"> explores the collective economic clout of the metro areas in our sample and</w:t>
      </w:r>
      <w:r w:rsidRPr="00304A3B">
        <w:rPr>
          <w:rFonts w:ascii="Times New Roman" w:hAnsi="Times New Roman" w:cs="Times New Roman"/>
        </w:rPr>
        <w:t xml:space="preserve"> introduces a new typology of global cities. Finally, Part V explores the future investments, policies, and strategies required for each grouping of metro areas. Within the typology framework, we explore the priorities for action going forward, including our implications for governance. </w:t>
      </w:r>
    </w:p>
    <w:p w14:paraId="4B824161" w14:textId="109E140F" w:rsidR="00776D8F" w:rsidRPr="00304A3B" w:rsidRDefault="00A17F8E" w:rsidP="00800A07">
      <w:pPr>
        <w:pStyle w:val="ListParagraph"/>
        <w:numPr>
          <w:ilvl w:val="0"/>
          <w:numId w:val="19"/>
        </w:numPr>
        <w:spacing w:line="240" w:lineRule="auto"/>
        <w:rPr>
          <w:rFonts w:ascii="Times New Roman" w:hAnsi="Times New Roman" w:cs="Times New Roman"/>
          <w:b/>
        </w:rPr>
      </w:pPr>
      <w:r w:rsidRPr="00304A3B">
        <w:rPr>
          <w:rFonts w:ascii="Times New Roman" w:hAnsi="Times New Roman" w:cs="Times New Roman"/>
          <w:b/>
        </w:rPr>
        <w:lastRenderedPageBreak/>
        <w:t xml:space="preserve">Global </w:t>
      </w:r>
      <w:r w:rsidR="00217949" w:rsidRPr="00304A3B">
        <w:rPr>
          <w:rFonts w:ascii="Times New Roman" w:hAnsi="Times New Roman" w:cs="Times New Roman"/>
          <w:b/>
        </w:rPr>
        <w:t>Megat</w:t>
      </w:r>
      <w:r w:rsidRPr="00304A3B">
        <w:rPr>
          <w:rFonts w:ascii="Times New Roman" w:hAnsi="Times New Roman" w:cs="Times New Roman"/>
          <w:b/>
        </w:rPr>
        <w:t>rends</w:t>
      </w:r>
      <w:r w:rsidR="00217949" w:rsidRPr="00304A3B">
        <w:rPr>
          <w:rFonts w:ascii="Times New Roman" w:hAnsi="Times New Roman" w:cs="Times New Roman"/>
          <w:b/>
        </w:rPr>
        <w:t xml:space="preserve"> and Cities</w:t>
      </w:r>
    </w:p>
    <w:p w14:paraId="5F12FBE1" w14:textId="54468E63" w:rsidR="000A2581" w:rsidRPr="00304A3B" w:rsidRDefault="005D562C" w:rsidP="0016168A">
      <w:pPr>
        <w:spacing w:line="240" w:lineRule="auto"/>
        <w:rPr>
          <w:rFonts w:ascii="Times New Roman" w:hAnsi="Times New Roman" w:cs="Times New Roman"/>
        </w:rPr>
      </w:pPr>
      <w:r w:rsidRPr="00304A3B">
        <w:rPr>
          <w:rFonts w:ascii="Times New Roman" w:hAnsi="Times New Roman" w:cs="Times New Roman"/>
        </w:rPr>
        <w:t xml:space="preserve">Three significant </w:t>
      </w:r>
      <w:r w:rsidR="000A2581" w:rsidRPr="00304A3B">
        <w:rPr>
          <w:rFonts w:ascii="Times New Roman" w:hAnsi="Times New Roman" w:cs="Times New Roman"/>
        </w:rPr>
        <w:t>forces</w:t>
      </w:r>
      <w:r w:rsidRPr="00304A3B">
        <w:rPr>
          <w:rFonts w:ascii="Times New Roman" w:hAnsi="Times New Roman" w:cs="Times New Roman"/>
        </w:rPr>
        <w:t>—urbanization, global integration, and technolo</w:t>
      </w:r>
      <w:r w:rsidR="00782A99" w:rsidRPr="00304A3B">
        <w:rPr>
          <w:rFonts w:ascii="Times New Roman" w:hAnsi="Times New Roman" w:cs="Times New Roman"/>
        </w:rPr>
        <w:t>gical change—</w:t>
      </w:r>
      <w:r w:rsidR="00D632E6" w:rsidRPr="00304A3B">
        <w:rPr>
          <w:rFonts w:ascii="Times New Roman" w:hAnsi="Times New Roman" w:cs="Times New Roman"/>
        </w:rPr>
        <w:t>are reshaping the international economy</w:t>
      </w:r>
      <w:r w:rsidR="008A59E6" w:rsidRPr="00304A3B">
        <w:rPr>
          <w:rFonts w:ascii="Times New Roman" w:hAnsi="Times New Roman" w:cs="Times New Roman"/>
        </w:rPr>
        <w:t>.</w:t>
      </w:r>
      <w:r w:rsidR="005525C3" w:rsidRPr="00304A3B">
        <w:rPr>
          <w:rStyle w:val="EndnoteReference"/>
          <w:rFonts w:ascii="Times New Roman" w:hAnsi="Times New Roman" w:cs="Times New Roman"/>
        </w:rPr>
        <w:endnoteReference w:id="3"/>
      </w:r>
      <w:r w:rsidR="00D632E6" w:rsidRPr="00304A3B">
        <w:rPr>
          <w:rFonts w:ascii="Times New Roman" w:hAnsi="Times New Roman" w:cs="Times New Roman"/>
        </w:rPr>
        <w:t xml:space="preserve"> </w:t>
      </w:r>
      <w:r w:rsidR="0016168A" w:rsidRPr="00304A3B">
        <w:rPr>
          <w:rFonts w:ascii="Times New Roman" w:hAnsi="Times New Roman" w:cs="Times New Roman"/>
        </w:rPr>
        <w:t xml:space="preserve">Notwithstanding the importance of these social, environmental and political megatrends, we focus on </w:t>
      </w:r>
      <w:r w:rsidRPr="00304A3B">
        <w:rPr>
          <w:rFonts w:ascii="Times New Roman" w:hAnsi="Times New Roman" w:cs="Times New Roman"/>
        </w:rPr>
        <w:t xml:space="preserve">these </w:t>
      </w:r>
      <w:r w:rsidR="0016168A" w:rsidRPr="00304A3B">
        <w:rPr>
          <w:rFonts w:ascii="Times New Roman" w:hAnsi="Times New Roman" w:cs="Times New Roman"/>
        </w:rPr>
        <w:t>three forces, specifically, because they are distinctly positioning cities as the world’s competitive economic units while simultaneously redefining what it takes for th</w:t>
      </w:r>
      <w:r w:rsidR="00D632E6" w:rsidRPr="00304A3B">
        <w:rPr>
          <w:rFonts w:ascii="Times New Roman" w:hAnsi="Times New Roman" w:cs="Times New Roman"/>
        </w:rPr>
        <w:t>em to excel in today’s economy.</w:t>
      </w:r>
    </w:p>
    <w:p w14:paraId="7655D82D" w14:textId="77777777" w:rsidR="004A3812" w:rsidRPr="00304A3B" w:rsidRDefault="004A3812" w:rsidP="00797E7D">
      <w:pPr>
        <w:spacing w:line="240" w:lineRule="auto"/>
        <w:rPr>
          <w:rFonts w:ascii="Times New Roman" w:hAnsi="Times New Roman" w:cs="Times New Roman"/>
          <w:b/>
        </w:rPr>
      </w:pPr>
      <w:r w:rsidRPr="00304A3B">
        <w:rPr>
          <w:rFonts w:ascii="Times New Roman" w:hAnsi="Times New Roman" w:cs="Times New Roman"/>
          <w:b/>
        </w:rPr>
        <w:t xml:space="preserve">Urbanization </w:t>
      </w:r>
    </w:p>
    <w:p w14:paraId="565336B3" w14:textId="77777777" w:rsidR="00C14A32" w:rsidRPr="00304A3B" w:rsidRDefault="004A3812" w:rsidP="001D5937">
      <w:pPr>
        <w:spacing w:line="240" w:lineRule="auto"/>
        <w:rPr>
          <w:rFonts w:ascii="Times New Roman" w:hAnsi="Times New Roman" w:cs="Times New Roman"/>
        </w:rPr>
      </w:pPr>
      <w:r w:rsidRPr="00304A3B">
        <w:rPr>
          <w:rFonts w:ascii="Times New Roman" w:hAnsi="Times New Roman" w:cs="Times New Roman"/>
        </w:rPr>
        <w:t>The world is becoming more urban</w:t>
      </w:r>
      <w:r w:rsidR="00AB0B50" w:rsidRPr="00304A3B">
        <w:rPr>
          <w:rFonts w:ascii="Times New Roman" w:hAnsi="Times New Roman" w:cs="Times New Roman"/>
        </w:rPr>
        <w:t>, placing cities squarely at the center of global economic development. T</w:t>
      </w:r>
      <w:r w:rsidR="00CE2772" w:rsidRPr="00304A3B">
        <w:rPr>
          <w:rFonts w:ascii="Times New Roman" w:hAnsi="Times New Roman" w:cs="Times New Roman"/>
        </w:rPr>
        <w:t xml:space="preserve">he share of global population in metropolitan areas has grown from 29 percent in 1950 to well over half today, and is predicted to reach 66 percent by </w:t>
      </w:r>
      <w:r w:rsidR="001637E2" w:rsidRPr="00304A3B">
        <w:rPr>
          <w:rFonts w:ascii="Times New Roman" w:hAnsi="Times New Roman" w:cs="Times New Roman"/>
        </w:rPr>
        <w:t>mid-century.</w:t>
      </w:r>
      <w:r w:rsidR="00CE2772" w:rsidRPr="00304A3B">
        <w:rPr>
          <w:rStyle w:val="EndnoteReference"/>
          <w:rFonts w:ascii="Times New Roman" w:hAnsi="Times New Roman" w:cs="Times New Roman"/>
        </w:rPr>
        <w:endnoteReference w:id="4"/>
      </w:r>
      <w:r w:rsidR="00CE2772" w:rsidRPr="00304A3B">
        <w:rPr>
          <w:rFonts w:ascii="Times New Roman" w:hAnsi="Times New Roman" w:cs="Times New Roman"/>
        </w:rPr>
        <w:t xml:space="preserve">  </w:t>
      </w:r>
    </w:p>
    <w:p w14:paraId="1CCBF664" w14:textId="17C55F16" w:rsidR="00650605" w:rsidRPr="00304A3B" w:rsidRDefault="001D5937" w:rsidP="001D5937">
      <w:pPr>
        <w:spacing w:line="240" w:lineRule="auto"/>
        <w:rPr>
          <w:rFonts w:ascii="Times New Roman" w:hAnsi="Times New Roman" w:cs="Times New Roman"/>
        </w:rPr>
      </w:pPr>
      <w:r w:rsidRPr="00304A3B">
        <w:rPr>
          <w:rFonts w:ascii="Times New Roman" w:hAnsi="Times New Roman" w:cs="Times New Roman"/>
        </w:rPr>
        <w:t xml:space="preserve">History indicates that urbanization both accompanies and facilitates economic transition from agriculture to manufacturing and services, activities that tend to demand clusters of labor and capital, as well as proximity to other firms that cities provide. </w:t>
      </w:r>
      <w:r w:rsidR="0043775C" w:rsidRPr="00304A3B">
        <w:rPr>
          <w:rFonts w:ascii="Times New Roman" w:hAnsi="Times New Roman" w:cs="Times New Roman"/>
        </w:rPr>
        <w:t xml:space="preserve">Urbanization and industrialization, therefore, tend to occur in concert. </w:t>
      </w:r>
      <w:r w:rsidRPr="00304A3B">
        <w:rPr>
          <w:rFonts w:ascii="Times New Roman" w:hAnsi="Times New Roman" w:cs="Times New Roman"/>
        </w:rPr>
        <w:t>The</w:t>
      </w:r>
      <w:r w:rsidR="0043775C" w:rsidRPr="00304A3B">
        <w:rPr>
          <w:rFonts w:ascii="Times New Roman" w:hAnsi="Times New Roman" w:cs="Times New Roman"/>
        </w:rPr>
        <w:t>se</w:t>
      </w:r>
      <w:r w:rsidRPr="00304A3B">
        <w:rPr>
          <w:rFonts w:ascii="Times New Roman" w:hAnsi="Times New Roman" w:cs="Times New Roman"/>
        </w:rPr>
        <w:t xml:space="preserve"> twin forces</w:t>
      </w:r>
      <w:r w:rsidR="0043775C" w:rsidRPr="00304A3B">
        <w:rPr>
          <w:rFonts w:ascii="Times New Roman" w:hAnsi="Times New Roman" w:cs="Times New Roman"/>
        </w:rPr>
        <w:t>, which revolutionized E</w:t>
      </w:r>
      <w:r w:rsidRPr="00304A3B">
        <w:rPr>
          <w:rFonts w:ascii="Times New Roman" w:hAnsi="Times New Roman" w:cs="Times New Roman"/>
        </w:rPr>
        <w:t>urope and North America in the late 19</w:t>
      </w:r>
      <w:r w:rsidRPr="00304A3B">
        <w:rPr>
          <w:rFonts w:ascii="Times New Roman" w:hAnsi="Times New Roman" w:cs="Times New Roman"/>
          <w:vertAlign w:val="superscript"/>
        </w:rPr>
        <w:t>th</w:t>
      </w:r>
      <w:r w:rsidRPr="00304A3B">
        <w:rPr>
          <w:rFonts w:ascii="Times New Roman" w:hAnsi="Times New Roman" w:cs="Times New Roman"/>
        </w:rPr>
        <w:t xml:space="preserve"> century and early 20</w:t>
      </w:r>
      <w:r w:rsidRPr="00304A3B">
        <w:rPr>
          <w:rFonts w:ascii="Times New Roman" w:hAnsi="Times New Roman" w:cs="Times New Roman"/>
          <w:vertAlign w:val="superscript"/>
        </w:rPr>
        <w:t>th</w:t>
      </w:r>
      <w:r w:rsidRPr="00304A3B">
        <w:rPr>
          <w:rFonts w:ascii="Times New Roman" w:hAnsi="Times New Roman" w:cs="Times New Roman"/>
        </w:rPr>
        <w:t xml:space="preserve"> century</w:t>
      </w:r>
      <w:r w:rsidR="0043775C" w:rsidRPr="00304A3B">
        <w:rPr>
          <w:rFonts w:ascii="Times New Roman" w:hAnsi="Times New Roman" w:cs="Times New Roman"/>
        </w:rPr>
        <w:t xml:space="preserve">, have now </w:t>
      </w:r>
      <w:r w:rsidRPr="00304A3B">
        <w:rPr>
          <w:rFonts w:ascii="Times New Roman" w:hAnsi="Times New Roman" w:cs="Times New Roman"/>
        </w:rPr>
        <w:t>touched Asia</w:t>
      </w:r>
      <w:r w:rsidR="00F61126" w:rsidRPr="00304A3B">
        <w:rPr>
          <w:rFonts w:ascii="Times New Roman" w:hAnsi="Times New Roman" w:cs="Times New Roman"/>
        </w:rPr>
        <w:t xml:space="preserve"> and</w:t>
      </w:r>
      <w:r w:rsidRPr="00304A3B">
        <w:rPr>
          <w:rFonts w:ascii="Times New Roman" w:hAnsi="Times New Roman" w:cs="Times New Roman"/>
        </w:rPr>
        <w:t xml:space="preserve"> Latin America</w:t>
      </w:r>
      <w:r w:rsidR="0043775C" w:rsidRPr="00304A3B">
        <w:rPr>
          <w:rFonts w:ascii="Times New Roman" w:hAnsi="Times New Roman" w:cs="Times New Roman"/>
        </w:rPr>
        <w:t xml:space="preserve"> over the past several decades</w:t>
      </w:r>
      <w:r w:rsidR="00E669F5" w:rsidRPr="00304A3B">
        <w:rPr>
          <w:rFonts w:ascii="Times New Roman" w:hAnsi="Times New Roman" w:cs="Times New Roman"/>
        </w:rPr>
        <w:t xml:space="preserve">. </w:t>
      </w:r>
      <w:r w:rsidR="00F61126" w:rsidRPr="00304A3B">
        <w:rPr>
          <w:rFonts w:ascii="Times New Roman" w:hAnsi="Times New Roman" w:cs="Times New Roman"/>
        </w:rPr>
        <w:t xml:space="preserve">However, this </w:t>
      </w:r>
      <w:r w:rsidR="00674EC6" w:rsidRPr="00304A3B">
        <w:rPr>
          <w:rFonts w:ascii="Times New Roman" w:hAnsi="Times New Roman" w:cs="Times New Roman"/>
        </w:rPr>
        <w:t>process</w:t>
      </w:r>
      <w:r w:rsidR="00F61126" w:rsidRPr="00304A3B">
        <w:rPr>
          <w:rFonts w:ascii="Times New Roman" w:hAnsi="Times New Roman" w:cs="Times New Roman"/>
        </w:rPr>
        <w:t xml:space="preserve"> is not </w:t>
      </w:r>
      <w:r w:rsidR="00674EC6" w:rsidRPr="00304A3B">
        <w:rPr>
          <w:rFonts w:ascii="Times New Roman" w:hAnsi="Times New Roman" w:cs="Times New Roman"/>
        </w:rPr>
        <w:t>preordained</w:t>
      </w:r>
      <w:r w:rsidR="00F61126" w:rsidRPr="00304A3B">
        <w:rPr>
          <w:rFonts w:ascii="Times New Roman" w:hAnsi="Times New Roman" w:cs="Times New Roman"/>
        </w:rPr>
        <w:t>. Africa</w:t>
      </w:r>
      <w:r w:rsidR="00674EC6" w:rsidRPr="00304A3B">
        <w:rPr>
          <w:rFonts w:ascii="Times New Roman" w:hAnsi="Times New Roman" w:cs="Times New Roman"/>
        </w:rPr>
        <w:t>’s urbanization</w:t>
      </w:r>
      <w:r w:rsidR="00BA313A">
        <w:rPr>
          <w:rFonts w:ascii="Times New Roman" w:hAnsi="Times New Roman" w:cs="Times New Roman"/>
        </w:rPr>
        <w:t>, for instance,</w:t>
      </w:r>
      <w:r w:rsidR="00674EC6" w:rsidRPr="00304A3B">
        <w:rPr>
          <w:rFonts w:ascii="Times New Roman" w:hAnsi="Times New Roman" w:cs="Times New Roman"/>
        </w:rPr>
        <w:t xml:space="preserve"> has not been accompanied by widespread industrialization</w:t>
      </w:r>
      <w:r w:rsidR="00F61126" w:rsidRPr="00304A3B">
        <w:rPr>
          <w:rFonts w:ascii="Times New Roman" w:hAnsi="Times New Roman" w:cs="Times New Roman"/>
        </w:rPr>
        <w:t>.</w:t>
      </w:r>
      <w:r w:rsidR="00F61126" w:rsidRPr="00304A3B">
        <w:rPr>
          <w:rStyle w:val="EndnoteReference"/>
          <w:rFonts w:ascii="Times New Roman" w:hAnsi="Times New Roman" w:cs="Times New Roman"/>
        </w:rPr>
        <w:endnoteReference w:id="5"/>
      </w:r>
      <w:r w:rsidR="00F61126" w:rsidRPr="00304A3B">
        <w:rPr>
          <w:rFonts w:ascii="Times New Roman" w:hAnsi="Times New Roman" w:cs="Times New Roman"/>
        </w:rPr>
        <w:t xml:space="preserve"> Notwithstanding Africa’s challenges, m</w:t>
      </w:r>
      <w:r w:rsidR="00E669F5" w:rsidRPr="00304A3B">
        <w:rPr>
          <w:rFonts w:ascii="Times New Roman" w:hAnsi="Times New Roman" w:cs="Times New Roman"/>
        </w:rPr>
        <w:t xml:space="preserve">illions of rural residents each week flock to urban regions in </w:t>
      </w:r>
      <w:r w:rsidR="00A4714C" w:rsidRPr="00304A3B">
        <w:rPr>
          <w:rFonts w:ascii="Times New Roman" w:hAnsi="Times New Roman" w:cs="Times New Roman"/>
        </w:rPr>
        <w:t xml:space="preserve">the Global South </w:t>
      </w:r>
      <w:r w:rsidR="00E669F5" w:rsidRPr="00304A3B">
        <w:rPr>
          <w:rFonts w:ascii="Times New Roman" w:hAnsi="Times New Roman" w:cs="Times New Roman"/>
        </w:rPr>
        <w:t>in search of the living standards that new production and services jobs provide.</w:t>
      </w:r>
      <w:r w:rsidR="005456DF" w:rsidRPr="00304A3B">
        <w:rPr>
          <w:rFonts w:ascii="Times New Roman" w:hAnsi="Times New Roman" w:cs="Times New Roman"/>
        </w:rPr>
        <w:t xml:space="preserve"> Since 2010 annual urban populations have grown fastest in Africa (3.55 percent) and Asia (2.50 percent), greatly exceeding the pace of urban growth in North America (1.04 percent) and especially Europe (0.33 percent).</w:t>
      </w:r>
      <w:r w:rsidR="00BE0B15" w:rsidRPr="00304A3B">
        <w:rPr>
          <w:rStyle w:val="EndnoteReference"/>
          <w:rFonts w:ascii="Times New Roman" w:hAnsi="Times New Roman" w:cs="Times New Roman"/>
        </w:rPr>
        <w:endnoteReference w:id="6"/>
      </w:r>
      <w:r w:rsidR="00A74615" w:rsidRPr="00304A3B">
        <w:rPr>
          <w:rFonts w:ascii="Times New Roman" w:hAnsi="Times New Roman" w:cs="Times New Roman"/>
        </w:rPr>
        <w:t xml:space="preserve"> </w:t>
      </w:r>
    </w:p>
    <w:p w14:paraId="5C274D04" w14:textId="1AF175AF" w:rsidR="00C83672" w:rsidRPr="00304A3B" w:rsidRDefault="00650605" w:rsidP="00C83672">
      <w:pPr>
        <w:spacing w:line="240" w:lineRule="auto"/>
        <w:rPr>
          <w:rFonts w:ascii="Times New Roman" w:hAnsi="Times New Roman" w:cs="Times New Roman"/>
        </w:rPr>
      </w:pPr>
      <w:r w:rsidRPr="00304A3B">
        <w:rPr>
          <w:rFonts w:ascii="Times New Roman" w:hAnsi="Times New Roman" w:cs="Times New Roman"/>
        </w:rPr>
        <w:t>The</w:t>
      </w:r>
      <w:r w:rsidR="00A74615" w:rsidRPr="00304A3B">
        <w:rPr>
          <w:rFonts w:ascii="Times New Roman" w:hAnsi="Times New Roman" w:cs="Times New Roman"/>
        </w:rPr>
        <w:t xml:space="preserve"> pressures and opportunities </w:t>
      </w:r>
      <w:r w:rsidRPr="00304A3B">
        <w:rPr>
          <w:rFonts w:ascii="Times New Roman" w:hAnsi="Times New Roman" w:cs="Times New Roman"/>
        </w:rPr>
        <w:t xml:space="preserve">accompanying urbanization </w:t>
      </w:r>
      <w:r w:rsidR="00A74615" w:rsidRPr="00304A3B">
        <w:rPr>
          <w:rFonts w:ascii="Times New Roman" w:hAnsi="Times New Roman" w:cs="Times New Roman"/>
        </w:rPr>
        <w:t>will be felt most intensely and directly in the Global South</w:t>
      </w:r>
      <w:r w:rsidRPr="00304A3B">
        <w:rPr>
          <w:rFonts w:ascii="Times New Roman" w:hAnsi="Times New Roman" w:cs="Times New Roman"/>
        </w:rPr>
        <w:t>, but the knock-on effects will be worldwide. U</w:t>
      </w:r>
      <w:r w:rsidR="00E669F5" w:rsidRPr="00304A3B">
        <w:rPr>
          <w:rFonts w:ascii="Times New Roman" w:hAnsi="Times New Roman" w:cs="Times New Roman"/>
        </w:rPr>
        <w:t xml:space="preserve">rbanization in </w:t>
      </w:r>
      <w:r w:rsidR="00264F44" w:rsidRPr="00304A3B">
        <w:rPr>
          <w:rFonts w:ascii="Times New Roman" w:hAnsi="Times New Roman" w:cs="Times New Roman"/>
        </w:rPr>
        <w:t>developing</w:t>
      </w:r>
      <w:r w:rsidR="0043775C" w:rsidRPr="00304A3B">
        <w:rPr>
          <w:rFonts w:ascii="Times New Roman" w:hAnsi="Times New Roman" w:cs="Times New Roman"/>
        </w:rPr>
        <w:t xml:space="preserve"> economies</w:t>
      </w:r>
      <w:r w:rsidR="00E669F5" w:rsidRPr="00304A3B">
        <w:rPr>
          <w:rFonts w:ascii="Times New Roman" w:hAnsi="Times New Roman" w:cs="Times New Roman"/>
        </w:rPr>
        <w:t xml:space="preserve"> has resulted in a much </w:t>
      </w:r>
      <w:r w:rsidR="001D5937" w:rsidRPr="00304A3B">
        <w:rPr>
          <w:rFonts w:ascii="Times New Roman" w:hAnsi="Times New Roman" w:cs="Times New Roman"/>
        </w:rPr>
        <w:t xml:space="preserve">greater </w:t>
      </w:r>
      <w:r w:rsidR="00E669F5" w:rsidRPr="00304A3B">
        <w:rPr>
          <w:rFonts w:ascii="Times New Roman" w:hAnsi="Times New Roman" w:cs="Times New Roman"/>
        </w:rPr>
        <w:t xml:space="preserve">number of urban areas in which firms and workers can thrive. </w:t>
      </w:r>
      <w:r w:rsidR="00F61126" w:rsidRPr="00304A3B">
        <w:rPr>
          <w:rFonts w:ascii="Times New Roman" w:hAnsi="Times New Roman" w:cs="Times New Roman"/>
        </w:rPr>
        <w:t>In technical terms, agglomeration externalities—the benefits that accrue to firms, workers, and local economies from clustering</w:t>
      </w:r>
      <w:r w:rsidR="00143AC9" w:rsidRPr="00304A3B">
        <w:rPr>
          <w:rFonts w:ascii="Times New Roman" w:hAnsi="Times New Roman" w:cs="Times New Roman"/>
        </w:rPr>
        <w:t>—</w:t>
      </w:r>
      <w:r w:rsidR="00C83672" w:rsidRPr="00304A3B">
        <w:rPr>
          <w:rFonts w:ascii="Times New Roman" w:hAnsi="Times New Roman" w:cs="Times New Roman"/>
        </w:rPr>
        <w:t>now exist in many more parts of the world</w:t>
      </w:r>
      <w:r w:rsidR="00143AC9" w:rsidRPr="00304A3B">
        <w:rPr>
          <w:rFonts w:ascii="Times New Roman" w:hAnsi="Times New Roman" w:cs="Times New Roman"/>
        </w:rPr>
        <w:t>.</w:t>
      </w:r>
      <w:r w:rsidR="00143AC9" w:rsidRPr="00304A3B">
        <w:rPr>
          <w:rStyle w:val="EndnoteReference"/>
          <w:rFonts w:ascii="Times New Roman" w:hAnsi="Times New Roman" w:cs="Times New Roman"/>
        </w:rPr>
        <w:endnoteReference w:id="7"/>
      </w:r>
      <w:r w:rsidR="00C83672" w:rsidRPr="00304A3B">
        <w:rPr>
          <w:rFonts w:ascii="Times New Roman" w:hAnsi="Times New Roman" w:cs="Times New Roman"/>
        </w:rPr>
        <w:t xml:space="preserve"> </w:t>
      </w:r>
      <w:r w:rsidR="0043775C" w:rsidRPr="00304A3B">
        <w:rPr>
          <w:rFonts w:ascii="Times New Roman" w:hAnsi="Times New Roman" w:cs="Times New Roman"/>
        </w:rPr>
        <w:t>As a result</w:t>
      </w:r>
      <w:r w:rsidR="00E669F5" w:rsidRPr="00304A3B">
        <w:rPr>
          <w:rFonts w:ascii="Times New Roman" w:hAnsi="Times New Roman" w:cs="Times New Roman"/>
        </w:rPr>
        <w:t xml:space="preserve">, along with their growing human footprint, metro areas are flexing even greater economic muscle on the world stage. </w:t>
      </w:r>
      <w:r w:rsidR="00424540" w:rsidRPr="00304A3B">
        <w:rPr>
          <w:rFonts w:ascii="Times New Roman" w:hAnsi="Times New Roman" w:cs="Times New Roman"/>
        </w:rPr>
        <w:t>Overall, urban</w:t>
      </w:r>
      <w:r w:rsidR="00E669F5" w:rsidRPr="00304A3B">
        <w:rPr>
          <w:rFonts w:ascii="Times New Roman" w:hAnsi="Times New Roman" w:cs="Times New Roman"/>
        </w:rPr>
        <w:t xml:space="preserve"> areas now make up half the world’s population </w:t>
      </w:r>
      <w:r w:rsidR="00424540" w:rsidRPr="00304A3B">
        <w:rPr>
          <w:rFonts w:ascii="Times New Roman" w:hAnsi="Times New Roman" w:cs="Times New Roman"/>
        </w:rPr>
        <w:t>and produce</w:t>
      </w:r>
      <w:r w:rsidR="00E669F5" w:rsidRPr="00304A3B">
        <w:rPr>
          <w:rFonts w:ascii="Times New Roman" w:hAnsi="Times New Roman" w:cs="Times New Roman"/>
        </w:rPr>
        <w:t xml:space="preserve"> roughly 80 percent of its total output.</w:t>
      </w:r>
      <w:r w:rsidR="001D068D" w:rsidRPr="00304A3B">
        <w:rPr>
          <w:rStyle w:val="EndnoteReference"/>
          <w:rFonts w:ascii="Times New Roman" w:hAnsi="Times New Roman" w:cs="Times New Roman"/>
        </w:rPr>
        <w:endnoteReference w:id="8"/>
      </w:r>
      <w:r w:rsidR="00C83672" w:rsidRPr="00304A3B">
        <w:rPr>
          <w:rFonts w:ascii="Times New Roman" w:hAnsi="Times New Roman" w:cs="Times New Roman"/>
        </w:rPr>
        <w:t xml:space="preserve"> </w:t>
      </w:r>
    </w:p>
    <w:p w14:paraId="544F65AD" w14:textId="44727049" w:rsidR="00C83672" w:rsidRPr="00304A3B" w:rsidRDefault="00C83672" w:rsidP="00C83672">
      <w:pPr>
        <w:spacing w:line="240" w:lineRule="auto"/>
        <w:rPr>
          <w:rFonts w:ascii="Times New Roman" w:hAnsi="Times New Roman" w:cs="Times New Roman"/>
        </w:rPr>
      </w:pPr>
      <w:r w:rsidRPr="00304A3B">
        <w:rPr>
          <w:rFonts w:ascii="Times New Roman" w:hAnsi="Times New Roman" w:cs="Times New Roman"/>
        </w:rPr>
        <w:t>Urbanization, however, comes with risks if it is unmanaged. Rapid population influxes in the megacities of Africa, Latin America, and Southeast Asia are straining local government’s ability to provide basic housing, transportation, energy, water, and sewage infrastructure.</w:t>
      </w:r>
      <w:r w:rsidRPr="00304A3B">
        <w:rPr>
          <w:rStyle w:val="EndnoteReference"/>
          <w:rFonts w:ascii="Times New Roman" w:hAnsi="Times New Roman" w:cs="Times New Roman"/>
        </w:rPr>
        <w:endnoteReference w:id="9"/>
      </w:r>
      <w:r w:rsidRPr="00304A3B">
        <w:rPr>
          <w:rFonts w:ascii="Times New Roman" w:hAnsi="Times New Roman" w:cs="Times New Roman"/>
        </w:rPr>
        <w:t xml:space="preserve"> </w:t>
      </w:r>
      <w:r w:rsidR="00D632E6" w:rsidRPr="00304A3B">
        <w:rPr>
          <w:rFonts w:ascii="Times New Roman" w:hAnsi="Times New Roman" w:cs="Times New Roman"/>
        </w:rPr>
        <w:t>The world will need to investment $57 trillion in new infrastructure by 2030 to keep pace with expected growth, the bulk of which will occur in the developing world.</w:t>
      </w:r>
      <w:r w:rsidR="00D632E6" w:rsidRPr="00304A3B">
        <w:rPr>
          <w:rStyle w:val="EndnoteReference"/>
          <w:rFonts w:ascii="Times New Roman" w:hAnsi="Times New Roman" w:cs="Times New Roman"/>
        </w:rPr>
        <w:endnoteReference w:id="10"/>
      </w:r>
      <w:r w:rsidR="00D632E6" w:rsidRPr="00304A3B">
        <w:rPr>
          <w:rFonts w:ascii="Times New Roman" w:hAnsi="Times New Roman" w:cs="Times New Roman"/>
        </w:rPr>
        <w:t xml:space="preserve"> </w:t>
      </w:r>
      <w:r w:rsidRPr="00304A3B">
        <w:rPr>
          <w:rFonts w:ascii="Times New Roman" w:hAnsi="Times New Roman" w:cs="Times New Roman"/>
        </w:rPr>
        <w:t>If the negative externalities of congestion, insecurity, and health risks overwhelm the positive agglomeration externalities that cities provide, countries run the risk of urbanizing without growth.</w:t>
      </w:r>
      <w:r w:rsidRPr="00304A3B">
        <w:rPr>
          <w:rStyle w:val="EndnoteReference"/>
          <w:rFonts w:ascii="Times New Roman" w:hAnsi="Times New Roman" w:cs="Times New Roman"/>
        </w:rPr>
        <w:endnoteReference w:id="11"/>
      </w:r>
      <w:r w:rsidRPr="00304A3B">
        <w:rPr>
          <w:rFonts w:ascii="Times New Roman" w:hAnsi="Times New Roman" w:cs="Times New Roman"/>
        </w:rPr>
        <w:t xml:space="preserve"> </w:t>
      </w:r>
    </w:p>
    <w:p w14:paraId="1A01A813" w14:textId="24680CEB" w:rsidR="00C83672" w:rsidRPr="00304A3B" w:rsidRDefault="00C83672" w:rsidP="00C83672">
      <w:pPr>
        <w:spacing w:line="240" w:lineRule="auto"/>
        <w:rPr>
          <w:rFonts w:ascii="Times New Roman" w:hAnsi="Times New Roman" w:cs="Times New Roman"/>
        </w:rPr>
      </w:pPr>
      <w:r w:rsidRPr="00304A3B">
        <w:rPr>
          <w:rFonts w:ascii="Times New Roman" w:hAnsi="Times New Roman" w:cs="Times New Roman"/>
        </w:rPr>
        <w:t>The rise of developing metro areas creates both challenges and opportunities for developed world cities. There is now more direct competition for firms a</w:t>
      </w:r>
      <w:r w:rsidR="00703EE8" w:rsidRPr="00304A3B">
        <w:rPr>
          <w:rFonts w:ascii="Times New Roman" w:hAnsi="Times New Roman" w:cs="Times New Roman"/>
        </w:rPr>
        <w:t>nd talent</w:t>
      </w:r>
      <w:r w:rsidR="00BA313A">
        <w:rPr>
          <w:rFonts w:ascii="Times New Roman" w:hAnsi="Times New Roman" w:cs="Times New Roman"/>
        </w:rPr>
        <w:t>,</w:t>
      </w:r>
      <w:r w:rsidR="00703EE8" w:rsidRPr="00304A3B">
        <w:rPr>
          <w:rFonts w:ascii="Times New Roman" w:hAnsi="Times New Roman" w:cs="Times New Roman"/>
        </w:rPr>
        <w:t xml:space="preserve"> </w:t>
      </w:r>
      <w:r w:rsidR="00BA313A">
        <w:rPr>
          <w:rFonts w:ascii="Times New Roman" w:hAnsi="Times New Roman" w:cs="Times New Roman"/>
        </w:rPr>
        <w:t>but</w:t>
      </w:r>
      <w:r w:rsidR="00703EE8" w:rsidRPr="00304A3B">
        <w:rPr>
          <w:rFonts w:ascii="Times New Roman" w:hAnsi="Times New Roman" w:cs="Times New Roman"/>
        </w:rPr>
        <w:t xml:space="preserve"> </w:t>
      </w:r>
      <w:r w:rsidR="00BA313A">
        <w:rPr>
          <w:rFonts w:ascii="Times New Roman" w:hAnsi="Times New Roman" w:cs="Times New Roman"/>
        </w:rPr>
        <w:t>m</w:t>
      </w:r>
      <w:r w:rsidR="00703EE8" w:rsidRPr="00304A3B">
        <w:rPr>
          <w:rFonts w:ascii="Times New Roman" w:hAnsi="Times New Roman" w:cs="Times New Roman"/>
        </w:rPr>
        <w:t>etro areas</w:t>
      </w:r>
      <w:r w:rsidRPr="00304A3B">
        <w:rPr>
          <w:rFonts w:ascii="Times New Roman" w:hAnsi="Times New Roman" w:cs="Times New Roman"/>
        </w:rPr>
        <w:t xml:space="preserve"> in developed markets can </w:t>
      </w:r>
      <w:r w:rsidR="00BA313A">
        <w:rPr>
          <w:rFonts w:ascii="Times New Roman" w:hAnsi="Times New Roman" w:cs="Times New Roman"/>
        </w:rPr>
        <w:t xml:space="preserve">also </w:t>
      </w:r>
      <w:r w:rsidRPr="00304A3B">
        <w:rPr>
          <w:rFonts w:ascii="Times New Roman" w:hAnsi="Times New Roman" w:cs="Times New Roman"/>
        </w:rPr>
        <w:t xml:space="preserve">look to developing metros with expanding populations and wealth for new sources of demand. Brookings’ </w:t>
      </w:r>
      <w:proofErr w:type="spellStart"/>
      <w:r w:rsidRPr="00304A3B">
        <w:rPr>
          <w:rFonts w:ascii="Times New Roman" w:hAnsi="Times New Roman" w:cs="Times New Roman"/>
        </w:rPr>
        <w:t>Homi</w:t>
      </w:r>
      <w:proofErr w:type="spellEnd"/>
      <w:r w:rsidRPr="00304A3B">
        <w:rPr>
          <w:rFonts w:ascii="Times New Roman" w:hAnsi="Times New Roman" w:cs="Times New Roman"/>
        </w:rPr>
        <w:t xml:space="preserve"> </w:t>
      </w:r>
      <w:proofErr w:type="spellStart"/>
      <w:r w:rsidRPr="00304A3B">
        <w:rPr>
          <w:rFonts w:ascii="Times New Roman" w:hAnsi="Times New Roman" w:cs="Times New Roman"/>
        </w:rPr>
        <w:t>Kharas</w:t>
      </w:r>
      <w:proofErr w:type="spellEnd"/>
      <w:r w:rsidRPr="00304A3B">
        <w:rPr>
          <w:rFonts w:ascii="Times New Roman" w:hAnsi="Times New Roman" w:cs="Times New Roman"/>
        </w:rPr>
        <w:t xml:space="preserve"> and Geoffrey </w:t>
      </w:r>
      <w:proofErr w:type="spellStart"/>
      <w:r w:rsidRPr="00304A3B">
        <w:rPr>
          <w:rFonts w:ascii="Times New Roman" w:hAnsi="Times New Roman" w:cs="Times New Roman"/>
        </w:rPr>
        <w:t>Gertz</w:t>
      </w:r>
      <w:proofErr w:type="spellEnd"/>
      <w:r w:rsidRPr="00304A3B">
        <w:rPr>
          <w:rFonts w:ascii="Times New Roman" w:hAnsi="Times New Roman" w:cs="Times New Roman"/>
        </w:rPr>
        <w:t xml:space="preserve"> project that China and India, which account for only 5 percent of global middle class consumption today, could together account for nearly half of that consumption by 2050, with most of it occurring in their cities.</w:t>
      </w:r>
      <w:r w:rsidRPr="00304A3B">
        <w:rPr>
          <w:rStyle w:val="EndnoteReference"/>
          <w:rFonts w:ascii="Times New Roman" w:hAnsi="Times New Roman" w:cs="Times New Roman"/>
        </w:rPr>
        <w:endnoteReference w:id="12"/>
      </w:r>
    </w:p>
    <w:p w14:paraId="75E491C0" w14:textId="77777777" w:rsidR="00AB0B50" w:rsidRPr="00304A3B" w:rsidRDefault="00AB0B50" w:rsidP="00AB0B50">
      <w:pPr>
        <w:spacing w:line="240" w:lineRule="auto"/>
        <w:rPr>
          <w:rFonts w:ascii="Times New Roman" w:hAnsi="Times New Roman" w:cs="Times New Roman"/>
          <w:b/>
        </w:rPr>
      </w:pPr>
      <w:r w:rsidRPr="00304A3B">
        <w:rPr>
          <w:rFonts w:ascii="Times New Roman" w:hAnsi="Times New Roman" w:cs="Times New Roman"/>
          <w:b/>
        </w:rPr>
        <w:t>Globalization</w:t>
      </w:r>
    </w:p>
    <w:p w14:paraId="1055C9E2" w14:textId="73AD59A6" w:rsidR="005E4462" w:rsidRPr="00304A3B" w:rsidRDefault="00A46427" w:rsidP="003D065A">
      <w:pPr>
        <w:spacing w:line="240" w:lineRule="auto"/>
        <w:rPr>
          <w:rFonts w:ascii="Times New Roman" w:hAnsi="Times New Roman" w:cs="Times New Roman"/>
        </w:rPr>
      </w:pPr>
      <w:r w:rsidRPr="00304A3B">
        <w:rPr>
          <w:rFonts w:ascii="Times New Roman" w:hAnsi="Times New Roman" w:cs="Times New Roman"/>
        </w:rPr>
        <w:t>Global integration has been a defining trend of the post-war era, fueled by revolutions in transportation,</w:t>
      </w:r>
      <w:r w:rsidR="009634BD" w:rsidRPr="00304A3B">
        <w:rPr>
          <w:rFonts w:ascii="Times New Roman" w:hAnsi="Times New Roman" w:cs="Times New Roman"/>
        </w:rPr>
        <w:t xml:space="preserve"> urbanization and</w:t>
      </w:r>
      <w:r w:rsidRPr="00304A3B">
        <w:rPr>
          <w:rFonts w:ascii="Times New Roman" w:hAnsi="Times New Roman" w:cs="Times New Roman"/>
        </w:rPr>
        <w:t xml:space="preserve"> the rapid rise of emerging markets, the globalization of finance, and the advent </w:t>
      </w:r>
      <w:r w:rsidR="00581ADE" w:rsidRPr="00304A3B">
        <w:rPr>
          <w:rFonts w:ascii="Times New Roman" w:hAnsi="Times New Roman" w:cs="Times New Roman"/>
        </w:rPr>
        <w:t xml:space="preserve">of </w:t>
      </w:r>
      <w:r w:rsidR="00581ADE" w:rsidRPr="00304A3B">
        <w:rPr>
          <w:rFonts w:ascii="Times New Roman" w:hAnsi="Times New Roman" w:cs="Times New Roman"/>
        </w:rPr>
        <w:lastRenderedPageBreak/>
        <w:t xml:space="preserve">multinational-led </w:t>
      </w:r>
      <w:r w:rsidR="00703EE8" w:rsidRPr="00304A3B">
        <w:rPr>
          <w:rFonts w:ascii="Times New Roman" w:hAnsi="Times New Roman" w:cs="Times New Roman"/>
        </w:rPr>
        <w:t xml:space="preserve">global value chains. </w:t>
      </w:r>
      <w:r w:rsidRPr="00304A3B">
        <w:rPr>
          <w:rFonts w:ascii="Times New Roman" w:hAnsi="Times New Roman" w:cs="Times New Roman"/>
        </w:rPr>
        <w:t>While globalization is not a new phenomenon,</w:t>
      </w:r>
      <w:r w:rsidR="005A1DF7" w:rsidRPr="00304A3B">
        <w:rPr>
          <w:rFonts w:ascii="Times New Roman" w:hAnsi="Times New Roman" w:cs="Times New Roman"/>
        </w:rPr>
        <w:t xml:space="preserve"> recent research has found that, when measured at its broadest, </w:t>
      </w:r>
      <w:r w:rsidR="00703EE8" w:rsidRPr="00304A3B">
        <w:rPr>
          <w:rFonts w:ascii="Times New Roman" w:hAnsi="Times New Roman" w:cs="Times New Roman"/>
        </w:rPr>
        <w:t>has intensified</w:t>
      </w:r>
      <w:r w:rsidR="0097759B" w:rsidRPr="00304A3B">
        <w:rPr>
          <w:rFonts w:ascii="Times New Roman" w:hAnsi="Times New Roman" w:cs="Times New Roman"/>
        </w:rPr>
        <w:t>.</w:t>
      </w:r>
      <w:r w:rsidR="00650605" w:rsidRPr="00304A3B">
        <w:rPr>
          <w:rStyle w:val="EndnoteReference"/>
          <w:rFonts w:ascii="Times New Roman" w:hAnsi="Times New Roman" w:cs="Times New Roman"/>
        </w:rPr>
        <w:endnoteReference w:id="13"/>
      </w:r>
      <w:r w:rsidR="00703EE8" w:rsidRPr="00304A3B">
        <w:rPr>
          <w:rFonts w:ascii="Times New Roman" w:hAnsi="Times New Roman" w:cs="Times New Roman"/>
        </w:rPr>
        <w:t xml:space="preserve"> </w:t>
      </w:r>
      <w:r w:rsidR="005E4462" w:rsidRPr="00304A3B">
        <w:rPr>
          <w:rFonts w:ascii="Times New Roman" w:hAnsi="Times New Roman" w:cs="Times New Roman"/>
        </w:rPr>
        <w:t>T</w:t>
      </w:r>
      <w:r w:rsidR="0097759B" w:rsidRPr="00304A3B">
        <w:rPr>
          <w:rFonts w:ascii="Times New Roman" w:hAnsi="Times New Roman" w:cs="Times New Roman"/>
        </w:rPr>
        <w:t>he volume of goods, services, and investments between countries</w:t>
      </w:r>
      <w:r w:rsidR="005B2E5A" w:rsidRPr="00304A3B">
        <w:rPr>
          <w:rFonts w:ascii="Times New Roman" w:hAnsi="Times New Roman" w:cs="Times New Roman"/>
        </w:rPr>
        <w:t xml:space="preserve"> increased</w:t>
      </w:r>
      <w:r w:rsidR="0097759B" w:rsidRPr="00304A3B">
        <w:rPr>
          <w:rFonts w:ascii="Times New Roman" w:hAnsi="Times New Roman" w:cs="Times New Roman"/>
        </w:rPr>
        <w:t xml:space="preserve"> from $5 trillion in 1990 to $30 trillion </w:t>
      </w:r>
      <w:r w:rsidR="00BE0B15" w:rsidRPr="00304A3B">
        <w:rPr>
          <w:rFonts w:ascii="Times New Roman" w:hAnsi="Times New Roman" w:cs="Times New Roman"/>
        </w:rPr>
        <w:t xml:space="preserve">in </w:t>
      </w:r>
      <w:r w:rsidR="0097759B" w:rsidRPr="00304A3B">
        <w:rPr>
          <w:rFonts w:ascii="Times New Roman" w:hAnsi="Times New Roman" w:cs="Times New Roman"/>
        </w:rPr>
        <w:t>2014, or from 24 percent to 39 percent of global GDP.</w:t>
      </w:r>
      <w:r w:rsidR="005E4462" w:rsidRPr="00304A3B">
        <w:rPr>
          <w:rStyle w:val="EndnoteReference"/>
          <w:rFonts w:ascii="Times New Roman" w:hAnsi="Times New Roman" w:cs="Times New Roman"/>
        </w:rPr>
        <w:endnoteReference w:id="14"/>
      </w:r>
      <w:r w:rsidR="0097759B" w:rsidRPr="00304A3B">
        <w:rPr>
          <w:rFonts w:ascii="Times New Roman" w:hAnsi="Times New Roman" w:cs="Times New Roman"/>
        </w:rPr>
        <w:t xml:space="preserve"> </w:t>
      </w:r>
      <w:r w:rsidR="00703EE8" w:rsidRPr="00304A3B">
        <w:rPr>
          <w:rFonts w:ascii="Times New Roman" w:hAnsi="Times New Roman" w:cs="Times New Roman"/>
        </w:rPr>
        <w:t>The nature of global exchange seems to be shifting, however. Growth in global goods trade, for instance, has stagnated in recent years, while the cross-border flows of data and information has grown robustly.</w:t>
      </w:r>
      <w:r w:rsidR="002878EF" w:rsidRPr="00304A3B">
        <w:rPr>
          <w:rStyle w:val="EndnoteReference"/>
          <w:rFonts w:ascii="Times New Roman" w:hAnsi="Times New Roman" w:cs="Times New Roman"/>
        </w:rPr>
        <w:endnoteReference w:id="15"/>
      </w:r>
      <w:r w:rsidR="00703EE8" w:rsidRPr="00304A3B">
        <w:rPr>
          <w:rFonts w:ascii="Times New Roman" w:hAnsi="Times New Roman" w:cs="Times New Roman"/>
        </w:rPr>
        <w:t xml:space="preserve">    </w:t>
      </w:r>
    </w:p>
    <w:p w14:paraId="6010AD43" w14:textId="437DAEBD" w:rsidR="00782A99" w:rsidRPr="00304A3B" w:rsidRDefault="00703EE8" w:rsidP="00782A99">
      <w:pPr>
        <w:spacing w:line="240" w:lineRule="auto"/>
        <w:rPr>
          <w:rFonts w:ascii="Times New Roman" w:hAnsi="Times New Roman" w:cs="Times New Roman"/>
          <w:bCs/>
        </w:rPr>
      </w:pPr>
      <w:proofErr w:type="gramStart"/>
      <w:r w:rsidRPr="00304A3B">
        <w:rPr>
          <w:rFonts w:ascii="Times New Roman" w:hAnsi="Times New Roman" w:cs="Times New Roman"/>
        </w:rPr>
        <w:t>Broadly measured, t</w:t>
      </w:r>
      <w:r w:rsidR="004E756F" w:rsidRPr="00304A3B">
        <w:rPr>
          <w:rFonts w:ascii="Times New Roman" w:hAnsi="Times New Roman" w:cs="Times New Roman"/>
        </w:rPr>
        <w:t>hese connections matter.</w:t>
      </w:r>
      <w:proofErr w:type="gramEnd"/>
      <w:r w:rsidR="004E756F" w:rsidRPr="00304A3B">
        <w:rPr>
          <w:rFonts w:ascii="Times New Roman" w:hAnsi="Times New Roman" w:cs="Times New Roman"/>
        </w:rPr>
        <w:t xml:space="preserve"> </w:t>
      </w:r>
      <w:r w:rsidR="00BE0B15" w:rsidRPr="00304A3B">
        <w:rPr>
          <w:rFonts w:ascii="Times New Roman" w:hAnsi="Times New Roman" w:cs="Times New Roman"/>
        </w:rPr>
        <w:t>M</w:t>
      </w:r>
      <w:r w:rsidR="004E756F" w:rsidRPr="00304A3B">
        <w:rPr>
          <w:rFonts w:ascii="Times New Roman" w:hAnsi="Times New Roman" w:cs="Times New Roman"/>
        </w:rPr>
        <w:t>ore internationally connected countries can expect to increase GDP growth by up to 40 percent more than less connected countries.</w:t>
      </w:r>
      <w:r w:rsidR="004E756F" w:rsidRPr="00304A3B">
        <w:rPr>
          <w:rStyle w:val="EndnoteReference"/>
          <w:rFonts w:ascii="Times New Roman" w:hAnsi="Times New Roman" w:cs="Times New Roman"/>
        </w:rPr>
        <w:endnoteReference w:id="16"/>
      </w:r>
      <w:r w:rsidR="005E4462" w:rsidRPr="00304A3B">
        <w:rPr>
          <w:rFonts w:ascii="Times New Roman" w:hAnsi="Times New Roman" w:cs="Times New Roman"/>
        </w:rPr>
        <w:t xml:space="preserve"> </w:t>
      </w:r>
      <w:r w:rsidR="003D065A" w:rsidRPr="00304A3B">
        <w:rPr>
          <w:rFonts w:ascii="Times New Roman" w:hAnsi="Times New Roman" w:cs="Times New Roman"/>
        </w:rPr>
        <w:t xml:space="preserve">These findings affirm a wide array of economic literature citing the benefits </w:t>
      </w:r>
      <w:r w:rsidR="00A47FBF" w:rsidRPr="00304A3B">
        <w:rPr>
          <w:rFonts w:ascii="Times New Roman" w:hAnsi="Times New Roman" w:cs="Times New Roman"/>
        </w:rPr>
        <w:t>of participating in global flow</w:t>
      </w:r>
      <w:r w:rsidR="008B22D2" w:rsidRPr="00304A3B">
        <w:rPr>
          <w:rFonts w:ascii="Times New Roman" w:hAnsi="Times New Roman" w:cs="Times New Roman"/>
        </w:rPr>
        <w:t>s, whether trade, investment, or talent</w:t>
      </w:r>
      <w:r w:rsidR="00A47FBF" w:rsidRPr="00304A3B">
        <w:rPr>
          <w:rFonts w:ascii="Times New Roman" w:hAnsi="Times New Roman" w:cs="Times New Roman"/>
        </w:rPr>
        <w:t xml:space="preserve">. </w:t>
      </w:r>
      <w:r w:rsidR="00A47FBF" w:rsidRPr="00304A3B">
        <w:rPr>
          <w:rFonts w:ascii="Times New Roman" w:hAnsi="Times New Roman" w:cs="Times New Roman"/>
          <w:bCs/>
        </w:rPr>
        <w:t>There is a wide range of literature showing the benefits of multinational companies to local economies. L</w:t>
      </w:r>
      <w:r w:rsidR="00782A99" w:rsidRPr="00304A3B">
        <w:rPr>
          <w:rFonts w:ascii="Times New Roman" w:hAnsi="Times New Roman" w:cs="Times New Roman"/>
          <w:bCs/>
        </w:rPr>
        <w:t xml:space="preserve">ocal companies that embed themselves in global value chains gain access to high-quality </w:t>
      </w:r>
      <w:r w:rsidR="00A47FBF" w:rsidRPr="00304A3B">
        <w:rPr>
          <w:rFonts w:ascii="Times New Roman" w:hAnsi="Times New Roman" w:cs="Times New Roman"/>
          <w:bCs/>
        </w:rPr>
        <w:t>imports</w:t>
      </w:r>
      <w:r w:rsidR="00782A99" w:rsidRPr="00304A3B">
        <w:rPr>
          <w:rFonts w:ascii="Times New Roman" w:hAnsi="Times New Roman" w:cs="Times New Roman"/>
          <w:bCs/>
        </w:rPr>
        <w:t>, lower overall costs, and as a result become more globally competitive. This process tends to boost productivity and wages.</w:t>
      </w:r>
      <w:r w:rsidR="00782A99" w:rsidRPr="00304A3B">
        <w:rPr>
          <w:rStyle w:val="EndnoteReference"/>
          <w:rFonts w:ascii="Times New Roman" w:hAnsi="Times New Roman" w:cs="Times New Roman"/>
        </w:rPr>
        <w:endnoteReference w:id="17"/>
      </w:r>
      <w:r w:rsidR="00782A99" w:rsidRPr="00304A3B">
        <w:rPr>
          <w:rFonts w:ascii="Times New Roman" w:hAnsi="Times New Roman" w:cs="Times New Roman"/>
          <w:bCs/>
        </w:rPr>
        <w:t xml:space="preserve"> Firms selling internationally inject new wealth from abroad that, when spent locally, creates a “multiplier effect” in the regional economy, spurring new jobs, growth, and further tax revenue to be reinvested locally.</w:t>
      </w:r>
      <w:r w:rsidR="00782A99" w:rsidRPr="00304A3B">
        <w:rPr>
          <w:rStyle w:val="EndnoteReference"/>
          <w:rFonts w:ascii="Times New Roman" w:hAnsi="Times New Roman" w:cs="Times New Roman"/>
        </w:rPr>
        <w:endnoteReference w:id="18"/>
      </w:r>
      <w:r w:rsidR="00782A99" w:rsidRPr="00304A3B">
        <w:rPr>
          <w:rFonts w:ascii="Times New Roman" w:hAnsi="Times New Roman" w:cs="Times New Roman"/>
          <w:bCs/>
        </w:rPr>
        <w:t xml:space="preserve"> </w:t>
      </w:r>
      <w:r w:rsidR="00A47FBF" w:rsidRPr="00304A3B">
        <w:rPr>
          <w:rFonts w:ascii="Times New Roman" w:hAnsi="Times New Roman" w:cs="Times New Roman"/>
          <w:bCs/>
        </w:rPr>
        <w:t>Households living in metro areas open to trade are able to access to a greater diversity of goods made elsewhere.</w:t>
      </w:r>
      <w:r w:rsidR="00A47FBF" w:rsidRPr="00304A3B">
        <w:rPr>
          <w:rStyle w:val="EndnoteReference"/>
          <w:rFonts w:ascii="Times New Roman" w:hAnsi="Times New Roman" w:cs="Times New Roman"/>
          <w:bCs/>
        </w:rPr>
        <w:endnoteReference w:id="19"/>
      </w:r>
      <w:r w:rsidR="00A47FBF" w:rsidRPr="00304A3B">
        <w:rPr>
          <w:rFonts w:ascii="Times New Roman" w:hAnsi="Times New Roman" w:cs="Times New Roman"/>
          <w:bCs/>
        </w:rPr>
        <w:t xml:space="preserve"> </w:t>
      </w:r>
      <w:r w:rsidR="00782A99" w:rsidRPr="00304A3B">
        <w:rPr>
          <w:rFonts w:ascii="Times New Roman" w:hAnsi="Times New Roman" w:cs="Times New Roman"/>
          <w:bCs/>
        </w:rPr>
        <w:t>Furthermore, global exchange is how regions with fewer industrial capabilities often obtain the knowledge required to move up the economic ladder, create new jobs, and boost productivity.</w:t>
      </w:r>
      <w:r w:rsidR="00782A99" w:rsidRPr="00304A3B">
        <w:rPr>
          <w:rStyle w:val="EndnoteReference"/>
          <w:rFonts w:ascii="Times New Roman" w:hAnsi="Times New Roman" w:cs="Times New Roman"/>
          <w:bCs/>
        </w:rPr>
        <w:endnoteReference w:id="20"/>
      </w:r>
    </w:p>
    <w:p w14:paraId="386EA271" w14:textId="0EFE9FE6" w:rsidR="001C69F7" w:rsidRPr="00304A3B" w:rsidRDefault="004A1E49" w:rsidP="005B2E5A">
      <w:pPr>
        <w:spacing w:line="240" w:lineRule="auto"/>
        <w:rPr>
          <w:rFonts w:ascii="Times New Roman" w:hAnsi="Times New Roman" w:cs="Times New Roman"/>
          <w:bCs/>
        </w:rPr>
      </w:pPr>
      <w:r w:rsidRPr="00304A3B">
        <w:rPr>
          <w:rFonts w:ascii="Times New Roman" w:hAnsi="Times New Roman" w:cs="Times New Roman"/>
          <w:bCs/>
        </w:rPr>
        <w:t xml:space="preserve">Noting these net positives, </w:t>
      </w:r>
      <w:r w:rsidR="005E43A8" w:rsidRPr="00304A3B">
        <w:rPr>
          <w:rFonts w:ascii="Times New Roman" w:hAnsi="Times New Roman" w:cs="Times New Roman"/>
          <w:bCs/>
        </w:rPr>
        <w:t xml:space="preserve">cities </w:t>
      </w:r>
      <w:r w:rsidR="003D065A" w:rsidRPr="00304A3B">
        <w:rPr>
          <w:rFonts w:ascii="Times New Roman" w:hAnsi="Times New Roman" w:cs="Times New Roman"/>
          <w:bCs/>
        </w:rPr>
        <w:t xml:space="preserve">also bear the brunt of </w:t>
      </w:r>
      <w:r w:rsidR="00C3415B" w:rsidRPr="00304A3B">
        <w:rPr>
          <w:rFonts w:ascii="Times New Roman" w:hAnsi="Times New Roman" w:cs="Times New Roman"/>
          <w:bCs/>
        </w:rPr>
        <w:t xml:space="preserve">the </w:t>
      </w:r>
      <w:r w:rsidR="00090692" w:rsidRPr="00304A3B">
        <w:rPr>
          <w:rFonts w:ascii="Times New Roman" w:hAnsi="Times New Roman" w:cs="Times New Roman"/>
          <w:bCs/>
        </w:rPr>
        <w:t>dislocation</w:t>
      </w:r>
      <w:r w:rsidR="00C3415B" w:rsidRPr="00304A3B">
        <w:rPr>
          <w:rFonts w:ascii="Times New Roman" w:hAnsi="Times New Roman" w:cs="Times New Roman"/>
          <w:bCs/>
        </w:rPr>
        <w:t>s</w:t>
      </w:r>
      <w:r w:rsidR="005B2E5A" w:rsidRPr="00304A3B">
        <w:rPr>
          <w:rFonts w:ascii="Times New Roman" w:hAnsi="Times New Roman" w:cs="Times New Roman"/>
          <w:bCs/>
        </w:rPr>
        <w:t xml:space="preserve"> caused by global integration. For instance, China’s insertion into the global trading system resulted in significant job losses in U.S. labor markets that specialized in manufacturing, and that dislocated workers did not move into new industries.</w:t>
      </w:r>
      <w:r w:rsidR="005B2E5A" w:rsidRPr="00304A3B">
        <w:rPr>
          <w:rStyle w:val="EndnoteReference"/>
          <w:rFonts w:ascii="Times New Roman" w:hAnsi="Times New Roman" w:cs="Times New Roman"/>
          <w:bCs/>
        </w:rPr>
        <w:endnoteReference w:id="21"/>
      </w:r>
      <w:r w:rsidR="00782A99" w:rsidRPr="00304A3B">
        <w:rPr>
          <w:rFonts w:ascii="Times New Roman" w:hAnsi="Times New Roman" w:cs="Times New Roman"/>
          <w:bCs/>
        </w:rPr>
        <w:t xml:space="preserve"> </w:t>
      </w:r>
      <w:r w:rsidR="00431286" w:rsidRPr="00304A3B">
        <w:rPr>
          <w:rFonts w:ascii="Times New Roman" w:hAnsi="Times New Roman" w:cs="Times New Roman"/>
          <w:bCs/>
        </w:rPr>
        <w:t>In the developing world,</w:t>
      </w:r>
      <w:r w:rsidR="00544DD2" w:rsidRPr="00304A3B">
        <w:rPr>
          <w:rFonts w:ascii="Times New Roman" w:hAnsi="Times New Roman" w:cs="Times New Roman"/>
          <w:bCs/>
        </w:rPr>
        <w:t xml:space="preserve"> there is an argument to be made that, along with bring new knowledge and technologies, the globalization of labor, trade, and </w:t>
      </w:r>
      <w:r w:rsidR="00431286" w:rsidRPr="00304A3B">
        <w:rPr>
          <w:rFonts w:ascii="Times New Roman" w:hAnsi="Times New Roman" w:cs="Times New Roman"/>
          <w:bCs/>
        </w:rPr>
        <w:t>capital markets has contributed to</w:t>
      </w:r>
      <w:r w:rsidR="00544DD2" w:rsidRPr="00304A3B">
        <w:rPr>
          <w:rFonts w:ascii="Times New Roman" w:hAnsi="Times New Roman" w:cs="Times New Roman"/>
          <w:bCs/>
        </w:rPr>
        <w:t xml:space="preserve"> economic instability and</w:t>
      </w:r>
      <w:r w:rsidR="00431286" w:rsidRPr="00304A3B">
        <w:rPr>
          <w:rFonts w:ascii="Times New Roman" w:hAnsi="Times New Roman" w:cs="Times New Roman"/>
          <w:bCs/>
        </w:rPr>
        <w:t xml:space="preserve"> rising inequities within nations.</w:t>
      </w:r>
      <w:r w:rsidR="00544DD2" w:rsidRPr="00304A3B">
        <w:rPr>
          <w:rStyle w:val="EndnoteReference"/>
          <w:rFonts w:ascii="Times New Roman" w:hAnsi="Times New Roman" w:cs="Times New Roman"/>
          <w:bCs/>
        </w:rPr>
        <w:endnoteReference w:id="22"/>
      </w:r>
      <w:r w:rsidR="00431286" w:rsidRPr="00304A3B">
        <w:rPr>
          <w:rFonts w:ascii="Times New Roman" w:hAnsi="Times New Roman" w:cs="Times New Roman"/>
          <w:bCs/>
        </w:rPr>
        <w:t xml:space="preserve"> </w:t>
      </w:r>
    </w:p>
    <w:p w14:paraId="5F9B23F8" w14:textId="5BE5DC75" w:rsidR="005B2E5A" w:rsidRPr="00304A3B" w:rsidRDefault="001C69F7" w:rsidP="005B2E5A">
      <w:pPr>
        <w:spacing w:line="240" w:lineRule="auto"/>
        <w:rPr>
          <w:rFonts w:ascii="Times New Roman" w:hAnsi="Times New Roman" w:cs="Times New Roman"/>
          <w:bCs/>
        </w:rPr>
      </w:pPr>
      <w:r w:rsidRPr="00304A3B">
        <w:rPr>
          <w:rFonts w:ascii="Times New Roman" w:hAnsi="Times New Roman" w:cs="Times New Roman"/>
          <w:bCs/>
        </w:rPr>
        <w:t xml:space="preserve">Indeed, even those cities that have thrived in a more globally integrated world are experiencing challenges of unevenly shared prosperity. As Saskia </w:t>
      </w:r>
      <w:proofErr w:type="spellStart"/>
      <w:r w:rsidRPr="00304A3B">
        <w:rPr>
          <w:rFonts w:ascii="Times New Roman" w:hAnsi="Times New Roman" w:cs="Times New Roman"/>
          <w:bCs/>
        </w:rPr>
        <w:t>Sassen</w:t>
      </w:r>
      <w:proofErr w:type="spellEnd"/>
      <w:r w:rsidRPr="00304A3B">
        <w:rPr>
          <w:rFonts w:ascii="Times New Roman" w:hAnsi="Times New Roman" w:cs="Times New Roman"/>
          <w:bCs/>
        </w:rPr>
        <w:t xml:space="preserve"> has argued, the rise of the globally integrated city has coincided with the rise of the unequal city</w:t>
      </w:r>
      <w:r w:rsidR="00BA313A">
        <w:rPr>
          <w:rFonts w:ascii="Times New Roman" w:hAnsi="Times New Roman" w:cs="Times New Roman"/>
          <w:bCs/>
        </w:rPr>
        <w:t>, across both developed and developing countries</w:t>
      </w:r>
      <w:r w:rsidRPr="00304A3B">
        <w:rPr>
          <w:rFonts w:ascii="Times New Roman" w:hAnsi="Times New Roman" w:cs="Times New Roman"/>
          <w:bCs/>
        </w:rPr>
        <w:t>.</w:t>
      </w:r>
      <w:r w:rsidR="00622002" w:rsidRPr="00304A3B">
        <w:rPr>
          <w:rStyle w:val="EndnoteReference"/>
          <w:rFonts w:ascii="Times New Roman" w:hAnsi="Times New Roman" w:cs="Times New Roman"/>
          <w:bCs/>
        </w:rPr>
        <w:endnoteReference w:id="23"/>
      </w:r>
      <w:r w:rsidR="005B2E5A" w:rsidRPr="00304A3B">
        <w:rPr>
          <w:rFonts w:ascii="Times New Roman" w:hAnsi="Times New Roman" w:cs="Times New Roman"/>
          <w:bCs/>
        </w:rPr>
        <w:t xml:space="preserve"> </w:t>
      </w:r>
      <w:r w:rsidR="00622002" w:rsidRPr="00304A3B">
        <w:rPr>
          <w:rFonts w:ascii="Times New Roman" w:hAnsi="Times New Roman" w:cs="Times New Roman"/>
          <w:bCs/>
        </w:rPr>
        <w:t>Indeed, the OECD has found that inequality tends to be higher and rising more quickly in large cities than their surrounding nations due to skills’ distribution and the rise of high earners.</w:t>
      </w:r>
      <w:r w:rsidR="00622002" w:rsidRPr="00304A3B">
        <w:rPr>
          <w:rStyle w:val="EndnoteReference"/>
          <w:rFonts w:ascii="Times New Roman" w:hAnsi="Times New Roman" w:cs="Times New Roman"/>
          <w:bCs/>
        </w:rPr>
        <w:endnoteReference w:id="24"/>
      </w:r>
      <w:r w:rsidR="00622002" w:rsidRPr="00304A3B">
        <w:rPr>
          <w:rFonts w:ascii="Times New Roman" w:hAnsi="Times New Roman" w:cs="Times New Roman"/>
          <w:bCs/>
        </w:rPr>
        <w:t xml:space="preserve"> Inequality may limit upward mobility and overall economic growth if it hinders investments in education and skills among earners at the bottom of the income distribution.</w:t>
      </w:r>
      <w:r w:rsidR="00622002" w:rsidRPr="00304A3B">
        <w:rPr>
          <w:rStyle w:val="EndnoteReference"/>
          <w:rFonts w:ascii="Times New Roman" w:hAnsi="Times New Roman" w:cs="Times New Roman"/>
          <w:bCs/>
        </w:rPr>
        <w:endnoteReference w:id="25"/>
      </w:r>
      <w:r w:rsidR="00622002" w:rsidRPr="00304A3B">
        <w:rPr>
          <w:rFonts w:ascii="Times New Roman" w:hAnsi="Times New Roman" w:cs="Times New Roman"/>
          <w:bCs/>
        </w:rPr>
        <w:t xml:space="preserve"> </w:t>
      </w:r>
      <w:r w:rsidR="00544DD2" w:rsidRPr="00304A3B">
        <w:rPr>
          <w:rFonts w:ascii="Times New Roman" w:hAnsi="Times New Roman" w:cs="Times New Roman"/>
          <w:bCs/>
        </w:rPr>
        <w:t xml:space="preserve">Policymakers arguably have underestimated the insecurity experienced by many workers and communities as a result of </w:t>
      </w:r>
      <w:r w:rsidR="008A59E6" w:rsidRPr="00304A3B">
        <w:rPr>
          <w:rFonts w:ascii="Times New Roman" w:hAnsi="Times New Roman" w:cs="Times New Roman"/>
          <w:bCs/>
        </w:rPr>
        <w:t>globalization</w:t>
      </w:r>
      <w:r w:rsidR="00544DD2" w:rsidRPr="00304A3B">
        <w:rPr>
          <w:rFonts w:ascii="Times New Roman" w:hAnsi="Times New Roman" w:cs="Times New Roman"/>
          <w:bCs/>
        </w:rPr>
        <w:t xml:space="preserve">. </w:t>
      </w:r>
      <w:r w:rsidR="005B2E5A" w:rsidRPr="00304A3B">
        <w:rPr>
          <w:rFonts w:ascii="Times New Roman" w:hAnsi="Times New Roman" w:cs="Times New Roman"/>
          <w:bCs/>
        </w:rPr>
        <w:t xml:space="preserve">Recognizing these costs is an important and urgent matter for public policy. But barring adoption of severe isolationist policies, global integration will continue apace, and all cities must respond accordingly. </w:t>
      </w:r>
    </w:p>
    <w:p w14:paraId="38841B47" w14:textId="77777777" w:rsidR="00827425" w:rsidRPr="00304A3B" w:rsidRDefault="00C14A32" w:rsidP="00827425">
      <w:pPr>
        <w:spacing w:line="240" w:lineRule="auto"/>
        <w:rPr>
          <w:rFonts w:ascii="Times New Roman" w:hAnsi="Times New Roman" w:cs="Times New Roman"/>
          <w:b/>
        </w:rPr>
      </w:pPr>
      <w:r w:rsidRPr="00304A3B">
        <w:rPr>
          <w:rFonts w:ascii="Times New Roman" w:hAnsi="Times New Roman" w:cs="Times New Roman"/>
          <w:b/>
        </w:rPr>
        <w:t>Technological Change</w:t>
      </w:r>
    </w:p>
    <w:p w14:paraId="13D816E5" w14:textId="77777777" w:rsidR="000D3D5F" w:rsidRPr="00304A3B" w:rsidRDefault="00AE1C73" w:rsidP="00244147">
      <w:pPr>
        <w:spacing w:line="240" w:lineRule="auto"/>
        <w:rPr>
          <w:rFonts w:ascii="Times New Roman" w:hAnsi="Times New Roman" w:cs="Times New Roman"/>
        </w:rPr>
      </w:pPr>
      <w:r w:rsidRPr="00304A3B">
        <w:rPr>
          <w:rFonts w:ascii="Times New Roman" w:hAnsi="Times New Roman" w:cs="Times New Roman"/>
        </w:rPr>
        <w:t>Finally</w:t>
      </w:r>
      <w:r w:rsidR="00090692" w:rsidRPr="00304A3B">
        <w:rPr>
          <w:rFonts w:ascii="Times New Roman" w:hAnsi="Times New Roman" w:cs="Times New Roman"/>
        </w:rPr>
        <w:t xml:space="preserve">, the </w:t>
      </w:r>
      <w:r w:rsidRPr="00304A3B">
        <w:rPr>
          <w:rFonts w:ascii="Times New Roman" w:hAnsi="Times New Roman" w:cs="Times New Roman"/>
        </w:rPr>
        <w:t>information technology revolution, digitization, and labor-saving automation are altering how we communicate, how firms create products and services and deliver them across the globe, and the very nature of work itself.</w:t>
      </w:r>
      <w:r w:rsidRPr="00304A3B">
        <w:rPr>
          <w:rStyle w:val="EndnoteReference"/>
          <w:rFonts w:ascii="Times New Roman" w:hAnsi="Times New Roman" w:cs="Times New Roman"/>
        </w:rPr>
        <w:endnoteReference w:id="26"/>
      </w:r>
      <w:r w:rsidRPr="00304A3B">
        <w:rPr>
          <w:rFonts w:ascii="Times New Roman" w:hAnsi="Times New Roman" w:cs="Times New Roman"/>
        </w:rPr>
        <w:t xml:space="preserve"> </w:t>
      </w:r>
    </w:p>
    <w:p w14:paraId="6CEF9502" w14:textId="2041B561" w:rsidR="000D3D5F" w:rsidRPr="00304A3B" w:rsidRDefault="00244147" w:rsidP="00244147">
      <w:pPr>
        <w:spacing w:line="240" w:lineRule="auto"/>
        <w:rPr>
          <w:rFonts w:ascii="Times New Roman" w:hAnsi="Times New Roman" w:cs="Times New Roman"/>
          <w:bCs/>
        </w:rPr>
      </w:pPr>
      <w:r w:rsidRPr="00304A3B">
        <w:rPr>
          <w:rFonts w:ascii="Times New Roman" w:hAnsi="Times New Roman" w:cs="Times New Roman"/>
          <w:bCs/>
        </w:rPr>
        <w:t xml:space="preserve">The scale of these technological changes is significant and </w:t>
      </w:r>
      <w:r w:rsidR="00747EB3" w:rsidRPr="00304A3B">
        <w:rPr>
          <w:rFonts w:ascii="Times New Roman" w:hAnsi="Times New Roman" w:cs="Times New Roman"/>
          <w:bCs/>
        </w:rPr>
        <w:t>the</w:t>
      </w:r>
      <w:r w:rsidRPr="00304A3B">
        <w:rPr>
          <w:rFonts w:ascii="Times New Roman" w:hAnsi="Times New Roman" w:cs="Times New Roman"/>
          <w:bCs/>
        </w:rPr>
        <w:t xml:space="preserve"> pace</w:t>
      </w:r>
      <w:r w:rsidR="00747EB3" w:rsidRPr="00304A3B">
        <w:rPr>
          <w:rFonts w:ascii="Times New Roman" w:hAnsi="Times New Roman" w:cs="Times New Roman"/>
          <w:bCs/>
        </w:rPr>
        <w:t xml:space="preserve"> of change</w:t>
      </w:r>
      <w:r w:rsidRPr="00304A3B">
        <w:rPr>
          <w:rFonts w:ascii="Times New Roman" w:hAnsi="Times New Roman" w:cs="Times New Roman"/>
          <w:bCs/>
        </w:rPr>
        <w:t xml:space="preserve"> has been relentless. </w:t>
      </w:r>
      <w:r w:rsidRPr="00304A3B">
        <w:rPr>
          <w:rFonts w:ascii="Times New Roman" w:hAnsi="Times New Roman" w:cs="Times New Roman"/>
        </w:rPr>
        <w:t>The McKinsey Global Institute predicts that 12 emerging technologies will generate an annual economic impact of</w:t>
      </w:r>
      <w:r w:rsidR="005E43A8" w:rsidRPr="00304A3B">
        <w:rPr>
          <w:rFonts w:ascii="Times New Roman" w:hAnsi="Times New Roman" w:cs="Times New Roman"/>
        </w:rPr>
        <w:t xml:space="preserve"> up to</w:t>
      </w:r>
      <w:r w:rsidRPr="00304A3B">
        <w:rPr>
          <w:rFonts w:ascii="Times New Roman" w:hAnsi="Times New Roman" w:cs="Times New Roman"/>
        </w:rPr>
        <w:t xml:space="preserve"> $33 trillion by 2025.</w:t>
      </w:r>
      <w:r w:rsidRPr="00304A3B">
        <w:rPr>
          <w:rStyle w:val="EndnoteReference"/>
          <w:rFonts w:ascii="Times New Roman" w:hAnsi="Times New Roman" w:cs="Times New Roman"/>
        </w:rPr>
        <w:endnoteReference w:id="27"/>
      </w:r>
      <w:r w:rsidRPr="00304A3B">
        <w:rPr>
          <w:rFonts w:ascii="Times New Roman" w:hAnsi="Times New Roman" w:cs="Times New Roman"/>
        </w:rPr>
        <w:t xml:space="preserve"> </w:t>
      </w:r>
      <w:r w:rsidRPr="00304A3B">
        <w:rPr>
          <w:rFonts w:ascii="Times New Roman" w:hAnsi="Times New Roman" w:cs="Times New Roman"/>
          <w:bCs/>
        </w:rPr>
        <w:t>Our Brookings colleagues argue that many of these technologies will be developed and deployed within a set of 50</w:t>
      </w:r>
      <w:r w:rsidR="00747EB3" w:rsidRPr="00304A3B">
        <w:rPr>
          <w:rFonts w:ascii="Times New Roman" w:hAnsi="Times New Roman" w:cs="Times New Roman"/>
          <w:bCs/>
        </w:rPr>
        <w:t xml:space="preserve"> advanced industries across manufacturing, services and energy. These industries are “advanced” </w:t>
      </w:r>
      <w:r w:rsidRPr="00304A3B">
        <w:rPr>
          <w:rFonts w:ascii="Times New Roman" w:hAnsi="Times New Roman" w:cs="Times New Roman"/>
          <w:bCs/>
        </w:rPr>
        <w:t xml:space="preserve">because they rely on high levels of research and development (R&amp;D) and significant numbers of science, technology, engineering and mathematics (STEM) workers. </w:t>
      </w:r>
    </w:p>
    <w:p w14:paraId="6DD03E22" w14:textId="6D9523F0" w:rsidR="00C47B0E" w:rsidRPr="00304A3B" w:rsidRDefault="00C47B0E" w:rsidP="00C47B0E">
      <w:pPr>
        <w:spacing w:line="240" w:lineRule="auto"/>
        <w:rPr>
          <w:rFonts w:ascii="Times New Roman" w:hAnsi="Times New Roman" w:cs="Times New Roman"/>
          <w:bCs/>
        </w:rPr>
      </w:pPr>
      <w:r w:rsidRPr="00304A3B">
        <w:rPr>
          <w:rFonts w:ascii="Times New Roman" w:hAnsi="Times New Roman" w:cs="Times New Roman"/>
          <w:bCs/>
        </w:rPr>
        <w:lastRenderedPageBreak/>
        <w:t>Advanced industries matter because</w:t>
      </w:r>
      <w:r w:rsidR="004A1E49" w:rsidRPr="00304A3B">
        <w:rPr>
          <w:rFonts w:ascii="Times New Roman" w:hAnsi="Times New Roman" w:cs="Times New Roman"/>
          <w:bCs/>
        </w:rPr>
        <w:t xml:space="preserve"> they are disproportionately driving productivity growth in an environment </w:t>
      </w:r>
      <w:r w:rsidRPr="00304A3B">
        <w:rPr>
          <w:rFonts w:ascii="Times New Roman" w:hAnsi="Times New Roman" w:cs="Times New Roman"/>
          <w:bCs/>
        </w:rPr>
        <w:t>where overall productivity growth been lackluster.</w:t>
      </w:r>
      <w:r w:rsidRPr="00304A3B">
        <w:rPr>
          <w:rStyle w:val="EndnoteReference"/>
          <w:rFonts w:ascii="Times New Roman" w:hAnsi="Times New Roman" w:cs="Times New Roman"/>
          <w:bCs/>
        </w:rPr>
        <w:endnoteReference w:id="28"/>
      </w:r>
      <w:r w:rsidRPr="00304A3B">
        <w:rPr>
          <w:rFonts w:ascii="Times New Roman" w:hAnsi="Times New Roman" w:cs="Times New Roman"/>
          <w:bCs/>
        </w:rPr>
        <w:t xml:space="preserve"> </w:t>
      </w:r>
      <w:r w:rsidR="000D3D5F" w:rsidRPr="00304A3B">
        <w:rPr>
          <w:rFonts w:ascii="Times New Roman" w:hAnsi="Times New Roman" w:cs="Times New Roman"/>
          <w:bCs/>
        </w:rPr>
        <w:t>T</w:t>
      </w:r>
      <w:r w:rsidR="001F41ED" w:rsidRPr="00304A3B">
        <w:rPr>
          <w:rFonts w:ascii="Times New Roman" w:hAnsi="Times New Roman" w:cs="Times New Roman"/>
          <w:bCs/>
        </w:rPr>
        <w:t>he</w:t>
      </w:r>
      <w:r w:rsidR="00244147" w:rsidRPr="00304A3B">
        <w:rPr>
          <w:rFonts w:ascii="Times New Roman" w:hAnsi="Times New Roman" w:cs="Times New Roman"/>
          <w:bCs/>
        </w:rPr>
        <w:t xml:space="preserve"> average worker in </w:t>
      </w:r>
      <w:r w:rsidR="001F41ED" w:rsidRPr="00304A3B">
        <w:rPr>
          <w:rFonts w:ascii="Times New Roman" w:hAnsi="Times New Roman" w:cs="Times New Roman"/>
          <w:bCs/>
        </w:rPr>
        <w:t>advanced</w:t>
      </w:r>
      <w:r w:rsidR="00244147" w:rsidRPr="00304A3B">
        <w:rPr>
          <w:rFonts w:ascii="Times New Roman" w:hAnsi="Times New Roman" w:cs="Times New Roman"/>
          <w:bCs/>
        </w:rPr>
        <w:t xml:space="preserve"> industries</w:t>
      </w:r>
      <w:r w:rsidR="00747EB3" w:rsidRPr="00304A3B">
        <w:rPr>
          <w:rFonts w:ascii="Times New Roman" w:hAnsi="Times New Roman" w:cs="Times New Roman"/>
          <w:bCs/>
        </w:rPr>
        <w:t xml:space="preserve"> is twice as productive </w:t>
      </w:r>
      <w:r w:rsidR="001F41ED" w:rsidRPr="00304A3B">
        <w:rPr>
          <w:rFonts w:ascii="Times New Roman" w:hAnsi="Times New Roman" w:cs="Times New Roman"/>
          <w:bCs/>
        </w:rPr>
        <w:t>as the average worker outside the super-sector</w:t>
      </w:r>
      <w:r w:rsidRPr="00304A3B">
        <w:rPr>
          <w:rFonts w:ascii="Times New Roman" w:hAnsi="Times New Roman" w:cs="Times New Roman"/>
          <w:bCs/>
        </w:rPr>
        <w:t xml:space="preserve">, due to their </w:t>
      </w:r>
      <w:r w:rsidR="00572D32" w:rsidRPr="00304A3B">
        <w:rPr>
          <w:rFonts w:ascii="Times New Roman" w:hAnsi="Times New Roman" w:cs="Times New Roman"/>
          <w:bCs/>
        </w:rPr>
        <w:t>unique abilities</w:t>
      </w:r>
      <w:r w:rsidR="004A1E49" w:rsidRPr="00304A3B">
        <w:rPr>
          <w:rFonts w:ascii="Times New Roman" w:hAnsi="Times New Roman" w:cs="Times New Roman"/>
          <w:bCs/>
        </w:rPr>
        <w:t xml:space="preserve"> to productively </w:t>
      </w:r>
      <w:r w:rsidR="00572D32" w:rsidRPr="00304A3B">
        <w:rPr>
          <w:rFonts w:ascii="Times New Roman" w:hAnsi="Times New Roman" w:cs="Times New Roman"/>
          <w:bCs/>
        </w:rPr>
        <w:t>utilize</w:t>
      </w:r>
      <w:r w:rsidR="004A1E49" w:rsidRPr="00304A3B">
        <w:rPr>
          <w:rFonts w:ascii="Times New Roman" w:hAnsi="Times New Roman" w:cs="Times New Roman"/>
          <w:bCs/>
        </w:rPr>
        <w:t xml:space="preserve"> new technologies and platforms</w:t>
      </w:r>
      <w:r w:rsidR="001F41ED" w:rsidRPr="00304A3B">
        <w:rPr>
          <w:rFonts w:ascii="Times New Roman" w:hAnsi="Times New Roman" w:cs="Times New Roman"/>
          <w:bCs/>
        </w:rPr>
        <w:t xml:space="preserve">. </w:t>
      </w:r>
      <w:proofErr w:type="gramStart"/>
      <w:r w:rsidR="001F41ED" w:rsidRPr="00304A3B">
        <w:rPr>
          <w:rFonts w:ascii="Times New Roman" w:hAnsi="Times New Roman" w:cs="Times New Roman"/>
          <w:bCs/>
        </w:rPr>
        <w:t>This productivity differential matters</w:t>
      </w:r>
      <w:proofErr w:type="gramEnd"/>
      <w:r w:rsidR="001F41ED" w:rsidRPr="00304A3B">
        <w:rPr>
          <w:rFonts w:ascii="Times New Roman" w:hAnsi="Times New Roman" w:cs="Times New Roman"/>
          <w:bCs/>
        </w:rPr>
        <w:t xml:space="preserve"> because it allows these workers to earn </w:t>
      </w:r>
      <w:r w:rsidR="00F82759" w:rsidRPr="00304A3B">
        <w:rPr>
          <w:rFonts w:ascii="Times New Roman" w:hAnsi="Times New Roman" w:cs="Times New Roman"/>
          <w:bCs/>
        </w:rPr>
        <w:t xml:space="preserve">wages double those of </w:t>
      </w:r>
      <w:r w:rsidR="001F41ED" w:rsidRPr="00304A3B">
        <w:rPr>
          <w:rFonts w:ascii="Times New Roman" w:hAnsi="Times New Roman" w:cs="Times New Roman"/>
          <w:bCs/>
        </w:rPr>
        <w:t>workers outside of advanced industries.</w:t>
      </w:r>
      <w:r w:rsidR="00E83F81" w:rsidRPr="00304A3B">
        <w:rPr>
          <w:rStyle w:val="EndnoteReference"/>
          <w:rFonts w:ascii="Times New Roman" w:hAnsi="Times New Roman" w:cs="Times New Roman"/>
          <w:bCs/>
        </w:rPr>
        <w:endnoteReference w:id="29"/>
      </w:r>
      <w:r w:rsidR="001F41ED" w:rsidRPr="00304A3B">
        <w:rPr>
          <w:rFonts w:ascii="Times New Roman" w:hAnsi="Times New Roman" w:cs="Times New Roman"/>
          <w:bCs/>
        </w:rPr>
        <w:t xml:space="preserve"> </w:t>
      </w:r>
      <w:r w:rsidRPr="00304A3B">
        <w:rPr>
          <w:rFonts w:ascii="Times New Roman" w:hAnsi="Times New Roman" w:cs="Times New Roman"/>
          <w:bCs/>
        </w:rPr>
        <w:t xml:space="preserve">Cities that can </w:t>
      </w:r>
      <w:r w:rsidR="00572D32" w:rsidRPr="00304A3B">
        <w:rPr>
          <w:rFonts w:ascii="Times New Roman" w:hAnsi="Times New Roman" w:cs="Times New Roman"/>
          <w:bCs/>
        </w:rPr>
        <w:t>foster</w:t>
      </w:r>
      <w:r w:rsidRPr="00304A3B">
        <w:rPr>
          <w:rFonts w:ascii="Times New Roman" w:hAnsi="Times New Roman" w:cs="Times New Roman"/>
          <w:bCs/>
        </w:rPr>
        <w:t xml:space="preserve"> environments in which highly productive firms and workers can thrive enjoy the associated wage benefits.</w:t>
      </w:r>
    </w:p>
    <w:p w14:paraId="3A769341" w14:textId="4D178516" w:rsidR="001F41ED" w:rsidRPr="00304A3B" w:rsidRDefault="00244147" w:rsidP="001F41ED">
      <w:pPr>
        <w:spacing w:line="240" w:lineRule="auto"/>
        <w:rPr>
          <w:rFonts w:ascii="Times New Roman" w:hAnsi="Times New Roman" w:cs="Times New Roman"/>
          <w:bCs/>
        </w:rPr>
      </w:pPr>
      <w:r w:rsidRPr="00304A3B">
        <w:rPr>
          <w:rFonts w:ascii="Times New Roman" w:hAnsi="Times New Roman" w:cs="Times New Roman"/>
        </w:rPr>
        <w:t>Risk</w:t>
      </w:r>
      <w:r w:rsidR="00613CA1" w:rsidRPr="00304A3B">
        <w:rPr>
          <w:rFonts w:ascii="Times New Roman" w:hAnsi="Times New Roman" w:cs="Times New Roman"/>
        </w:rPr>
        <w:t xml:space="preserve">s accompany these </w:t>
      </w:r>
      <w:r w:rsidR="00F0092A" w:rsidRPr="00304A3B">
        <w:rPr>
          <w:rFonts w:ascii="Times New Roman" w:hAnsi="Times New Roman" w:cs="Times New Roman"/>
        </w:rPr>
        <w:t>hi</w:t>
      </w:r>
      <w:r w:rsidR="00F82759" w:rsidRPr="00304A3B">
        <w:rPr>
          <w:rFonts w:ascii="Times New Roman" w:hAnsi="Times New Roman" w:cs="Times New Roman"/>
        </w:rPr>
        <w:t>gh</w:t>
      </w:r>
      <w:r w:rsidR="00F0092A" w:rsidRPr="00304A3B">
        <w:rPr>
          <w:rFonts w:ascii="Times New Roman" w:hAnsi="Times New Roman" w:cs="Times New Roman"/>
        </w:rPr>
        <w:t xml:space="preserve">-tech </w:t>
      </w:r>
      <w:r w:rsidR="00613CA1" w:rsidRPr="00304A3B">
        <w:rPr>
          <w:rFonts w:ascii="Times New Roman" w:hAnsi="Times New Roman" w:cs="Times New Roman"/>
        </w:rPr>
        <w:t>breakthroughs</w:t>
      </w:r>
      <w:r w:rsidR="00F0092A" w:rsidRPr="00304A3B">
        <w:rPr>
          <w:rFonts w:ascii="Times New Roman" w:hAnsi="Times New Roman" w:cs="Times New Roman"/>
        </w:rPr>
        <w:t>, however</w:t>
      </w:r>
      <w:r w:rsidR="00613CA1" w:rsidRPr="00304A3B">
        <w:rPr>
          <w:rFonts w:ascii="Times New Roman" w:hAnsi="Times New Roman" w:cs="Times New Roman"/>
        </w:rPr>
        <w:t xml:space="preserve">. </w:t>
      </w:r>
      <w:r w:rsidR="0069081A" w:rsidRPr="00304A3B">
        <w:rPr>
          <w:rFonts w:ascii="Times New Roman" w:hAnsi="Times New Roman" w:cs="Times New Roman"/>
        </w:rPr>
        <w:t>The OECD estimates that about 9 percent of jobs across 21 countries are automatable.</w:t>
      </w:r>
      <w:r w:rsidR="0069081A" w:rsidRPr="00304A3B">
        <w:rPr>
          <w:rStyle w:val="EndnoteReference"/>
          <w:rFonts w:ascii="Times New Roman" w:hAnsi="Times New Roman" w:cs="Times New Roman"/>
        </w:rPr>
        <w:endnoteReference w:id="30"/>
      </w:r>
      <w:r w:rsidR="0069081A" w:rsidRPr="00304A3B">
        <w:rPr>
          <w:rFonts w:ascii="Times New Roman" w:hAnsi="Times New Roman" w:cs="Times New Roman"/>
        </w:rPr>
        <w:t xml:space="preserve"> Already demonstrated</w:t>
      </w:r>
      <w:r w:rsidRPr="00304A3B">
        <w:rPr>
          <w:rFonts w:ascii="Times New Roman" w:hAnsi="Times New Roman" w:cs="Times New Roman"/>
        </w:rPr>
        <w:t xml:space="preserve"> technologies have the potential to automate 45 percent of work activities in the United States.</w:t>
      </w:r>
      <w:r w:rsidRPr="00304A3B">
        <w:rPr>
          <w:rStyle w:val="EndnoteReference"/>
          <w:rFonts w:ascii="Times New Roman" w:hAnsi="Times New Roman" w:cs="Times New Roman"/>
        </w:rPr>
        <w:endnoteReference w:id="31"/>
      </w:r>
      <w:r w:rsidR="001F41ED" w:rsidRPr="00304A3B">
        <w:rPr>
          <w:rFonts w:ascii="Times New Roman" w:hAnsi="Times New Roman" w:cs="Times New Roman"/>
        </w:rPr>
        <w:t xml:space="preserve"> </w:t>
      </w:r>
      <w:r w:rsidR="001F41ED" w:rsidRPr="00304A3B">
        <w:rPr>
          <w:rFonts w:ascii="Times New Roman" w:hAnsi="Times New Roman" w:cs="Times New Roman"/>
          <w:bCs/>
        </w:rPr>
        <w:t xml:space="preserve">Indicative of their deployment of labor-saving technology, employment </w:t>
      </w:r>
      <w:r w:rsidR="00BB1CEA" w:rsidRPr="00304A3B">
        <w:rPr>
          <w:rFonts w:ascii="Times New Roman" w:hAnsi="Times New Roman" w:cs="Times New Roman"/>
          <w:bCs/>
        </w:rPr>
        <w:t xml:space="preserve">in </w:t>
      </w:r>
      <w:r w:rsidR="001F41ED" w:rsidRPr="00304A3B">
        <w:rPr>
          <w:rFonts w:ascii="Times New Roman" w:hAnsi="Times New Roman" w:cs="Times New Roman"/>
          <w:bCs/>
        </w:rPr>
        <w:t xml:space="preserve">advanced industries </w:t>
      </w:r>
      <w:r w:rsidR="00BB1CEA" w:rsidRPr="00304A3B">
        <w:rPr>
          <w:rFonts w:ascii="Times New Roman" w:hAnsi="Times New Roman" w:cs="Times New Roman"/>
          <w:bCs/>
        </w:rPr>
        <w:t xml:space="preserve">in U.S. cities </w:t>
      </w:r>
      <w:r w:rsidR="001F41ED" w:rsidRPr="00304A3B">
        <w:rPr>
          <w:rFonts w:ascii="Times New Roman" w:hAnsi="Times New Roman" w:cs="Times New Roman"/>
          <w:bCs/>
        </w:rPr>
        <w:t>has been flat since 1980</w:t>
      </w:r>
      <w:r w:rsidR="00F0092A" w:rsidRPr="00304A3B">
        <w:rPr>
          <w:rFonts w:ascii="Times New Roman" w:hAnsi="Times New Roman" w:cs="Times New Roman"/>
          <w:bCs/>
        </w:rPr>
        <w:t>, even while its value-</w:t>
      </w:r>
      <w:r w:rsidR="001F41ED" w:rsidRPr="00304A3B">
        <w:rPr>
          <w:rFonts w:ascii="Times New Roman" w:hAnsi="Times New Roman" w:cs="Times New Roman"/>
          <w:bCs/>
        </w:rPr>
        <w:t>added growth has soared. And</w:t>
      </w:r>
      <w:r w:rsidR="00694BB3" w:rsidRPr="00304A3B">
        <w:rPr>
          <w:rFonts w:ascii="Times New Roman" w:hAnsi="Times New Roman" w:cs="Times New Roman"/>
          <w:bCs/>
        </w:rPr>
        <w:t xml:space="preserve"> technology-induced</w:t>
      </w:r>
      <w:r w:rsidR="001F41ED" w:rsidRPr="00304A3B">
        <w:rPr>
          <w:rFonts w:ascii="Times New Roman" w:hAnsi="Times New Roman" w:cs="Times New Roman"/>
          <w:bCs/>
        </w:rPr>
        <w:t xml:space="preserve"> </w:t>
      </w:r>
      <w:r w:rsidR="00694BB3" w:rsidRPr="00304A3B">
        <w:rPr>
          <w:rFonts w:ascii="Times New Roman" w:hAnsi="Times New Roman" w:cs="Times New Roman"/>
          <w:bCs/>
        </w:rPr>
        <w:t>labor market changes are</w:t>
      </w:r>
      <w:r w:rsidR="001F41ED" w:rsidRPr="00304A3B">
        <w:rPr>
          <w:rFonts w:ascii="Times New Roman" w:hAnsi="Times New Roman" w:cs="Times New Roman"/>
          <w:bCs/>
        </w:rPr>
        <w:t xml:space="preserve"> not simply a </w:t>
      </w:r>
      <w:r w:rsidR="00694BB3" w:rsidRPr="00304A3B">
        <w:rPr>
          <w:rFonts w:ascii="Times New Roman" w:hAnsi="Times New Roman" w:cs="Times New Roman"/>
          <w:bCs/>
        </w:rPr>
        <w:t>developed world challenge. Increased automation in manufacturing is one reason why developing countries are deindustrializing at much lower levels of income. This trend suggests that manufacturing may not</w:t>
      </w:r>
      <w:r w:rsidR="001F41ED" w:rsidRPr="00304A3B">
        <w:rPr>
          <w:rFonts w:ascii="Times New Roman" w:hAnsi="Times New Roman" w:cs="Times New Roman"/>
          <w:bCs/>
        </w:rPr>
        <w:t xml:space="preserve"> provide the same on-ramp for lower income countries going forward, with potentially significant economic and political consequences.</w:t>
      </w:r>
      <w:r w:rsidR="001F41ED" w:rsidRPr="00304A3B">
        <w:rPr>
          <w:rStyle w:val="EndnoteReference"/>
          <w:rFonts w:ascii="Times New Roman" w:hAnsi="Times New Roman" w:cs="Times New Roman"/>
          <w:bCs/>
        </w:rPr>
        <w:endnoteReference w:id="32"/>
      </w:r>
      <w:r w:rsidR="00BB1CEA" w:rsidRPr="00304A3B">
        <w:rPr>
          <w:rFonts w:ascii="Times New Roman" w:hAnsi="Times New Roman" w:cs="Times New Roman"/>
          <w:bCs/>
        </w:rPr>
        <w:t xml:space="preserve"> </w:t>
      </w:r>
    </w:p>
    <w:p w14:paraId="66D2E756" w14:textId="787B02B4" w:rsidR="00013880" w:rsidRPr="00304A3B" w:rsidRDefault="00C47B0E" w:rsidP="00C47B0E">
      <w:pPr>
        <w:spacing w:line="240" w:lineRule="auto"/>
        <w:rPr>
          <w:rFonts w:ascii="Times New Roman" w:hAnsi="Times New Roman" w:cs="Times New Roman"/>
          <w:bCs/>
        </w:rPr>
      </w:pPr>
      <w:r w:rsidRPr="00304A3B">
        <w:rPr>
          <w:rFonts w:ascii="Times New Roman" w:hAnsi="Times New Roman" w:cs="Times New Roman"/>
          <w:bCs/>
        </w:rPr>
        <w:t xml:space="preserve">Especially as populations age and workforces retire, productivity growth, rather than </w:t>
      </w:r>
      <w:r w:rsidR="00BB1CEA" w:rsidRPr="00304A3B">
        <w:rPr>
          <w:rFonts w:ascii="Times New Roman" w:hAnsi="Times New Roman" w:cs="Times New Roman"/>
          <w:bCs/>
        </w:rPr>
        <w:t>labor force</w:t>
      </w:r>
      <w:r w:rsidRPr="00304A3B">
        <w:rPr>
          <w:rFonts w:ascii="Times New Roman" w:hAnsi="Times New Roman" w:cs="Times New Roman"/>
          <w:bCs/>
        </w:rPr>
        <w:t xml:space="preserve"> growth, will have to do the heavy lifting to maintain overall economic growth</w:t>
      </w:r>
      <w:r w:rsidR="00782A99" w:rsidRPr="00304A3B">
        <w:rPr>
          <w:rFonts w:ascii="Times New Roman" w:hAnsi="Times New Roman" w:cs="Times New Roman"/>
          <w:bCs/>
        </w:rPr>
        <w:t xml:space="preserve">, </w:t>
      </w:r>
      <w:r w:rsidR="00BB1CEA" w:rsidRPr="00304A3B">
        <w:rPr>
          <w:rFonts w:ascii="Times New Roman" w:hAnsi="Times New Roman" w:cs="Times New Roman"/>
          <w:bCs/>
        </w:rPr>
        <w:t>especially</w:t>
      </w:r>
      <w:r w:rsidR="00782A99" w:rsidRPr="00304A3B">
        <w:rPr>
          <w:rFonts w:ascii="Times New Roman" w:hAnsi="Times New Roman" w:cs="Times New Roman"/>
          <w:bCs/>
        </w:rPr>
        <w:t xml:space="preserve"> in </w:t>
      </w:r>
      <w:r w:rsidR="00BB1CEA" w:rsidRPr="00304A3B">
        <w:rPr>
          <w:rFonts w:ascii="Times New Roman" w:hAnsi="Times New Roman" w:cs="Times New Roman"/>
          <w:bCs/>
        </w:rPr>
        <w:t>developed</w:t>
      </w:r>
      <w:r w:rsidR="00782A99" w:rsidRPr="00304A3B">
        <w:rPr>
          <w:rFonts w:ascii="Times New Roman" w:hAnsi="Times New Roman" w:cs="Times New Roman"/>
          <w:bCs/>
        </w:rPr>
        <w:t xml:space="preserve"> </w:t>
      </w:r>
      <w:r w:rsidR="00BB1CEA" w:rsidRPr="00304A3B">
        <w:rPr>
          <w:rFonts w:ascii="Times New Roman" w:hAnsi="Times New Roman" w:cs="Times New Roman"/>
          <w:bCs/>
        </w:rPr>
        <w:t>metro areas</w:t>
      </w:r>
      <w:r w:rsidRPr="00304A3B">
        <w:rPr>
          <w:rFonts w:ascii="Times New Roman" w:hAnsi="Times New Roman" w:cs="Times New Roman"/>
          <w:bCs/>
        </w:rPr>
        <w:t xml:space="preserve">. </w:t>
      </w:r>
      <w:r w:rsidR="00BB1CEA" w:rsidRPr="00304A3B">
        <w:rPr>
          <w:rFonts w:ascii="Times New Roman" w:hAnsi="Times New Roman" w:cs="Times New Roman"/>
          <w:bCs/>
        </w:rPr>
        <w:t>In a study of 20 large national economies, the McKinsey Global Institute estimates that, to achieve global growth rates comparable to those experienced over the last 50 years, productivity growth would need to be 80 percent faster to compensate for slowing employment growth.</w:t>
      </w:r>
      <w:r w:rsidR="00BB1CEA" w:rsidRPr="00304A3B">
        <w:rPr>
          <w:rStyle w:val="EndnoteReference"/>
          <w:rFonts w:ascii="Times New Roman" w:hAnsi="Times New Roman" w:cs="Times New Roman"/>
          <w:bCs/>
        </w:rPr>
        <w:endnoteReference w:id="33"/>
      </w:r>
      <w:r w:rsidR="00BB1CEA" w:rsidRPr="00304A3B">
        <w:rPr>
          <w:rFonts w:ascii="Times New Roman" w:hAnsi="Times New Roman" w:cs="Times New Roman"/>
          <w:bCs/>
        </w:rPr>
        <w:t xml:space="preserve"> </w:t>
      </w:r>
      <w:r w:rsidRPr="00304A3B">
        <w:rPr>
          <w:rFonts w:ascii="Times New Roman" w:hAnsi="Times New Roman" w:cs="Times New Roman"/>
          <w:bCs/>
        </w:rPr>
        <w:t>Since technology appears to be such a critical input to worker, firm and industry-level productivity</w:t>
      </w:r>
      <w:r w:rsidR="00782A99" w:rsidRPr="00304A3B">
        <w:rPr>
          <w:rFonts w:ascii="Times New Roman" w:hAnsi="Times New Roman" w:cs="Times New Roman"/>
          <w:bCs/>
        </w:rPr>
        <w:t>, cities must understand and ada</w:t>
      </w:r>
      <w:r w:rsidRPr="00304A3B">
        <w:rPr>
          <w:rFonts w:ascii="Times New Roman" w:hAnsi="Times New Roman" w:cs="Times New Roman"/>
          <w:bCs/>
        </w:rPr>
        <w:t>pt to its impact.</w:t>
      </w:r>
    </w:p>
    <w:p w14:paraId="497E9344" w14:textId="575E3968" w:rsidR="00BB1CEA" w:rsidRPr="00304A3B" w:rsidRDefault="00BB1CEA" w:rsidP="00BB1CEA">
      <w:pPr>
        <w:spacing w:line="240" w:lineRule="auto"/>
        <w:jc w:val="center"/>
        <w:rPr>
          <w:rFonts w:ascii="Times New Roman" w:hAnsi="Times New Roman" w:cs="Times New Roman"/>
          <w:bCs/>
        </w:rPr>
      </w:pPr>
      <w:r w:rsidRPr="00304A3B">
        <w:rPr>
          <w:rFonts w:ascii="Times New Roman" w:hAnsi="Times New Roman" w:cs="Times New Roman"/>
          <w:bCs/>
        </w:rPr>
        <w:t>--------</w:t>
      </w:r>
    </w:p>
    <w:p w14:paraId="2D1E2E6F" w14:textId="0B0D52EA" w:rsidR="00013880" w:rsidRPr="00304A3B" w:rsidRDefault="00013880" w:rsidP="00013880">
      <w:pPr>
        <w:spacing w:line="240" w:lineRule="auto"/>
        <w:rPr>
          <w:rFonts w:ascii="Times New Roman" w:hAnsi="Times New Roman" w:cs="Times New Roman"/>
        </w:rPr>
      </w:pPr>
      <w:r w:rsidRPr="00304A3B">
        <w:rPr>
          <w:rFonts w:ascii="Times New Roman" w:hAnsi="Times New Roman" w:cs="Times New Roman"/>
        </w:rPr>
        <w:t xml:space="preserve">These three trends underscore a new economic reality for cities. For starters, rapid urbanization has placed </w:t>
      </w:r>
      <w:r w:rsidR="00BA313A">
        <w:rPr>
          <w:rFonts w:ascii="Times New Roman" w:hAnsi="Times New Roman" w:cs="Times New Roman"/>
        </w:rPr>
        <w:t>developing</w:t>
      </w:r>
      <w:r w:rsidRPr="00304A3B">
        <w:rPr>
          <w:rFonts w:ascii="Times New Roman" w:hAnsi="Times New Roman" w:cs="Times New Roman"/>
        </w:rPr>
        <w:t xml:space="preserve"> metro areas alongside their more developed peers as the main sites for economic growth and development. That means understanding global market currents requires an understanding of the economic dynamics playing out in the world’s cities. Alongside urbanization, globalization and technological change are both valuing cities, and challenging them in new ways to deliver prosperity for their residents. The opportunities and pressures of global integration mean that c</w:t>
      </w:r>
      <w:r w:rsidRPr="00304A3B">
        <w:rPr>
          <w:rFonts w:ascii="Times New Roman" w:hAnsi="Times New Roman" w:cs="Times New Roman"/>
          <w:bCs/>
        </w:rPr>
        <w:t xml:space="preserve">ities must proactively adapt and position workers, industries, and communities for the upsides of global engagement by investing in a competitive </w:t>
      </w:r>
      <w:r w:rsidRPr="00304A3B">
        <w:rPr>
          <w:rFonts w:ascii="Times New Roman" w:hAnsi="Times New Roman" w:cs="Times New Roman"/>
          <w:b/>
          <w:bCs/>
          <w:i/>
        </w:rPr>
        <w:t>traded sector, maintaining infrastructure connectivity, and being open to global flows of capital and talent</w:t>
      </w:r>
      <w:r w:rsidRPr="00304A3B">
        <w:rPr>
          <w:rFonts w:ascii="Times New Roman" w:hAnsi="Times New Roman" w:cs="Times New Roman"/>
          <w:bCs/>
        </w:rPr>
        <w:t xml:space="preserve">. Finally, to manage technological change and reap the productivity gains that will improve living standards, cities must cultivate </w:t>
      </w:r>
      <w:r w:rsidRPr="00304A3B">
        <w:rPr>
          <w:rFonts w:ascii="Times New Roman" w:hAnsi="Times New Roman" w:cs="Times New Roman"/>
          <w:b/>
          <w:bCs/>
          <w:i/>
        </w:rPr>
        <w:t>innovation systems, skilled workforces, and digital infrastructure</w:t>
      </w:r>
      <w:r w:rsidRPr="00304A3B">
        <w:rPr>
          <w:rFonts w:ascii="Times New Roman" w:hAnsi="Times New Roman" w:cs="Times New Roman"/>
          <w:bCs/>
        </w:rPr>
        <w:t xml:space="preserve">. All of these competitiveness assets must be stewarded by good </w:t>
      </w:r>
      <w:r w:rsidRPr="00304A3B">
        <w:rPr>
          <w:rFonts w:ascii="Times New Roman" w:hAnsi="Times New Roman" w:cs="Times New Roman"/>
          <w:b/>
          <w:bCs/>
          <w:i/>
        </w:rPr>
        <w:t>governance</w:t>
      </w:r>
      <w:r w:rsidRPr="00304A3B">
        <w:rPr>
          <w:rFonts w:ascii="Times New Roman" w:hAnsi="Times New Roman" w:cs="Times New Roman"/>
          <w:bCs/>
        </w:rPr>
        <w:t xml:space="preserve"> and a stable business environment.</w:t>
      </w:r>
      <w:r w:rsidRPr="00304A3B">
        <w:rPr>
          <w:rStyle w:val="EndnoteReference"/>
          <w:rFonts w:ascii="Times New Roman" w:hAnsi="Times New Roman" w:cs="Times New Roman"/>
          <w:bCs/>
        </w:rPr>
        <w:endnoteReference w:id="34"/>
      </w:r>
      <w:r w:rsidRPr="00304A3B">
        <w:rPr>
          <w:rFonts w:ascii="Times New Roman" w:hAnsi="Times New Roman" w:cs="Times New Roman"/>
          <w:bCs/>
        </w:rPr>
        <w:t xml:space="preserve"> </w:t>
      </w:r>
    </w:p>
    <w:p w14:paraId="16109026" w14:textId="0823A170" w:rsidR="009C2254" w:rsidRPr="00304A3B" w:rsidRDefault="0020514B" w:rsidP="0020514B">
      <w:pPr>
        <w:pStyle w:val="ListParagraph"/>
        <w:numPr>
          <w:ilvl w:val="0"/>
          <w:numId w:val="19"/>
        </w:numPr>
        <w:spacing w:line="240" w:lineRule="auto"/>
        <w:rPr>
          <w:rFonts w:ascii="Times New Roman" w:hAnsi="Times New Roman" w:cs="Times New Roman"/>
          <w:b/>
        </w:rPr>
      </w:pPr>
      <w:r w:rsidRPr="00304A3B">
        <w:rPr>
          <w:rFonts w:ascii="Times New Roman" w:hAnsi="Times New Roman" w:cs="Times New Roman"/>
          <w:b/>
        </w:rPr>
        <w:t>Data and Methods</w:t>
      </w:r>
    </w:p>
    <w:p w14:paraId="79257F35" w14:textId="7E682A86" w:rsidR="0020514B" w:rsidRPr="00304A3B" w:rsidRDefault="0020514B" w:rsidP="0020514B">
      <w:pPr>
        <w:spacing w:line="240" w:lineRule="auto"/>
        <w:rPr>
          <w:rFonts w:ascii="Times New Roman" w:hAnsi="Times New Roman" w:cs="Times New Roman"/>
          <w:b/>
        </w:rPr>
      </w:pPr>
      <w:r w:rsidRPr="00304A3B">
        <w:rPr>
          <w:rFonts w:ascii="Times New Roman" w:hAnsi="Times New Roman" w:cs="Times New Roman"/>
          <w:b/>
        </w:rPr>
        <w:t>Defining and Measuring Competitiveness</w:t>
      </w:r>
      <w:r w:rsidR="00945853" w:rsidRPr="00304A3B">
        <w:rPr>
          <w:rFonts w:ascii="Times New Roman" w:hAnsi="Times New Roman" w:cs="Times New Roman"/>
          <w:b/>
        </w:rPr>
        <w:t xml:space="preserve"> Factors</w:t>
      </w:r>
    </w:p>
    <w:p w14:paraId="7A45C780" w14:textId="0113B638" w:rsidR="00DF745B" w:rsidRPr="00304A3B" w:rsidRDefault="000D0344" w:rsidP="00DF745B">
      <w:pPr>
        <w:spacing w:line="240" w:lineRule="auto"/>
        <w:rPr>
          <w:rFonts w:ascii="Times New Roman" w:hAnsi="Times New Roman" w:cs="Times New Roman"/>
          <w:bCs/>
        </w:rPr>
      </w:pPr>
      <w:r w:rsidRPr="00304A3B">
        <w:rPr>
          <w:rFonts w:ascii="Times New Roman" w:hAnsi="Times New Roman" w:cs="Times New Roman"/>
          <w:bCs/>
        </w:rPr>
        <w:t xml:space="preserve">Given this global environment, </w:t>
      </w:r>
      <w:r w:rsidR="00DF745B" w:rsidRPr="00304A3B">
        <w:rPr>
          <w:rFonts w:ascii="Times New Roman" w:hAnsi="Times New Roman" w:cs="Times New Roman"/>
          <w:bCs/>
        </w:rPr>
        <w:t xml:space="preserve">this report focuses on the assets that matter for a metro economy’s competitiveness. </w:t>
      </w:r>
      <w:r w:rsidR="00DF745B" w:rsidRPr="00304A3B">
        <w:rPr>
          <w:rFonts w:ascii="Times New Roman" w:hAnsi="Times New Roman" w:cs="Times New Roman"/>
        </w:rPr>
        <w:t>We draw on the Harvard Business School definition of a competitive market as one in which firms can compete successfully in the global economy while supporting high and rising living standards for local households.</w:t>
      </w:r>
      <w:r w:rsidR="00DF745B" w:rsidRPr="00304A3B">
        <w:rPr>
          <w:rStyle w:val="EndnoteReference"/>
          <w:rFonts w:ascii="Times New Roman" w:hAnsi="Times New Roman" w:cs="Times New Roman"/>
        </w:rPr>
        <w:endnoteReference w:id="35"/>
      </w:r>
      <w:r w:rsidR="00DF745B" w:rsidRPr="00304A3B">
        <w:rPr>
          <w:rFonts w:ascii="Times New Roman" w:hAnsi="Times New Roman" w:cs="Times New Roman"/>
        </w:rPr>
        <w:t xml:space="preserve"> Competitive regions are, by this definition, supportive environments for both companies and people.</w:t>
      </w:r>
    </w:p>
    <w:p w14:paraId="4327F7C5" w14:textId="5DB8691A" w:rsidR="000D0344" w:rsidRPr="00304A3B" w:rsidRDefault="00DF745B" w:rsidP="000D0344">
      <w:pPr>
        <w:spacing w:line="240" w:lineRule="auto"/>
        <w:rPr>
          <w:rFonts w:ascii="Times New Roman" w:hAnsi="Times New Roman" w:cs="Times New Roman"/>
        </w:rPr>
      </w:pPr>
      <w:r w:rsidRPr="00304A3B">
        <w:rPr>
          <w:rFonts w:ascii="Times New Roman" w:hAnsi="Times New Roman" w:cs="Times New Roman"/>
          <w:bCs/>
        </w:rPr>
        <w:lastRenderedPageBreak/>
        <w:t>T</w:t>
      </w:r>
      <w:r w:rsidR="000D0344" w:rsidRPr="00304A3B">
        <w:rPr>
          <w:rFonts w:ascii="Times New Roman" w:hAnsi="Times New Roman" w:cs="Times New Roman"/>
          <w:bCs/>
        </w:rPr>
        <w:t>his report draws on</w:t>
      </w:r>
      <w:r w:rsidR="000D0344" w:rsidRPr="00304A3B">
        <w:rPr>
          <w:rFonts w:ascii="Times New Roman" w:hAnsi="Times New Roman" w:cs="Times New Roman"/>
        </w:rPr>
        <w:t xml:space="preserve"> a five-factor competitiveness framework—tradable clusters, innovation, talent, infrastructure, and governance. Globally competitive traded sectors, innovation ecosystems, and skilled labor are the key drivers of overall productivity, employment creation, and income growth. Enablers support these drivers: well-connected infrastructure and reliable governance, public services, and business environment (see sidebar).</w:t>
      </w:r>
      <w:r w:rsidR="000D0344" w:rsidRPr="00304A3B">
        <w:rPr>
          <w:rStyle w:val="EndnoteReference"/>
          <w:rFonts w:ascii="Times New Roman" w:hAnsi="Times New Roman" w:cs="Times New Roman"/>
        </w:rPr>
        <w:endnoteReference w:id="36"/>
      </w:r>
      <w:r w:rsidRPr="00304A3B">
        <w:rPr>
          <w:rFonts w:ascii="Times New Roman" w:hAnsi="Times New Roman" w:cs="Times New Roman"/>
        </w:rPr>
        <w:t xml:space="preserve"> </w:t>
      </w:r>
      <w:r w:rsidR="000D0344" w:rsidRPr="00304A3B">
        <w:rPr>
          <w:rFonts w:ascii="Times New Roman" w:hAnsi="Times New Roman" w:cs="Times New Roman"/>
        </w:rPr>
        <w:t>Focusing on these fundamentals positions metropolitan economies to compete based on the distinct long-term value their industries and people can provide, and avoids economic strategies that attract firms through “race-to-the-bottom” techniques that compete via one-time tax breaks or depressing wages.</w:t>
      </w:r>
    </w:p>
    <w:p w14:paraId="5978FDD5" w14:textId="0E061C03" w:rsidR="00D72809" w:rsidRPr="00304A3B" w:rsidRDefault="00D72809" w:rsidP="00D72809">
      <w:pPr>
        <w:spacing w:line="240" w:lineRule="auto"/>
        <w:jc w:val="center"/>
        <w:rPr>
          <w:rFonts w:ascii="Times New Roman" w:hAnsi="Times New Roman" w:cs="Times New Roman"/>
        </w:rPr>
      </w:pPr>
      <w:r w:rsidRPr="00304A3B">
        <w:rPr>
          <w:rFonts w:ascii="Times New Roman" w:hAnsi="Times New Roman" w:cs="Times New Roman"/>
          <w:noProof/>
          <w:lang w:eastAsia="en-US"/>
        </w:rPr>
        <w:drawing>
          <wp:inline distT="0" distB="0" distL="0" distR="0" wp14:anchorId="1B6D52CB" wp14:editId="32030EC2">
            <wp:extent cx="3893955" cy="1565910"/>
            <wp:effectExtent l="0" t="0" r="0" b="0"/>
            <wp:docPr id="316" name="Picture 316"/>
            <wp:cNvGraphicFramePr/>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04452" cy="1570131"/>
                    </a:xfrm>
                    <a:prstGeom prst="rect">
                      <a:avLst/>
                    </a:prstGeom>
                    <a:noFill/>
                    <a:ln>
                      <a:noFill/>
                    </a:ln>
                  </pic:spPr>
                </pic:pic>
              </a:graphicData>
            </a:graphic>
          </wp:inline>
        </w:drawing>
      </w:r>
    </w:p>
    <w:p w14:paraId="017E78CC" w14:textId="1FBA6F5F" w:rsidR="008B0E98" w:rsidRPr="00304A3B" w:rsidRDefault="008B0E98" w:rsidP="008B0E98">
      <w:pPr>
        <w:pBdr>
          <w:top w:val="single" w:sz="4" w:space="1" w:color="auto"/>
          <w:left w:val="single" w:sz="4" w:space="4" w:color="auto"/>
          <w:bottom w:val="single" w:sz="4" w:space="1" w:color="auto"/>
          <w:right w:val="single" w:sz="4" w:space="4" w:color="auto"/>
        </w:pBdr>
        <w:shd w:val="clear" w:color="auto" w:fill="DDD9C3" w:themeFill="background2" w:themeFillShade="E6"/>
        <w:spacing w:line="240" w:lineRule="auto"/>
        <w:rPr>
          <w:rFonts w:ascii="Times New Roman" w:hAnsi="Times New Roman" w:cs="Times New Roman"/>
          <w:b/>
          <w:bCs/>
        </w:rPr>
      </w:pPr>
      <w:r w:rsidRPr="00304A3B">
        <w:rPr>
          <w:rFonts w:ascii="Times New Roman" w:hAnsi="Times New Roman" w:cs="Times New Roman"/>
          <w:b/>
          <w:bCs/>
        </w:rPr>
        <w:t>Measuring Competitiveness Factors</w:t>
      </w:r>
    </w:p>
    <w:p w14:paraId="3EBB3BAA" w14:textId="5C8B9E49" w:rsidR="0001195D" w:rsidRPr="00304A3B" w:rsidRDefault="0001195D" w:rsidP="00D72809">
      <w:pPr>
        <w:pBdr>
          <w:top w:val="single" w:sz="4" w:space="1" w:color="auto"/>
          <w:left w:val="single" w:sz="4" w:space="4" w:color="auto"/>
          <w:bottom w:val="single" w:sz="4" w:space="1" w:color="auto"/>
          <w:right w:val="single" w:sz="4" w:space="4" w:color="auto"/>
        </w:pBdr>
        <w:shd w:val="clear" w:color="auto" w:fill="DDD9C3" w:themeFill="background2" w:themeFillShade="E6"/>
        <w:spacing w:line="240" w:lineRule="auto"/>
        <w:rPr>
          <w:rFonts w:ascii="Times New Roman" w:hAnsi="Times New Roman" w:cs="Times New Roman"/>
          <w:bCs/>
        </w:rPr>
      </w:pPr>
      <w:r w:rsidRPr="00304A3B">
        <w:rPr>
          <w:rFonts w:ascii="Times New Roman" w:hAnsi="Times New Roman" w:cs="Times New Roman"/>
          <w:b/>
          <w:bCs/>
        </w:rPr>
        <w:t xml:space="preserve">Tradable Clusters: </w:t>
      </w:r>
      <w:r w:rsidRPr="00304A3B">
        <w:rPr>
          <w:rFonts w:ascii="Times New Roman" w:hAnsi="Times New Roman" w:cs="Times New Roman"/>
        </w:rPr>
        <w:t>Tradable industries are a critical driver of prosperity and competitiveness.</w:t>
      </w:r>
      <w:r w:rsidRPr="00304A3B">
        <w:rPr>
          <w:rFonts w:ascii="Times New Roman" w:hAnsi="Times New Roman" w:cs="Times New Roman"/>
          <w:bCs/>
        </w:rPr>
        <w:t xml:space="preserve"> These industries are typically anchored by globally engaged firms, which have valuable spillovers for local economies. </w:t>
      </w:r>
      <w:r w:rsidR="00581DD5" w:rsidRPr="00304A3B">
        <w:rPr>
          <w:rFonts w:ascii="Times New Roman" w:hAnsi="Times New Roman" w:cs="Times New Roman"/>
          <w:bCs/>
        </w:rPr>
        <w:t>The traded sector can be measured several way</w:t>
      </w:r>
      <w:r w:rsidR="00945853" w:rsidRPr="00304A3B">
        <w:rPr>
          <w:rFonts w:ascii="Times New Roman" w:hAnsi="Times New Roman" w:cs="Times New Roman"/>
          <w:bCs/>
        </w:rPr>
        <w:t xml:space="preserve">s. </w:t>
      </w:r>
      <w:r w:rsidR="00581DD5" w:rsidRPr="00304A3B">
        <w:rPr>
          <w:rFonts w:ascii="Times New Roman" w:hAnsi="Times New Roman" w:cs="Times New Roman"/>
          <w:bCs/>
        </w:rPr>
        <w:t xml:space="preserve">We measure </w:t>
      </w:r>
      <w:r w:rsidR="00D72809" w:rsidRPr="00304A3B">
        <w:rPr>
          <w:rFonts w:ascii="Times New Roman" w:hAnsi="Times New Roman" w:cs="Times New Roman"/>
          <w:bCs/>
        </w:rPr>
        <w:t>tradable industries</w:t>
      </w:r>
      <w:r w:rsidR="00581DD5" w:rsidRPr="00304A3B">
        <w:rPr>
          <w:rFonts w:ascii="Times New Roman" w:hAnsi="Times New Roman" w:cs="Times New Roman"/>
          <w:bCs/>
        </w:rPr>
        <w:t xml:space="preserve"> using data on Greenfield foreign direct investment, which is inextricably bound up with </w:t>
      </w:r>
      <w:r w:rsidR="00EC6CF6" w:rsidRPr="00304A3B">
        <w:rPr>
          <w:rFonts w:ascii="Times New Roman" w:hAnsi="Times New Roman" w:cs="Times New Roman"/>
          <w:bCs/>
        </w:rPr>
        <w:t xml:space="preserve">traded </w:t>
      </w:r>
      <w:r w:rsidR="00581DD5" w:rsidRPr="00304A3B">
        <w:rPr>
          <w:rFonts w:ascii="Times New Roman" w:hAnsi="Times New Roman" w:cs="Times New Roman"/>
          <w:bCs/>
        </w:rPr>
        <w:t>industry clusters</w:t>
      </w:r>
      <w:r w:rsidR="002E19C9" w:rsidRPr="00304A3B">
        <w:rPr>
          <w:rFonts w:ascii="Times New Roman" w:hAnsi="Times New Roman" w:cs="Times New Roman"/>
          <w:bCs/>
        </w:rPr>
        <w:t>, and the productivity differential (measured as output per worker) between a metro area’s traded sector and its nation’s traded sector</w:t>
      </w:r>
      <w:r w:rsidR="00581DD5" w:rsidRPr="00304A3B">
        <w:rPr>
          <w:rFonts w:ascii="Times New Roman" w:hAnsi="Times New Roman" w:cs="Times New Roman"/>
          <w:bCs/>
        </w:rPr>
        <w:t>.</w:t>
      </w:r>
      <w:r w:rsidR="00581DD5" w:rsidRPr="00304A3B">
        <w:rPr>
          <w:rStyle w:val="EndnoteReference"/>
          <w:rFonts w:ascii="Times New Roman" w:hAnsi="Times New Roman" w:cs="Times New Roman"/>
          <w:bCs/>
        </w:rPr>
        <w:endnoteReference w:id="37"/>
      </w:r>
      <w:r w:rsidR="00945853" w:rsidRPr="00304A3B">
        <w:rPr>
          <w:rFonts w:ascii="Times New Roman" w:hAnsi="Times New Roman" w:cs="Times New Roman"/>
          <w:bCs/>
        </w:rPr>
        <w:t xml:space="preserve"> Due to data limitations at the metropolitan scale, we are unable to standardize and measure domestic investments across industries </w:t>
      </w:r>
      <w:r w:rsidR="00BA313A">
        <w:rPr>
          <w:rFonts w:ascii="Times New Roman" w:hAnsi="Times New Roman" w:cs="Times New Roman"/>
          <w:bCs/>
        </w:rPr>
        <w:t>or include</w:t>
      </w:r>
      <w:r w:rsidR="00945853" w:rsidRPr="00304A3B">
        <w:rPr>
          <w:rFonts w:ascii="Times New Roman" w:hAnsi="Times New Roman" w:cs="Times New Roman"/>
          <w:bCs/>
        </w:rPr>
        <w:t xml:space="preserve"> data on global trade flows.  </w:t>
      </w:r>
    </w:p>
    <w:p w14:paraId="73A6911A" w14:textId="5184AEE9" w:rsidR="00D72809" w:rsidRPr="00304A3B" w:rsidRDefault="00581DD5" w:rsidP="00EC6CF6">
      <w:pPr>
        <w:pBdr>
          <w:top w:val="single" w:sz="4" w:space="1" w:color="auto"/>
          <w:left w:val="single" w:sz="4" w:space="4" w:color="auto"/>
          <w:bottom w:val="single" w:sz="4" w:space="1" w:color="auto"/>
          <w:right w:val="single" w:sz="4" w:space="4" w:color="auto"/>
        </w:pBdr>
        <w:shd w:val="clear" w:color="auto" w:fill="DDD9C3" w:themeFill="background2" w:themeFillShade="E6"/>
        <w:spacing w:line="240" w:lineRule="auto"/>
        <w:rPr>
          <w:rFonts w:ascii="Times New Roman" w:hAnsi="Times New Roman" w:cs="Times New Roman"/>
          <w:bCs/>
        </w:rPr>
      </w:pPr>
      <w:r w:rsidRPr="00304A3B">
        <w:rPr>
          <w:rFonts w:ascii="Times New Roman" w:hAnsi="Times New Roman" w:cs="Times New Roman"/>
          <w:b/>
        </w:rPr>
        <w:t xml:space="preserve">Innovation: </w:t>
      </w:r>
      <w:r w:rsidRPr="00304A3B">
        <w:rPr>
          <w:rFonts w:ascii="Times New Roman" w:hAnsi="Times New Roman" w:cs="Times New Roman"/>
          <w:bCs/>
        </w:rPr>
        <w:t>A region’s innovative capacity and levels of entrepreneurship both have implications for its ability to develop and deploy commercial applications, start new businesses, and maintain industrial competitiveness in the face of disruptive technological change.</w:t>
      </w:r>
      <w:r w:rsidRPr="00304A3B">
        <w:rPr>
          <w:rStyle w:val="EndnoteReference"/>
          <w:rFonts w:ascii="Times New Roman" w:hAnsi="Times New Roman" w:cs="Times New Roman"/>
          <w:bCs/>
        </w:rPr>
        <w:endnoteReference w:id="38"/>
      </w:r>
      <w:r w:rsidR="00D72809" w:rsidRPr="00304A3B">
        <w:rPr>
          <w:rFonts w:ascii="Times New Roman" w:hAnsi="Times New Roman" w:cs="Times New Roman"/>
          <w:bCs/>
        </w:rPr>
        <w:t xml:space="preserve"> </w:t>
      </w:r>
      <w:r w:rsidRPr="00304A3B">
        <w:rPr>
          <w:rFonts w:ascii="Times New Roman" w:hAnsi="Times New Roman" w:cs="Times New Roman"/>
          <w:bCs/>
        </w:rPr>
        <w:t>We measure innovation through the scientific impact of research universities, patenting, and venture capital flows.</w:t>
      </w:r>
      <w:r w:rsidR="00896D65" w:rsidRPr="00304A3B">
        <w:rPr>
          <w:rStyle w:val="EndnoteReference"/>
          <w:rFonts w:ascii="Times New Roman" w:hAnsi="Times New Roman" w:cs="Times New Roman"/>
          <w:bCs/>
        </w:rPr>
        <w:endnoteReference w:id="39"/>
      </w:r>
      <w:r w:rsidRPr="00304A3B">
        <w:rPr>
          <w:rFonts w:ascii="Times New Roman" w:hAnsi="Times New Roman" w:cs="Times New Roman"/>
          <w:bCs/>
        </w:rPr>
        <w:t xml:space="preserve"> </w:t>
      </w:r>
    </w:p>
    <w:p w14:paraId="746D545B" w14:textId="63CD0AB9" w:rsidR="00581DD5" w:rsidRPr="00304A3B" w:rsidRDefault="00A30FE5" w:rsidP="008B0E98">
      <w:pPr>
        <w:pBdr>
          <w:top w:val="single" w:sz="4" w:space="1" w:color="auto"/>
          <w:left w:val="single" w:sz="4" w:space="4" w:color="auto"/>
          <w:bottom w:val="single" w:sz="4" w:space="1" w:color="auto"/>
          <w:right w:val="single" w:sz="4" w:space="4" w:color="auto"/>
        </w:pBdr>
        <w:shd w:val="clear" w:color="auto" w:fill="DDD9C3" w:themeFill="background2" w:themeFillShade="E6"/>
        <w:spacing w:line="240" w:lineRule="auto"/>
        <w:rPr>
          <w:rFonts w:ascii="Times New Roman" w:hAnsi="Times New Roman" w:cs="Times New Roman"/>
        </w:rPr>
      </w:pPr>
      <w:r w:rsidRPr="00304A3B">
        <w:rPr>
          <w:rFonts w:ascii="Times New Roman" w:hAnsi="Times New Roman" w:cs="Times New Roman"/>
          <w:b/>
        </w:rPr>
        <w:t xml:space="preserve">Talent: </w:t>
      </w:r>
      <w:r w:rsidRPr="00304A3B">
        <w:rPr>
          <w:rFonts w:ascii="Times New Roman" w:hAnsi="Times New Roman" w:cs="Times New Roman"/>
        </w:rPr>
        <w:t xml:space="preserve">Human capital, the stock of knowledge, skills, expertise, and capacities embedded in the labor force, is of critical importance to enhancing productivity, raising incomes, and driving economic growth. </w:t>
      </w:r>
      <w:r w:rsidR="00D72809" w:rsidRPr="00304A3B">
        <w:rPr>
          <w:rFonts w:ascii="Times New Roman" w:hAnsi="Times New Roman" w:cs="Times New Roman"/>
        </w:rPr>
        <w:t>We measure talent through the share of population with tertiary education and</w:t>
      </w:r>
      <w:r w:rsidR="00945853" w:rsidRPr="00304A3B">
        <w:rPr>
          <w:rFonts w:ascii="Times New Roman" w:hAnsi="Times New Roman" w:cs="Times New Roman"/>
        </w:rPr>
        <w:t xml:space="preserve">, due to the contributions to labor markets that immigrant </w:t>
      </w:r>
      <w:r w:rsidR="00D6552B" w:rsidRPr="00304A3B">
        <w:rPr>
          <w:rFonts w:ascii="Times New Roman" w:hAnsi="Times New Roman" w:cs="Times New Roman"/>
        </w:rPr>
        <w:t>provide</w:t>
      </w:r>
      <w:r w:rsidR="00945853" w:rsidRPr="00304A3B">
        <w:rPr>
          <w:rFonts w:ascii="Times New Roman" w:hAnsi="Times New Roman" w:cs="Times New Roman"/>
        </w:rPr>
        <w:t>,</w:t>
      </w:r>
      <w:r w:rsidR="00D72809" w:rsidRPr="00304A3B">
        <w:rPr>
          <w:rFonts w:ascii="Times New Roman" w:hAnsi="Times New Roman" w:cs="Times New Roman"/>
        </w:rPr>
        <w:t xml:space="preserve"> the share of the population that is foreign-born.</w:t>
      </w:r>
      <w:r w:rsidR="00945853" w:rsidRPr="00304A3B">
        <w:rPr>
          <w:rStyle w:val="EndnoteReference"/>
          <w:rFonts w:ascii="Times New Roman" w:hAnsi="Times New Roman" w:cs="Times New Roman"/>
        </w:rPr>
        <w:endnoteReference w:id="40"/>
      </w:r>
      <w:r w:rsidR="00D72809" w:rsidRPr="00304A3B">
        <w:rPr>
          <w:rFonts w:ascii="Times New Roman" w:hAnsi="Times New Roman" w:cs="Times New Roman"/>
        </w:rPr>
        <w:t xml:space="preserve"> </w:t>
      </w:r>
      <w:r w:rsidR="00D6552B" w:rsidRPr="00304A3B">
        <w:rPr>
          <w:rFonts w:ascii="Times New Roman" w:hAnsi="Times New Roman" w:cs="Times New Roman"/>
        </w:rPr>
        <w:t xml:space="preserve">Data limitations prevent us from measuring the skills and competencies of the workforce.  </w:t>
      </w:r>
    </w:p>
    <w:p w14:paraId="04F96094" w14:textId="7E3CF49D" w:rsidR="00A30FE5" w:rsidRPr="00304A3B" w:rsidRDefault="00A30FE5" w:rsidP="008B0E98">
      <w:pPr>
        <w:pBdr>
          <w:top w:val="single" w:sz="4" w:space="1" w:color="auto"/>
          <w:left w:val="single" w:sz="4" w:space="4" w:color="auto"/>
          <w:bottom w:val="single" w:sz="4" w:space="1" w:color="auto"/>
          <w:right w:val="single" w:sz="4" w:space="4" w:color="auto"/>
        </w:pBdr>
        <w:shd w:val="clear" w:color="auto" w:fill="DDD9C3" w:themeFill="background2" w:themeFillShade="E6"/>
        <w:spacing w:line="240" w:lineRule="auto"/>
        <w:rPr>
          <w:rFonts w:ascii="Times New Roman" w:hAnsi="Times New Roman" w:cs="Times New Roman"/>
        </w:rPr>
      </w:pPr>
      <w:r w:rsidRPr="00304A3B">
        <w:rPr>
          <w:rFonts w:ascii="Times New Roman" w:hAnsi="Times New Roman" w:cs="Times New Roman"/>
          <w:b/>
        </w:rPr>
        <w:t>Infrastructure</w:t>
      </w:r>
      <w:r w:rsidR="00945853" w:rsidRPr="00304A3B">
        <w:rPr>
          <w:rFonts w:ascii="Times New Roman" w:hAnsi="Times New Roman" w:cs="Times New Roman"/>
          <w:b/>
        </w:rPr>
        <w:t xml:space="preserve"> Connectivity</w:t>
      </w:r>
      <w:r w:rsidRPr="00304A3B">
        <w:rPr>
          <w:rFonts w:ascii="Times New Roman" w:hAnsi="Times New Roman" w:cs="Times New Roman"/>
          <w:b/>
        </w:rPr>
        <w:t xml:space="preserve">: </w:t>
      </w:r>
      <w:r w:rsidRPr="00304A3B">
        <w:rPr>
          <w:rFonts w:ascii="Times New Roman" w:hAnsi="Times New Roman" w:cs="Times New Roman"/>
        </w:rPr>
        <w:t xml:space="preserve">Infrastructure connectivity matters for regional competitiveness because firms rely upon global access, both physically and digitally, </w:t>
      </w:r>
      <w:r w:rsidR="00BA313A">
        <w:rPr>
          <w:rFonts w:ascii="Times New Roman" w:hAnsi="Times New Roman" w:cs="Times New Roman"/>
        </w:rPr>
        <w:t>to participate in the efficiencies of global value chains</w:t>
      </w:r>
      <w:r w:rsidRPr="00304A3B">
        <w:rPr>
          <w:rFonts w:ascii="Times New Roman" w:hAnsi="Times New Roman" w:cs="Times New Roman"/>
        </w:rPr>
        <w:t>.</w:t>
      </w:r>
      <w:r w:rsidR="00945853" w:rsidRPr="00304A3B">
        <w:rPr>
          <w:rFonts w:ascii="Times New Roman" w:hAnsi="Times New Roman" w:cs="Times New Roman"/>
        </w:rPr>
        <w:t xml:space="preserve"> We measure infrastructure connectivity through aviation passenger flows and internet download speeds.</w:t>
      </w:r>
      <w:r w:rsidRPr="00304A3B">
        <w:rPr>
          <w:rStyle w:val="EndnoteReference"/>
          <w:rFonts w:ascii="Times New Roman" w:hAnsi="Times New Roman" w:cs="Times New Roman"/>
        </w:rPr>
        <w:endnoteReference w:id="41"/>
      </w:r>
      <w:r w:rsidR="00D6552B" w:rsidRPr="00304A3B">
        <w:rPr>
          <w:rFonts w:ascii="Times New Roman" w:hAnsi="Times New Roman" w:cs="Times New Roman"/>
        </w:rPr>
        <w:t xml:space="preserve"> </w:t>
      </w:r>
      <w:r w:rsidR="00F75005" w:rsidRPr="00304A3B">
        <w:rPr>
          <w:rFonts w:ascii="Times New Roman" w:hAnsi="Times New Roman" w:cs="Times New Roman"/>
        </w:rPr>
        <w:t>Due to data limitations w</w:t>
      </w:r>
      <w:r w:rsidR="00D6552B" w:rsidRPr="00304A3B">
        <w:rPr>
          <w:rFonts w:ascii="Times New Roman" w:hAnsi="Times New Roman" w:cs="Times New Roman"/>
        </w:rPr>
        <w:t xml:space="preserve">e are unable to utilize standardized </w:t>
      </w:r>
      <w:r w:rsidR="00F75005" w:rsidRPr="00304A3B">
        <w:rPr>
          <w:rFonts w:ascii="Times New Roman" w:hAnsi="Times New Roman" w:cs="Times New Roman"/>
        </w:rPr>
        <w:t>indicators</w:t>
      </w:r>
      <w:r w:rsidR="00D6552B" w:rsidRPr="00304A3B">
        <w:rPr>
          <w:rFonts w:ascii="Times New Roman" w:hAnsi="Times New Roman" w:cs="Times New Roman"/>
        </w:rPr>
        <w:t xml:space="preserve"> on other important infrastructure metrics such as the quality of freight and logistics systems, roads, and public transit.  </w:t>
      </w:r>
    </w:p>
    <w:p w14:paraId="43A82FAA" w14:textId="16005A05" w:rsidR="00945853" w:rsidRPr="00304A3B" w:rsidRDefault="00945853" w:rsidP="006B165C">
      <w:pPr>
        <w:pBdr>
          <w:top w:val="single" w:sz="4" w:space="1" w:color="auto"/>
          <w:left w:val="single" w:sz="4" w:space="4" w:color="auto"/>
          <w:bottom w:val="single" w:sz="4" w:space="1" w:color="auto"/>
          <w:right w:val="single" w:sz="4" w:space="4" w:color="auto"/>
        </w:pBdr>
        <w:shd w:val="clear" w:color="auto" w:fill="DDD9C3" w:themeFill="background2" w:themeFillShade="E6"/>
        <w:spacing w:line="240" w:lineRule="auto"/>
        <w:rPr>
          <w:rFonts w:ascii="Times New Roman" w:hAnsi="Times New Roman" w:cs="Times New Roman"/>
        </w:rPr>
      </w:pPr>
      <w:r w:rsidRPr="00304A3B">
        <w:rPr>
          <w:rFonts w:ascii="Times New Roman" w:hAnsi="Times New Roman" w:cs="Times New Roman"/>
          <w:b/>
        </w:rPr>
        <w:t xml:space="preserve">Governance: </w:t>
      </w:r>
      <w:r w:rsidR="006B165C" w:rsidRPr="00304A3B">
        <w:rPr>
          <w:rFonts w:ascii="Times New Roman" w:hAnsi="Times New Roman" w:cs="Times New Roman"/>
        </w:rPr>
        <w:t xml:space="preserve">Governance matters for competitiveness because proactive government, public, and civic groups can marshal investment from a wide variety of domestic and international sources to enable new growth strategies. </w:t>
      </w:r>
      <w:proofErr w:type="gramStart"/>
      <w:r w:rsidR="006B165C" w:rsidRPr="00304A3B">
        <w:rPr>
          <w:rFonts w:ascii="Times New Roman" w:hAnsi="Times New Roman" w:cs="Times New Roman"/>
        </w:rPr>
        <w:t>Similarly, the efficiency with which government can deliver services and investments matters; highly fragmented metro areas tend to be less productive than their less fragmented counterparts.</w:t>
      </w:r>
      <w:proofErr w:type="gramEnd"/>
      <w:r w:rsidR="006B165C" w:rsidRPr="00304A3B">
        <w:rPr>
          <w:rFonts w:ascii="Times New Roman" w:hAnsi="Times New Roman" w:cs="Times New Roman"/>
        </w:rPr>
        <w:t xml:space="preserve"> </w:t>
      </w:r>
      <w:r w:rsidR="006B165C" w:rsidRPr="00304A3B">
        <w:rPr>
          <w:rFonts w:ascii="Times New Roman" w:hAnsi="Times New Roman" w:cs="Times New Roman"/>
        </w:rPr>
        <w:lastRenderedPageBreak/>
        <w:t>Central, provincial, and municipal governments also have unique and complementary roles to play in enabling firms and their wider regions to succeed in global markets.</w:t>
      </w:r>
      <w:r w:rsidR="006B165C" w:rsidRPr="00304A3B">
        <w:rPr>
          <w:rStyle w:val="EndnoteReference"/>
          <w:rFonts w:ascii="Times New Roman" w:hAnsi="Times New Roman" w:cs="Times New Roman"/>
        </w:rPr>
        <w:endnoteReference w:id="42"/>
      </w:r>
      <w:r w:rsidR="006B165C" w:rsidRPr="00304A3B">
        <w:rPr>
          <w:rFonts w:ascii="Times New Roman" w:hAnsi="Times New Roman" w:cs="Times New Roman"/>
        </w:rPr>
        <w:t xml:space="preserve"> Data limitations unfortunately limit our ability to quantitatively measure governance in this report.</w:t>
      </w:r>
    </w:p>
    <w:p w14:paraId="09C82DF7" w14:textId="12AEA1C3" w:rsidR="0020514B" w:rsidRPr="00304A3B" w:rsidRDefault="0020514B" w:rsidP="009C2254">
      <w:pPr>
        <w:spacing w:line="240" w:lineRule="auto"/>
        <w:rPr>
          <w:rFonts w:ascii="Times New Roman" w:hAnsi="Times New Roman" w:cs="Times New Roman"/>
          <w:b/>
        </w:rPr>
      </w:pPr>
      <w:r w:rsidRPr="00304A3B">
        <w:rPr>
          <w:rFonts w:ascii="Times New Roman" w:hAnsi="Times New Roman" w:cs="Times New Roman"/>
          <w:b/>
        </w:rPr>
        <w:t>Selection and Definition of Metropolitan Areas</w:t>
      </w:r>
    </w:p>
    <w:p w14:paraId="57AC6984" w14:textId="5973B0E5" w:rsidR="00247A54" w:rsidRPr="00304A3B" w:rsidRDefault="009C441A" w:rsidP="009C2254">
      <w:pPr>
        <w:spacing w:line="240" w:lineRule="auto"/>
        <w:rPr>
          <w:rFonts w:ascii="Times New Roman" w:hAnsi="Times New Roman" w:cs="Times New Roman"/>
        </w:rPr>
      </w:pPr>
      <w:r w:rsidRPr="00304A3B">
        <w:rPr>
          <w:rFonts w:ascii="Times New Roman" w:hAnsi="Times New Roman" w:cs="Times New Roman"/>
        </w:rPr>
        <w:t xml:space="preserve">We deploy new, standardized metropolitan-level to measure these factors for </w:t>
      </w:r>
      <w:r w:rsidR="0020514B" w:rsidRPr="00304A3B">
        <w:rPr>
          <w:rFonts w:ascii="Times New Roman" w:hAnsi="Times New Roman" w:cs="Times New Roman"/>
        </w:rPr>
        <w:t xml:space="preserve">123 large metro areas. </w:t>
      </w:r>
      <w:r w:rsidR="005A52C5" w:rsidRPr="00304A3B">
        <w:rPr>
          <w:rFonts w:ascii="Times New Roman" w:hAnsi="Times New Roman" w:cs="Times New Roman"/>
        </w:rPr>
        <w:t xml:space="preserve">This sample constitutes the largest </w:t>
      </w:r>
      <w:r w:rsidR="0020514B" w:rsidRPr="00304A3B">
        <w:rPr>
          <w:rFonts w:ascii="Times New Roman" w:hAnsi="Times New Roman" w:cs="Times New Roman"/>
        </w:rPr>
        <w:t xml:space="preserve">metropolitan economies in the world in 2015 at purchasing power parity (PPP) </w:t>
      </w:r>
      <w:r w:rsidR="005A52C5" w:rsidRPr="00304A3B">
        <w:rPr>
          <w:rFonts w:ascii="Times New Roman" w:hAnsi="Times New Roman" w:cs="Times New Roman"/>
        </w:rPr>
        <w:t>rates for which data on these factors were available.</w:t>
      </w:r>
      <w:r w:rsidR="005A52C5" w:rsidRPr="00304A3B">
        <w:rPr>
          <w:rStyle w:val="EndnoteReference"/>
          <w:rFonts w:ascii="Times New Roman" w:hAnsi="Times New Roman" w:cs="Times New Roman"/>
        </w:rPr>
        <w:endnoteReference w:id="43"/>
      </w:r>
      <w:r w:rsidR="005A52C5" w:rsidRPr="00304A3B">
        <w:rPr>
          <w:rFonts w:ascii="Times New Roman" w:hAnsi="Times New Roman" w:cs="Times New Roman"/>
        </w:rPr>
        <w:t xml:space="preserve"> With a few exceptions, these metro areas all tend to have economies larger than $100 billion in nominal terms. </w:t>
      </w:r>
      <w:r w:rsidR="00FA79D1" w:rsidRPr="00304A3B">
        <w:rPr>
          <w:rFonts w:ascii="Times New Roman" w:hAnsi="Times New Roman" w:cs="Times New Roman"/>
        </w:rPr>
        <w:t>The sample’s average population is 7.6 million inhabitants</w:t>
      </w:r>
      <w:r w:rsidR="003F3883" w:rsidRPr="00304A3B">
        <w:rPr>
          <w:rFonts w:ascii="Times New Roman" w:hAnsi="Times New Roman" w:cs="Times New Roman"/>
        </w:rPr>
        <w:t>.</w:t>
      </w:r>
      <w:r w:rsidR="009B01DC" w:rsidRPr="00304A3B">
        <w:rPr>
          <w:rFonts w:ascii="Times New Roman" w:hAnsi="Times New Roman" w:cs="Times New Roman"/>
        </w:rPr>
        <w:t xml:space="preserve"> </w:t>
      </w:r>
      <w:r w:rsidR="005A52C5" w:rsidRPr="00304A3B">
        <w:rPr>
          <w:rFonts w:ascii="Times New Roman" w:hAnsi="Times New Roman" w:cs="Times New Roman"/>
        </w:rPr>
        <w:t xml:space="preserve">As previous studies have shown, including Brookings’ own Global </w:t>
      </w:r>
      <w:proofErr w:type="spellStart"/>
      <w:r w:rsidR="005A52C5" w:rsidRPr="00304A3B">
        <w:rPr>
          <w:rFonts w:ascii="Times New Roman" w:hAnsi="Times New Roman" w:cs="Times New Roman"/>
        </w:rPr>
        <w:t>MetroMonitor</w:t>
      </w:r>
      <w:proofErr w:type="spellEnd"/>
      <w:r w:rsidR="005A52C5" w:rsidRPr="00304A3B">
        <w:rPr>
          <w:rFonts w:ascii="Times New Roman" w:hAnsi="Times New Roman" w:cs="Times New Roman"/>
        </w:rPr>
        <w:t xml:space="preserve"> and studies by the McKinsey Global Institute and World Bank, global growth is not solely powered by these large metro economies</w:t>
      </w:r>
      <w:r w:rsidR="00EC6CF6" w:rsidRPr="00304A3B">
        <w:rPr>
          <w:rFonts w:ascii="Times New Roman" w:hAnsi="Times New Roman" w:cs="Times New Roman"/>
        </w:rPr>
        <w:t>, in fact small and mid-sized cities matter greatly</w:t>
      </w:r>
      <w:r w:rsidR="005A52C5" w:rsidRPr="00304A3B">
        <w:rPr>
          <w:rFonts w:ascii="Times New Roman" w:hAnsi="Times New Roman" w:cs="Times New Roman"/>
        </w:rPr>
        <w:t>.</w:t>
      </w:r>
      <w:r w:rsidR="005A52C5" w:rsidRPr="00304A3B">
        <w:rPr>
          <w:rStyle w:val="EndnoteReference"/>
          <w:rFonts w:ascii="Times New Roman" w:hAnsi="Times New Roman" w:cs="Times New Roman"/>
        </w:rPr>
        <w:endnoteReference w:id="44"/>
      </w:r>
      <w:r w:rsidR="005A52C5" w:rsidRPr="00304A3B">
        <w:rPr>
          <w:rFonts w:ascii="Times New Roman" w:hAnsi="Times New Roman" w:cs="Times New Roman"/>
        </w:rPr>
        <w:t xml:space="preserve"> </w:t>
      </w:r>
      <w:r w:rsidR="0024006B" w:rsidRPr="00304A3B">
        <w:rPr>
          <w:rFonts w:ascii="Times New Roman" w:hAnsi="Times New Roman" w:cs="Times New Roman"/>
        </w:rPr>
        <w:t>Data limitations</w:t>
      </w:r>
      <w:r w:rsidR="004E2ACA" w:rsidRPr="00304A3B">
        <w:rPr>
          <w:rFonts w:ascii="Times New Roman" w:hAnsi="Times New Roman" w:cs="Times New Roman"/>
        </w:rPr>
        <w:t>, however,</w:t>
      </w:r>
      <w:r w:rsidR="0024006B" w:rsidRPr="00304A3B">
        <w:rPr>
          <w:rFonts w:ascii="Times New Roman" w:hAnsi="Times New Roman" w:cs="Times New Roman"/>
        </w:rPr>
        <w:t xml:space="preserve"> prevent us from analyzing a larger sample of economies on all these </w:t>
      </w:r>
      <w:r w:rsidR="004E2ACA" w:rsidRPr="00304A3B">
        <w:rPr>
          <w:rFonts w:ascii="Times New Roman" w:hAnsi="Times New Roman" w:cs="Times New Roman"/>
        </w:rPr>
        <w:t xml:space="preserve">factors. </w:t>
      </w:r>
      <w:r w:rsidR="00EC6CF6" w:rsidRPr="00304A3B">
        <w:rPr>
          <w:rFonts w:ascii="Times New Roman" w:hAnsi="Times New Roman" w:cs="Times New Roman"/>
        </w:rPr>
        <w:t>Given these limitations, we focus on the largest city-regions because they</w:t>
      </w:r>
      <w:r w:rsidR="005A52C5" w:rsidRPr="00304A3B">
        <w:rPr>
          <w:rFonts w:ascii="Times New Roman" w:hAnsi="Times New Roman" w:cs="Times New Roman"/>
        </w:rPr>
        <w:t xml:space="preserve"> uniquely </w:t>
      </w:r>
      <w:r w:rsidR="00264F44" w:rsidRPr="00304A3B">
        <w:rPr>
          <w:rFonts w:ascii="Times New Roman" w:hAnsi="Times New Roman" w:cs="Times New Roman"/>
        </w:rPr>
        <w:t>concentrate</w:t>
      </w:r>
      <w:r w:rsidR="005A52C5" w:rsidRPr="00304A3B">
        <w:rPr>
          <w:rFonts w:ascii="Times New Roman" w:hAnsi="Times New Roman" w:cs="Times New Roman"/>
        </w:rPr>
        <w:t xml:space="preserve"> the assets that undergird global growth</w:t>
      </w:r>
      <w:r w:rsidR="00EC6CF6" w:rsidRPr="00304A3B">
        <w:rPr>
          <w:rFonts w:ascii="Times New Roman" w:hAnsi="Times New Roman" w:cs="Times New Roman"/>
        </w:rPr>
        <w:t xml:space="preserve">. They are the main infrastructure connection points to second and third-tier cities. They </w:t>
      </w:r>
      <w:r w:rsidR="00264F44" w:rsidRPr="00304A3B">
        <w:rPr>
          <w:rFonts w:ascii="Times New Roman" w:hAnsi="Times New Roman" w:cs="Times New Roman"/>
        </w:rPr>
        <w:t>cluster</w:t>
      </w:r>
      <w:r w:rsidR="00EC6CF6" w:rsidRPr="00304A3B">
        <w:rPr>
          <w:rFonts w:ascii="Times New Roman" w:hAnsi="Times New Roman" w:cs="Times New Roman"/>
        </w:rPr>
        <w:t xml:space="preserve"> universities, skilled workers, and other innovation assets that yield the positive externalities and knowledge spillovers that generate endogenous growth.</w:t>
      </w:r>
      <w:r w:rsidR="00EC6CF6" w:rsidRPr="00304A3B">
        <w:rPr>
          <w:rStyle w:val="EndnoteReference"/>
          <w:rFonts w:ascii="Times New Roman" w:hAnsi="Times New Roman" w:cs="Times New Roman"/>
        </w:rPr>
        <w:endnoteReference w:id="45"/>
      </w:r>
      <w:r w:rsidR="00EC6CF6" w:rsidRPr="00304A3B">
        <w:rPr>
          <w:rFonts w:ascii="Times New Roman" w:hAnsi="Times New Roman" w:cs="Times New Roman"/>
        </w:rPr>
        <w:t xml:space="preserve"> </w:t>
      </w:r>
    </w:p>
    <w:p w14:paraId="06CCE77E" w14:textId="1E3C8080" w:rsidR="009C2254" w:rsidRPr="00304A3B" w:rsidRDefault="009C441A" w:rsidP="009C2254">
      <w:pPr>
        <w:spacing w:line="240" w:lineRule="auto"/>
        <w:rPr>
          <w:rFonts w:ascii="Times New Roman" w:hAnsi="Times New Roman" w:cs="Times New Roman"/>
        </w:rPr>
      </w:pPr>
      <w:r w:rsidRPr="00304A3B">
        <w:rPr>
          <w:rFonts w:ascii="Times New Roman" w:hAnsi="Times New Roman" w:cs="Times New Roman"/>
        </w:rPr>
        <w:t xml:space="preserve">This study uses the general definition of a metropolitan area as an economic region with one or more cities and their surrounding areas, all linked by economic and commuting ties (see </w:t>
      </w:r>
      <w:r w:rsidR="00A15AC9" w:rsidRPr="00304A3B">
        <w:rPr>
          <w:rFonts w:ascii="Times New Roman" w:hAnsi="Times New Roman" w:cs="Times New Roman"/>
        </w:rPr>
        <w:t>Appendix A</w:t>
      </w:r>
      <w:r w:rsidRPr="00304A3B">
        <w:rPr>
          <w:rFonts w:ascii="Times New Roman" w:hAnsi="Times New Roman" w:cs="Times New Roman"/>
        </w:rPr>
        <w:t xml:space="preserve">). </w:t>
      </w:r>
      <w:r w:rsidR="005A52C5" w:rsidRPr="00304A3B">
        <w:rPr>
          <w:rFonts w:ascii="Times New Roman" w:hAnsi="Times New Roman" w:cs="Times New Roman"/>
        </w:rPr>
        <w:t xml:space="preserve">These definitions are the same as those used in previous versions of Brookings’ Global </w:t>
      </w:r>
      <w:proofErr w:type="spellStart"/>
      <w:r w:rsidR="005A52C5" w:rsidRPr="00304A3B">
        <w:rPr>
          <w:rFonts w:ascii="Times New Roman" w:hAnsi="Times New Roman" w:cs="Times New Roman"/>
        </w:rPr>
        <w:t>MetroMonitor</w:t>
      </w:r>
      <w:proofErr w:type="spellEnd"/>
      <w:r w:rsidR="005A52C5" w:rsidRPr="00304A3B">
        <w:rPr>
          <w:rFonts w:ascii="Times New Roman" w:hAnsi="Times New Roman" w:cs="Times New Roman"/>
        </w:rPr>
        <w:t xml:space="preserve">. </w:t>
      </w:r>
      <w:r w:rsidR="000D0344" w:rsidRPr="00304A3B">
        <w:rPr>
          <w:rFonts w:ascii="Times New Roman" w:hAnsi="Times New Roman" w:cs="Times New Roman"/>
        </w:rPr>
        <w:t xml:space="preserve">We use the terms city, city-region, metro, metro area, and metro economy interchangeably to describe economic regions. </w:t>
      </w:r>
    </w:p>
    <w:p w14:paraId="28494518" w14:textId="6B8009A5" w:rsidR="0024006B" w:rsidRPr="00304A3B" w:rsidRDefault="0024006B" w:rsidP="0024006B">
      <w:pPr>
        <w:spacing w:line="240" w:lineRule="auto"/>
        <w:rPr>
          <w:rFonts w:ascii="Times New Roman" w:hAnsi="Times New Roman" w:cs="Times New Roman"/>
          <w:b/>
        </w:rPr>
      </w:pPr>
      <w:r w:rsidRPr="00304A3B">
        <w:rPr>
          <w:rFonts w:ascii="Times New Roman" w:hAnsi="Times New Roman" w:cs="Times New Roman"/>
          <w:b/>
        </w:rPr>
        <w:t>Metropolitan Typology</w:t>
      </w:r>
    </w:p>
    <w:p w14:paraId="0FE10B32" w14:textId="28D3D80C" w:rsidR="00A35EC6" w:rsidRPr="00304A3B" w:rsidRDefault="00F60788" w:rsidP="00A35EC6">
      <w:pPr>
        <w:spacing w:after="0" w:line="240" w:lineRule="auto"/>
        <w:rPr>
          <w:rFonts w:ascii="Times New Roman" w:hAnsi="Times New Roman" w:cs="Times New Roman"/>
        </w:rPr>
      </w:pPr>
      <w:r w:rsidRPr="00304A3B">
        <w:rPr>
          <w:rFonts w:ascii="Times New Roman" w:hAnsi="Times New Roman" w:cs="Times New Roman"/>
        </w:rPr>
        <w:t xml:space="preserve">A significant body of research has sought to classify global cities and measure </w:t>
      </w:r>
      <w:r w:rsidR="005262EE" w:rsidRPr="00304A3B">
        <w:rPr>
          <w:rFonts w:ascii="Times New Roman" w:hAnsi="Times New Roman" w:cs="Times New Roman"/>
        </w:rPr>
        <w:t>their economic competitiveness. Perhaps the most commonly known classification of global cities comes from t</w:t>
      </w:r>
      <w:r w:rsidRPr="00304A3B">
        <w:rPr>
          <w:rFonts w:ascii="Times New Roman" w:hAnsi="Times New Roman" w:cs="Times New Roman"/>
        </w:rPr>
        <w:t>he research group Globalization and World Cities (</w:t>
      </w:r>
      <w:proofErr w:type="spellStart"/>
      <w:r w:rsidRPr="00304A3B">
        <w:rPr>
          <w:rFonts w:ascii="Times New Roman" w:hAnsi="Times New Roman" w:cs="Times New Roman"/>
        </w:rPr>
        <w:t>GaWC</w:t>
      </w:r>
      <w:proofErr w:type="spellEnd"/>
      <w:r w:rsidRPr="00304A3B">
        <w:rPr>
          <w:rFonts w:ascii="Times New Roman" w:hAnsi="Times New Roman" w:cs="Times New Roman"/>
        </w:rPr>
        <w:t>)</w:t>
      </w:r>
      <w:r w:rsidR="005262EE" w:rsidRPr="00304A3B">
        <w:rPr>
          <w:rFonts w:ascii="Times New Roman" w:hAnsi="Times New Roman" w:cs="Times New Roman"/>
        </w:rPr>
        <w:t>, which has</w:t>
      </w:r>
      <w:r w:rsidRPr="00304A3B">
        <w:rPr>
          <w:rFonts w:ascii="Times New Roman" w:hAnsi="Times New Roman" w:cs="Times New Roman"/>
        </w:rPr>
        <w:t xml:space="preserve"> provided a rich theoretical and analytical understanding of how cities engage in the global economy through their unique concentrations of advanced services firms.</w:t>
      </w:r>
      <w:r w:rsidRPr="00304A3B">
        <w:rPr>
          <w:rStyle w:val="EndnoteReference"/>
          <w:rFonts w:ascii="Times New Roman" w:hAnsi="Times New Roman" w:cs="Times New Roman"/>
        </w:rPr>
        <w:endnoteReference w:id="46"/>
      </w:r>
      <w:r w:rsidR="00A35EC6" w:rsidRPr="00304A3B">
        <w:rPr>
          <w:rFonts w:ascii="Times New Roman" w:hAnsi="Times New Roman" w:cs="Times New Roman"/>
        </w:rPr>
        <w:t xml:space="preserve"> In their capacity as analysts and investors, multilateral institutions like the OECD and</w:t>
      </w:r>
      <w:r w:rsidR="0034078D" w:rsidRPr="00304A3B">
        <w:rPr>
          <w:rFonts w:ascii="Times New Roman" w:hAnsi="Times New Roman" w:cs="Times New Roman"/>
        </w:rPr>
        <w:t xml:space="preserve"> World Bank offer valuable, rigorous </w:t>
      </w:r>
      <w:r w:rsidR="00A35EC6" w:rsidRPr="00304A3B">
        <w:rPr>
          <w:rFonts w:ascii="Times New Roman" w:hAnsi="Times New Roman" w:cs="Times New Roman"/>
        </w:rPr>
        <w:t xml:space="preserve">assessments of growth and competitiveness in global metro areas. Our colleagues Greg Clark and Tim </w:t>
      </w:r>
      <w:proofErr w:type="spellStart"/>
      <w:r w:rsidR="00A35EC6" w:rsidRPr="00304A3B">
        <w:rPr>
          <w:rFonts w:ascii="Times New Roman" w:hAnsi="Times New Roman" w:cs="Times New Roman"/>
        </w:rPr>
        <w:t>Moonen</w:t>
      </w:r>
      <w:proofErr w:type="spellEnd"/>
      <w:r w:rsidR="00A35EC6" w:rsidRPr="00304A3B">
        <w:rPr>
          <w:rFonts w:ascii="Times New Roman" w:hAnsi="Times New Roman" w:cs="Times New Roman"/>
        </w:rPr>
        <w:t xml:space="preserve"> have found more than 200 indexes that have a global cities focus, from a range of consultants, academics, and advocacy groups.</w:t>
      </w:r>
      <w:r w:rsidR="00A35EC6" w:rsidRPr="00304A3B">
        <w:rPr>
          <w:rStyle w:val="EndnoteReference"/>
          <w:rFonts w:ascii="Times New Roman" w:hAnsi="Times New Roman" w:cs="Times New Roman"/>
        </w:rPr>
        <w:endnoteReference w:id="47"/>
      </w:r>
      <w:r w:rsidR="00A35EC6" w:rsidRPr="00304A3B">
        <w:rPr>
          <w:rFonts w:ascii="Times New Roman" w:hAnsi="Times New Roman" w:cs="Times New Roman"/>
        </w:rPr>
        <w:t xml:space="preserve"> </w:t>
      </w:r>
    </w:p>
    <w:p w14:paraId="43A25C58" w14:textId="77777777" w:rsidR="00A35EC6" w:rsidRPr="00304A3B" w:rsidRDefault="00A35EC6" w:rsidP="00A35EC6">
      <w:pPr>
        <w:spacing w:after="0" w:line="240" w:lineRule="auto"/>
        <w:rPr>
          <w:rFonts w:ascii="Times New Roman" w:hAnsi="Times New Roman" w:cs="Times New Roman"/>
        </w:rPr>
      </w:pPr>
    </w:p>
    <w:p w14:paraId="3D40EB9B" w14:textId="35B50C47" w:rsidR="00694BB3" w:rsidRPr="00304A3B" w:rsidRDefault="00A35EC6" w:rsidP="00A35EC6">
      <w:pPr>
        <w:spacing w:after="0" w:line="240" w:lineRule="auto"/>
        <w:rPr>
          <w:rFonts w:ascii="Times New Roman" w:hAnsi="Times New Roman" w:cs="Times New Roman"/>
        </w:rPr>
      </w:pPr>
      <w:r w:rsidRPr="00304A3B">
        <w:rPr>
          <w:rFonts w:ascii="Times New Roman" w:hAnsi="Times New Roman" w:cs="Times New Roman"/>
        </w:rPr>
        <w:t>In a summary of global city rankings, the Chicago Council on Global Affairs notes “how methodologies, definitions, data use, and conclusions vary wildly from ranking to ranking. It also notes biases and challenges common to many indexes, including the author’s perspective, lack of reliable and internationally comparable data, and the routine presence of lagging indicators.”</w:t>
      </w:r>
      <w:r w:rsidR="0034078D" w:rsidRPr="00304A3B">
        <w:rPr>
          <w:rStyle w:val="EndnoteReference"/>
          <w:rFonts w:ascii="Times New Roman" w:hAnsi="Times New Roman" w:cs="Times New Roman"/>
        </w:rPr>
        <w:t xml:space="preserve"> </w:t>
      </w:r>
      <w:r w:rsidR="0034078D" w:rsidRPr="00304A3B">
        <w:rPr>
          <w:rStyle w:val="EndnoteReference"/>
          <w:rFonts w:ascii="Times New Roman" w:hAnsi="Times New Roman" w:cs="Times New Roman"/>
        </w:rPr>
        <w:endnoteReference w:id="48"/>
      </w:r>
      <w:r w:rsidRPr="00304A3B">
        <w:rPr>
          <w:rFonts w:ascii="Times New Roman" w:hAnsi="Times New Roman" w:cs="Times New Roman"/>
        </w:rPr>
        <w:t xml:space="preserve"> That report concludes that city officials and policymakers</w:t>
      </w:r>
      <w:r w:rsidR="0034078D" w:rsidRPr="00304A3B">
        <w:rPr>
          <w:rFonts w:ascii="Times New Roman" w:hAnsi="Times New Roman" w:cs="Times New Roman"/>
        </w:rPr>
        <w:t xml:space="preserve"> seek out assessments based on standardized data,</w:t>
      </w:r>
      <w:r w:rsidRPr="00304A3B">
        <w:rPr>
          <w:rFonts w:ascii="Times New Roman" w:hAnsi="Times New Roman" w:cs="Times New Roman"/>
        </w:rPr>
        <w:t xml:space="preserve"> look beyond topline rankings</w:t>
      </w:r>
      <w:r w:rsidR="0034078D" w:rsidRPr="00304A3B">
        <w:rPr>
          <w:rFonts w:ascii="Times New Roman" w:hAnsi="Times New Roman" w:cs="Times New Roman"/>
        </w:rPr>
        <w:t>, and</w:t>
      </w:r>
      <w:r w:rsidRPr="00304A3B">
        <w:rPr>
          <w:rFonts w:ascii="Times New Roman" w:hAnsi="Times New Roman" w:cs="Times New Roman"/>
        </w:rPr>
        <w:t xml:space="preserve"> uncover compa</w:t>
      </w:r>
      <w:r w:rsidR="0034078D" w:rsidRPr="00304A3B">
        <w:rPr>
          <w:rFonts w:ascii="Times New Roman" w:hAnsi="Times New Roman" w:cs="Times New Roman"/>
        </w:rPr>
        <w:t>rative strengths and weaknesses</w:t>
      </w:r>
      <w:r w:rsidRPr="00304A3B">
        <w:rPr>
          <w:rFonts w:ascii="Times New Roman" w:hAnsi="Times New Roman" w:cs="Times New Roman"/>
        </w:rPr>
        <w:t xml:space="preserve"> using relevant </w:t>
      </w:r>
      <w:r w:rsidR="0034078D" w:rsidRPr="00304A3B">
        <w:rPr>
          <w:rFonts w:ascii="Times New Roman" w:hAnsi="Times New Roman" w:cs="Times New Roman"/>
        </w:rPr>
        <w:t>peers as a baseline comparison.</w:t>
      </w:r>
    </w:p>
    <w:p w14:paraId="3DB6F853" w14:textId="77777777" w:rsidR="00F60788" w:rsidRPr="00304A3B" w:rsidRDefault="00F60788" w:rsidP="00887D25">
      <w:pPr>
        <w:spacing w:after="0" w:line="240" w:lineRule="auto"/>
        <w:rPr>
          <w:rFonts w:ascii="Times New Roman" w:hAnsi="Times New Roman" w:cs="Times New Roman"/>
        </w:rPr>
      </w:pPr>
    </w:p>
    <w:p w14:paraId="29FEEC7D" w14:textId="5545CB66" w:rsidR="001D7FCD" w:rsidRPr="00304A3B" w:rsidRDefault="00BA313A" w:rsidP="00887D25">
      <w:pPr>
        <w:spacing w:after="0" w:line="240" w:lineRule="auto"/>
        <w:rPr>
          <w:rFonts w:ascii="Times New Roman" w:hAnsi="Times New Roman" w:cs="Times New Roman"/>
        </w:rPr>
      </w:pPr>
      <w:r>
        <w:rPr>
          <w:rFonts w:ascii="Times New Roman" w:hAnsi="Times New Roman" w:cs="Times New Roman"/>
        </w:rPr>
        <w:t>Against the backdrop of these previous efforts, w</w:t>
      </w:r>
      <w:r w:rsidR="00492676" w:rsidRPr="00304A3B">
        <w:rPr>
          <w:rFonts w:ascii="Times New Roman" w:hAnsi="Times New Roman" w:cs="Times New Roman"/>
        </w:rPr>
        <w:t xml:space="preserve">e </w:t>
      </w:r>
      <w:r w:rsidR="00247A54" w:rsidRPr="00304A3B">
        <w:rPr>
          <w:rFonts w:ascii="Times New Roman" w:hAnsi="Times New Roman" w:cs="Times New Roman"/>
        </w:rPr>
        <w:t>develop</w:t>
      </w:r>
      <w:r w:rsidR="00492676" w:rsidRPr="00304A3B">
        <w:rPr>
          <w:rFonts w:ascii="Times New Roman" w:hAnsi="Times New Roman" w:cs="Times New Roman"/>
        </w:rPr>
        <w:t xml:space="preserve"> a metropolitan typology </w:t>
      </w:r>
      <w:r w:rsidR="00784896" w:rsidRPr="00304A3B">
        <w:rPr>
          <w:rFonts w:ascii="Times New Roman" w:hAnsi="Times New Roman" w:cs="Times New Roman"/>
        </w:rPr>
        <w:t xml:space="preserve">based on </w:t>
      </w:r>
      <w:r w:rsidR="00247A54" w:rsidRPr="00304A3B">
        <w:rPr>
          <w:rFonts w:ascii="Times New Roman" w:hAnsi="Times New Roman" w:cs="Times New Roman"/>
        </w:rPr>
        <w:t xml:space="preserve">regional </w:t>
      </w:r>
      <w:r w:rsidR="00784896" w:rsidRPr="00304A3B">
        <w:rPr>
          <w:rFonts w:ascii="Times New Roman" w:hAnsi="Times New Roman" w:cs="Times New Roman"/>
        </w:rPr>
        <w:t>economic characterist</w:t>
      </w:r>
      <w:r w:rsidR="0034078D" w:rsidRPr="00304A3B">
        <w:rPr>
          <w:rFonts w:ascii="Times New Roman" w:hAnsi="Times New Roman" w:cs="Times New Roman"/>
        </w:rPr>
        <w:t>ics and competitiveness factors.</w:t>
      </w:r>
      <w:r w:rsidR="00784896" w:rsidRPr="00304A3B">
        <w:rPr>
          <w:rFonts w:ascii="Times New Roman" w:hAnsi="Times New Roman" w:cs="Times New Roman"/>
        </w:rPr>
        <w:t xml:space="preserve"> Classifying and identifying peers allows policymakers and stakeholders to better understand the position of their economies in a globalized context as well as to conduct constructive benchmarking</w:t>
      </w:r>
      <w:r w:rsidR="00784896" w:rsidRPr="00304A3B">
        <w:rPr>
          <w:rFonts w:ascii="Times New Roman" w:eastAsia="Times New Roman" w:hAnsi="Times New Roman" w:cs="Times New Roman"/>
        </w:rPr>
        <w:t>.</w:t>
      </w:r>
      <w:r w:rsidR="00887D25" w:rsidRPr="00304A3B">
        <w:rPr>
          <w:rFonts w:ascii="Times New Roman" w:eastAsia="Times New Roman" w:hAnsi="Times New Roman" w:cs="Times New Roman"/>
        </w:rPr>
        <w:t xml:space="preserve"> </w:t>
      </w:r>
      <w:r w:rsidR="00784896" w:rsidRPr="00304A3B">
        <w:rPr>
          <w:rFonts w:ascii="Times New Roman" w:hAnsi="Times New Roman" w:cs="Times New Roman"/>
        </w:rPr>
        <w:t>To select peers we utilized a combination of principal components analysis (PCA), k-means clustering, and agglomerative hierarchical clustering.</w:t>
      </w:r>
      <w:r w:rsidR="00247A54" w:rsidRPr="00304A3B">
        <w:rPr>
          <w:rFonts w:ascii="Times New Roman" w:hAnsi="Times New Roman" w:cs="Times New Roman"/>
          <w:vertAlign w:val="superscript"/>
        </w:rPr>
        <w:endnoteReference w:id="49"/>
      </w:r>
      <w:r w:rsidR="00247A54" w:rsidRPr="00304A3B">
        <w:rPr>
          <w:rFonts w:ascii="Times New Roman" w:hAnsi="Times New Roman" w:cs="Times New Roman"/>
        </w:rPr>
        <w:t xml:space="preserve"> </w:t>
      </w:r>
      <w:r w:rsidR="00784896" w:rsidRPr="00304A3B">
        <w:rPr>
          <w:rFonts w:ascii="Times New Roman" w:hAnsi="Times New Roman" w:cs="Times New Roman"/>
        </w:rPr>
        <w:t xml:space="preserve">These commonly used data science techniques allowed us to group metro areas with their closest peers given a set of economic and competitiveness indicators. We used 35 variables in the PCA analysis (see Table 1). </w:t>
      </w:r>
      <w:r w:rsidR="004E2ACA" w:rsidRPr="00304A3B">
        <w:rPr>
          <w:rFonts w:ascii="Times New Roman" w:hAnsi="Times New Roman" w:cs="Times New Roman"/>
        </w:rPr>
        <w:lastRenderedPageBreak/>
        <w:t>We do not include change-over-time metrics in the clustering algorithm</w:t>
      </w:r>
      <w:r w:rsidR="0034078D" w:rsidRPr="00304A3B">
        <w:rPr>
          <w:rFonts w:ascii="Times New Roman" w:hAnsi="Times New Roman" w:cs="Times New Roman"/>
        </w:rPr>
        <w:t>, but analyze change variables within and across metropolitan groupings to summarize key trends</w:t>
      </w:r>
      <w:r w:rsidR="004E2ACA" w:rsidRPr="00304A3B">
        <w:rPr>
          <w:rFonts w:ascii="Times New Roman" w:hAnsi="Times New Roman" w:cs="Times New Roman"/>
        </w:rPr>
        <w:t xml:space="preserve">. </w:t>
      </w:r>
      <w:r w:rsidR="00887D25" w:rsidRPr="00304A3B">
        <w:rPr>
          <w:rFonts w:ascii="Times New Roman" w:hAnsi="Times New Roman" w:cs="Times New Roman"/>
        </w:rPr>
        <w:t xml:space="preserve">For more details, see </w:t>
      </w:r>
      <w:r w:rsidR="00A15AC9" w:rsidRPr="00304A3B">
        <w:rPr>
          <w:rFonts w:ascii="Times New Roman" w:hAnsi="Times New Roman" w:cs="Times New Roman"/>
        </w:rPr>
        <w:t>Appendix A</w:t>
      </w:r>
      <w:r w:rsidR="00887D25" w:rsidRPr="00304A3B">
        <w:rPr>
          <w:rFonts w:ascii="Times New Roman" w:hAnsi="Times New Roman" w:cs="Times New Roman"/>
        </w:rPr>
        <w:t xml:space="preserve">. </w:t>
      </w:r>
    </w:p>
    <w:p w14:paraId="5C2025E1" w14:textId="77777777" w:rsidR="00887D25" w:rsidRPr="00304A3B" w:rsidRDefault="00887D25" w:rsidP="00887D25">
      <w:pPr>
        <w:spacing w:after="0" w:line="240" w:lineRule="auto"/>
        <w:rPr>
          <w:rFonts w:ascii="Times New Roman" w:hAnsi="Times New Roman" w:cs="Times New Roman"/>
          <w:b/>
        </w:rPr>
      </w:pPr>
    </w:p>
    <w:p w14:paraId="42FA59C9" w14:textId="744D1B64" w:rsidR="001D7FCD" w:rsidRPr="00304A3B" w:rsidRDefault="001D7FCD" w:rsidP="001D7FCD">
      <w:pPr>
        <w:tabs>
          <w:tab w:val="left" w:pos="3131"/>
        </w:tabs>
        <w:spacing w:line="240" w:lineRule="auto"/>
        <w:contextualSpacing/>
        <w:rPr>
          <w:rFonts w:ascii="Times New Roman" w:hAnsi="Times New Roman" w:cs="Times New Roman"/>
          <w:b/>
        </w:rPr>
      </w:pPr>
      <w:proofErr w:type="gramStart"/>
      <w:r w:rsidRPr="00304A3B">
        <w:rPr>
          <w:rFonts w:ascii="Times New Roman" w:hAnsi="Times New Roman" w:cs="Times New Roman"/>
          <w:b/>
        </w:rPr>
        <w:t>Table 1.</w:t>
      </w:r>
      <w:proofErr w:type="gramEnd"/>
      <w:r w:rsidRPr="00304A3B">
        <w:rPr>
          <w:rFonts w:ascii="Times New Roman" w:hAnsi="Times New Roman" w:cs="Times New Roman"/>
          <w:b/>
        </w:rPr>
        <w:t xml:space="preserve"> Indicators used in the clustering </w:t>
      </w:r>
      <w:r w:rsidR="009363BE">
        <w:rPr>
          <w:rFonts w:ascii="Times New Roman" w:hAnsi="Times New Roman" w:cs="Times New Roman"/>
          <w:b/>
        </w:rPr>
        <w:t>algorithm, 2015 or most recent year available</w:t>
      </w:r>
    </w:p>
    <w:p w14:paraId="19533D4D" w14:textId="77777777" w:rsidR="001D7FCD" w:rsidRPr="00304A3B" w:rsidRDefault="001D7FCD" w:rsidP="001D7FCD">
      <w:pPr>
        <w:tabs>
          <w:tab w:val="left" w:pos="3131"/>
        </w:tabs>
        <w:spacing w:line="240" w:lineRule="auto"/>
        <w:contextualSpacing/>
        <w:rPr>
          <w:rFonts w:ascii="Times New Roman" w:hAnsi="Times New Roman" w:cs="Times New Roman"/>
        </w:rPr>
      </w:pPr>
    </w:p>
    <w:p w14:paraId="495C5317" w14:textId="0006FCD9" w:rsidR="001D7FCD" w:rsidRPr="00304A3B" w:rsidRDefault="001D7FCD" w:rsidP="001D7FCD">
      <w:pPr>
        <w:tabs>
          <w:tab w:val="left" w:pos="3131"/>
        </w:tabs>
        <w:spacing w:line="240" w:lineRule="auto"/>
        <w:contextualSpacing/>
        <w:rPr>
          <w:rFonts w:ascii="Times New Roman" w:hAnsi="Times New Roman" w:cs="Times New Roman"/>
        </w:rPr>
      </w:pPr>
    </w:p>
    <w:p w14:paraId="271EB540" w14:textId="407AF668" w:rsidR="00520401" w:rsidRPr="00304A3B" w:rsidRDefault="00520401" w:rsidP="001D7FCD">
      <w:pPr>
        <w:tabs>
          <w:tab w:val="left" w:pos="3131"/>
        </w:tabs>
        <w:spacing w:line="240" w:lineRule="auto"/>
        <w:contextualSpacing/>
        <w:rPr>
          <w:rFonts w:ascii="Times New Roman" w:hAnsi="Times New Roman" w:cs="Times New Roman"/>
        </w:rPr>
      </w:pPr>
      <w:r w:rsidRPr="00304A3B">
        <w:rPr>
          <w:rFonts w:ascii="Times New Roman" w:hAnsi="Times New Roman" w:cs="Times New Roman"/>
        </w:rPr>
        <w:t xml:space="preserve">This report creates metropolitan groupings based on these factors, summarizes the distinguishing characteristics of each group, and then examines trends within each using a range of indicators. </w:t>
      </w:r>
      <w:r w:rsidR="005525C3" w:rsidRPr="00304A3B">
        <w:rPr>
          <w:rFonts w:ascii="Times New Roman" w:hAnsi="Times New Roman" w:cs="Times New Roman"/>
        </w:rPr>
        <w:t>It is important to clarify the two ways in which we use these data. First, we use point-in-time data to create the metropolitan typology. Those indicators and their vintage are outlined in Table 1. Second, we examine change-over-time trends for these same indicators within the analysis</w:t>
      </w:r>
      <w:r w:rsidRPr="00304A3B">
        <w:rPr>
          <w:rFonts w:ascii="Times New Roman" w:hAnsi="Times New Roman" w:cs="Times New Roman"/>
        </w:rPr>
        <w:t>.</w:t>
      </w:r>
      <w:r w:rsidR="005525C3" w:rsidRPr="00304A3B">
        <w:rPr>
          <w:rFonts w:ascii="Times New Roman" w:hAnsi="Times New Roman" w:cs="Times New Roman"/>
        </w:rPr>
        <w:t xml:space="preserve"> The variables used to measure competitiveness factors come from a variety of sources, including public and private datasets, and as a result the periods for which we can measure key characteristics </w:t>
      </w:r>
      <w:proofErr w:type="gramStart"/>
      <w:r w:rsidR="005525C3" w:rsidRPr="00304A3B">
        <w:rPr>
          <w:rFonts w:ascii="Times New Roman" w:hAnsi="Times New Roman" w:cs="Times New Roman"/>
        </w:rPr>
        <w:t>varies</w:t>
      </w:r>
      <w:proofErr w:type="gramEnd"/>
      <w:r w:rsidR="005525C3" w:rsidRPr="00304A3B">
        <w:rPr>
          <w:rFonts w:ascii="Times New Roman" w:hAnsi="Times New Roman" w:cs="Times New Roman"/>
        </w:rPr>
        <w:t xml:space="preserve"> considerably. The analysis of economic and industrial characteristics looks at data between 2000 and 2015; for flows of Greenfield FDI we use data corresponding to 2009-2015; for venture capital flows we use data for the 2006-2015 period; the patents data looks at stock of patents between 2008-2012; to measure impact of university research we use the 2010-2013 period; the analysis of population with tertiary education corresponds to 2014 or latest year available; the analysis of foreign-born share of total population looks at the latest year available; aviation passengers uses data for 2004 and 2014; and internet average download speeds corresponds to the 2008-2015 period.</w:t>
      </w:r>
      <w:r w:rsidR="005525C3" w:rsidRPr="00304A3B">
        <w:t xml:space="preserve"> </w:t>
      </w:r>
      <w:r w:rsidR="005525C3" w:rsidRPr="00304A3B">
        <w:rPr>
          <w:rFonts w:ascii="Times New Roman" w:hAnsi="Times New Roman" w:cs="Times New Roman"/>
        </w:rPr>
        <w:t>For a more detailed description of the data sources please see Appendix A.</w:t>
      </w:r>
      <w:r w:rsidR="00F75005" w:rsidRPr="00304A3B">
        <w:rPr>
          <w:rStyle w:val="EndnoteReference"/>
          <w:rFonts w:ascii="Times New Roman" w:hAnsi="Times New Roman" w:cs="Times New Roman"/>
        </w:rPr>
        <w:t xml:space="preserve"> </w:t>
      </w:r>
    </w:p>
    <w:p w14:paraId="210A5D4E" w14:textId="0670E739" w:rsidR="00492676" w:rsidRPr="00304A3B" w:rsidRDefault="00492676" w:rsidP="00492676">
      <w:pPr>
        <w:pStyle w:val="ListParagraph"/>
        <w:numPr>
          <w:ilvl w:val="0"/>
          <w:numId w:val="19"/>
        </w:numPr>
        <w:spacing w:line="240" w:lineRule="auto"/>
        <w:rPr>
          <w:rFonts w:ascii="Times New Roman" w:hAnsi="Times New Roman" w:cs="Times New Roman"/>
          <w:b/>
        </w:rPr>
      </w:pPr>
      <w:r w:rsidRPr="00304A3B">
        <w:rPr>
          <w:rFonts w:ascii="Times New Roman" w:hAnsi="Times New Roman" w:cs="Times New Roman"/>
          <w:b/>
        </w:rPr>
        <w:t>Mapping the Economic Assets of Global Cities</w:t>
      </w:r>
    </w:p>
    <w:p w14:paraId="74A4D5D7" w14:textId="50C6252A" w:rsidR="00DC577E" w:rsidRPr="00304A3B" w:rsidRDefault="00F336AB" w:rsidP="00F336AB">
      <w:pPr>
        <w:spacing w:line="240" w:lineRule="auto"/>
        <w:rPr>
          <w:rFonts w:ascii="Times New Roman" w:hAnsi="Times New Roman" w:cs="Times New Roman"/>
        </w:rPr>
      </w:pPr>
      <w:r w:rsidRPr="00304A3B">
        <w:rPr>
          <w:rFonts w:ascii="Times New Roman" w:hAnsi="Times New Roman" w:cs="Times New Roman"/>
        </w:rPr>
        <w:t xml:space="preserve">The world’s large metropolitan </w:t>
      </w:r>
      <w:r w:rsidR="00194787" w:rsidRPr="00304A3B">
        <w:rPr>
          <w:rFonts w:ascii="Times New Roman" w:hAnsi="Times New Roman" w:cs="Times New Roman"/>
        </w:rPr>
        <w:t>areas</w:t>
      </w:r>
      <w:r w:rsidRPr="00304A3B">
        <w:rPr>
          <w:rFonts w:ascii="Times New Roman" w:hAnsi="Times New Roman" w:cs="Times New Roman"/>
        </w:rPr>
        <w:t xml:space="preserve"> are notable in their </w:t>
      </w:r>
      <w:r w:rsidR="00194787" w:rsidRPr="00304A3B">
        <w:rPr>
          <w:rFonts w:ascii="Times New Roman" w:hAnsi="Times New Roman" w:cs="Times New Roman"/>
        </w:rPr>
        <w:t xml:space="preserve">economic </w:t>
      </w:r>
      <w:r w:rsidRPr="00304A3B">
        <w:rPr>
          <w:rFonts w:ascii="Times New Roman" w:hAnsi="Times New Roman" w:cs="Times New Roman"/>
        </w:rPr>
        <w:t xml:space="preserve">primacy. </w:t>
      </w:r>
      <w:r w:rsidR="004A5537" w:rsidRPr="00304A3B">
        <w:rPr>
          <w:rFonts w:ascii="Times New Roman" w:hAnsi="Times New Roman" w:cs="Times New Roman"/>
        </w:rPr>
        <w:t xml:space="preserve">With about 13 percent of the world’s people, </w:t>
      </w:r>
      <w:r w:rsidR="004A5607" w:rsidRPr="00304A3B">
        <w:rPr>
          <w:rFonts w:ascii="Times New Roman" w:hAnsi="Times New Roman" w:cs="Times New Roman"/>
        </w:rPr>
        <w:t>123 large metro economies</w:t>
      </w:r>
      <w:r w:rsidR="004A5537" w:rsidRPr="00304A3B">
        <w:rPr>
          <w:rFonts w:ascii="Times New Roman" w:hAnsi="Times New Roman" w:cs="Times New Roman"/>
        </w:rPr>
        <w:t xml:space="preserve"> generate nearly one-third of global economic output. </w:t>
      </w:r>
      <w:r w:rsidR="00DC577E" w:rsidRPr="00304A3B">
        <w:rPr>
          <w:rFonts w:ascii="Times New Roman" w:hAnsi="Times New Roman" w:cs="Times New Roman"/>
        </w:rPr>
        <w:t>Nearly all of these metro economies generate more than $100 billion in annual economic output (in nominal terms), led by Tokyo ($1.6 trillion) and New York ($1.5 trillion).</w:t>
      </w:r>
      <w:r w:rsidR="00DC577E" w:rsidRPr="00304A3B">
        <w:rPr>
          <w:rStyle w:val="EndnoteReference"/>
          <w:rFonts w:ascii="Times New Roman" w:hAnsi="Times New Roman" w:cs="Times New Roman"/>
        </w:rPr>
        <w:endnoteReference w:id="50"/>
      </w:r>
      <w:r w:rsidR="00DC577E" w:rsidRPr="00304A3B">
        <w:rPr>
          <w:rFonts w:ascii="Times New Roman" w:hAnsi="Times New Roman" w:cs="Times New Roman"/>
        </w:rPr>
        <w:t xml:space="preserve"> </w:t>
      </w:r>
    </w:p>
    <w:p w14:paraId="230D318C" w14:textId="69022322" w:rsidR="004C2C6A" w:rsidRPr="00304A3B" w:rsidRDefault="004A5607" w:rsidP="00F336AB">
      <w:pPr>
        <w:spacing w:line="240" w:lineRule="auto"/>
        <w:rPr>
          <w:rFonts w:ascii="Times New Roman" w:hAnsi="Times New Roman" w:cs="Times New Roman"/>
        </w:rPr>
      </w:pPr>
      <w:r w:rsidRPr="00304A3B">
        <w:rPr>
          <w:rFonts w:ascii="Times New Roman" w:hAnsi="Times New Roman" w:cs="Times New Roman"/>
        </w:rPr>
        <w:t>These metros</w:t>
      </w:r>
      <w:r w:rsidR="00F336AB" w:rsidRPr="00304A3B">
        <w:rPr>
          <w:rFonts w:ascii="Times New Roman" w:hAnsi="Times New Roman" w:cs="Times New Roman"/>
        </w:rPr>
        <w:t xml:space="preserve"> </w:t>
      </w:r>
      <w:r w:rsidR="00194787" w:rsidRPr="00304A3B">
        <w:rPr>
          <w:rFonts w:ascii="Times New Roman" w:hAnsi="Times New Roman" w:cs="Times New Roman"/>
        </w:rPr>
        <w:t>concentrate economic activity because they house the competitiveness assets required to</w:t>
      </w:r>
      <w:r w:rsidR="004A5537" w:rsidRPr="00304A3B">
        <w:rPr>
          <w:rFonts w:ascii="Times New Roman" w:hAnsi="Times New Roman" w:cs="Times New Roman"/>
        </w:rPr>
        <w:t xml:space="preserve"> drive global growth. They are important nodes for investment, attracting more than $5.4 trillion in Greenfield forei</w:t>
      </w:r>
      <w:r w:rsidR="004C2C6A" w:rsidRPr="00304A3B">
        <w:rPr>
          <w:rFonts w:ascii="Times New Roman" w:hAnsi="Times New Roman" w:cs="Times New Roman"/>
        </w:rPr>
        <w:t>gn direct investment (FDI) since 2009</w:t>
      </w:r>
      <w:r w:rsidR="003902E7">
        <w:rPr>
          <w:rFonts w:ascii="Times New Roman" w:hAnsi="Times New Roman" w:cs="Times New Roman"/>
        </w:rPr>
        <w:t>, more than one-quarter of the global total</w:t>
      </w:r>
      <w:r w:rsidR="004C2C6A" w:rsidRPr="00304A3B">
        <w:rPr>
          <w:rFonts w:ascii="Times New Roman" w:hAnsi="Times New Roman" w:cs="Times New Roman"/>
        </w:rPr>
        <w:t xml:space="preserve">. </w:t>
      </w:r>
      <w:r w:rsidR="00247A54" w:rsidRPr="00304A3B">
        <w:rPr>
          <w:rFonts w:ascii="Times New Roman" w:hAnsi="Times New Roman" w:cs="Times New Roman"/>
        </w:rPr>
        <w:t>Asian metro areas</w:t>
      </w:r>
      <w:r w:rsidR="004C2C6A" w:rsidRPr="00304A3B">
        <w:rPr>
          <w:rFonts w:ascii="Times New Roman" w:hAnsi="Times New Roman" w:cs="Times New Roman"/>
        </w:rPr>
        <w:t xml:space="preserve"> have attracted the most FDI since 2009</w:t>
      </w:r>
      <w:r w:rsidR="00247A54" w:rsidRPr="00304A3B">
        <w:rPr>
          <w:rFonts w:ascii="Times New Roman" w:hAnsi="Times New Roman" w:cs="Times New Roman"/>
        </w:rPr>
        <w:t>: s</w:t>
      </w:r>
      <w:r w:rsidR="004C2C6A" w:rsidRPr="00304A3B">
        <w:rPr>
          <w:rFonts w:ascii="Times New Roman" w:hAnsi="Times New Roman" w:cs="Times New Roman"/>
        </w:rPr>
        <w:t xml:space="preserve">ix of the top ten largest inflows were destined for Asian metro areas, including Singapore, Shanghai, Hong Kong, Beijing, Suzhou, and Chongqing. When controlling for population size, FDI concentrations are still greatest in many of these Asian metros, but smaller metro economies in the United States (Austin and Vancouver), Europe (Birmingham and Barcelona), and Australia (Sydney) also join the top 10.     </w:t>
      </w:r>
    </w:p>
    <w:p w14:paraId="12923428" w14:textId="0DD8C3E6" w:rsidR="00A32792" w:rsidRPr="00304A3B" w:rsidRDefault="004C2C6A" w:rsidP="00A32792">
      <w:pPr>
        <w:spacing w:line="240" w:lineRule="auto"/>
        <w:rPr>
          <w:rFonts w:ascii="Times New Roman" w:hAnsi="Times New Roman" w:cs="Times New Roman"/>
        </w:rPr>
      </w:pPr>
      <w:r w:rsidRPr="00304A3B">
        <w:rPr>
          <w:rFonts w:ascii="Times New Roman" w:hAnsi="Times New Roman" w:cs="Times New Roman"/>
        </w:rPr>
        <w:t>These metro economies a</w:t>
      </w:r>
      <w:r w:rsidR="004A5537" w:rsidRPr="00304A3B">
        <w:rPr>
          <w:rFonts w:ascii="Times New Roman" w:hAnsi="Times New Roman" w:cs="Times New Roman"/>
        </w:rPr>
        <w:t>re critical generators of new scientific research and innovation</w:t>
      </w:r>
      <w:r w:rsidRPr="00304A3B">
        <w:rPr>
          <w:rFonts w:ascii="Times New Roman" w:hAnsi="Times New Roman" w:cs="Times New Roman"/>
        </w:rPr>
        <w:t>. Together, they account for 4</w:t>
      </w:r>
      <w:r w:rsidR="004A5537" w:rsidRPr="00304A3B">
        <w:rPr>
          <w:rFonts w:ascii="Times New Roman" w:hAnsi="Times New Roman" w:cs="Times New Roman"/>
        </w:rPr>
        <w:t xml:space="preserve">4 percent of the world’s most scientifically impactful research universities, </w:t>
      </w:r>
      <w:r w:rsidRPr="00304A3B">
        <w:rPr>
          <w:rFonts w:ascii="Times New Roman" w:hAnsi="Times New Roman" w:cs="Times New Roman"/>
        </w:rPr>
        <w:t>generate</w:t>
      </w:r>
      <w:r w:rsidR="004A5537" w:rsidRPr="00304A3B">
        <w:rPr>
          <w:rFonts w:ascii="Times New Roman" w:hAnsi="Times New Roman" w:cs="Times New Roman"/>
        </w:rPr>
        <w:t xml:space="preserve"> 65 percent of all patents, and </w:t>
      </w:r>
      <w:r w:rsidRPr="00304A3B">
        <w:rPr>
          <w:rFonts w:ascii="Times New Roman" w:hAnsi="Times New Roman" w:cs="Times New Roman"/>
        </w:rPr>
        <w:t>attract</w:t>
      </w:r>
      <w:r w:rsidR="004A5537" w:rsidRPr="00304A3B">
        <w:rPr>
          <w:rFonts w:ascii="Times New Roman" w:hAnsi="Times New Roman" w:cs="Times New Roman"/>
        </w:rPr>
        <w:t xml:space="preserve"> 82 </w:t>
      </w:r>
      <w:r w:rsidRPr="00304A3B">
        <w:rPr>
          <w:rFonts w:ascii="Times New Roman" w:hAnsi="Times New Roman" w:cs="Times New Roman"/>
        </w:rPr>
        <w:t xml:space="preserve">percent of all venture capital. A different set of metro economies leads in this regard. The largest patent producing metros are among the largest economies in the world, including Tokyo, Seoul-Incheon, Shenzhen, Osaka, and San Jose. In terms of patents per capita, a smaller set of highly innovative cities rises to the top: San Jose, San Diego, San Francisco, Boston, and Stuttgart. </w:t>
      </w:r>
      <w:r w:rsidR="00A32792" w:rsidRPr="00304A3B">
        <w:rPr>
          <w:rFonts w:ascii="Times New Roman" w:hAnsi="Times New Roman" w:cs="Times New Roman"/>
        </w:rPr>
        <w:t xml:space="preserve">Many of these metro areas are also among the most-educated in the world. San Jose, San Francisco, and Boston join Singapore, London, Washington, and Madrid as the metros with the </w:t>
      </w:r>
      <w:r w:rsidR="00247A54" w:rsidRPr="00304A3B">
        <w:rPr>
          <w:rFonts w:ascii="Times New Roman" w:hAnsi="Times New Roman" w:cs="Times New Roman"/>
        </w:rPr>
        <w:t xml:space="preserve">highest shares of their population </w:t>
      </w:r>
      <w:r w:rsidR="00A32792" w:rsidRPr="00304A3B">
        <w:rPr>
          <w:rFonts w:ascii="Times New Roman" w:hAnsi="Times New Roman" w:cs="Times New Roman"/>
        </w:rPr>
        <w:t>with tertiary education.</w:t>
      </w:r>
    </w:p>
    <w:p w14:paraId="0156315A" w14:textId="76BF58CB" w:rsidR="00430E4A" w:rsidRPr="00304A3B" w:rsidRDefault="002E19C9" w:rsidP="00247A54">
      <w:pPr>
        <w:spacing w:after="0" w:line="240" w:lineRule="auto"/>
        <w:rPr>
          <w:rFonts w:ascii="Times New Roman" w:hAnsi="Times New Roman" w:cs="Times New Roman"/>
          <w:b/>
        </w:rPr>
      </w:pPr>
      <w:proofErr w:type="gramStart"/>
      <w:r w:rsidRPr="00304A3B">
        <w:rPr>
          <w:rFonts w:ascii="Times New Roman" w:hAnsi="Times New Roman" w:cs="Times New Roman"/>
          <w:b/>
        </w:rPr>
        <w:t>Figure 1.</w:t>
      </w:r>
      <w:proofErr w:type="gramEnd"/>
      <w:r w:rsidRPr="00304A3B">
        <w:rPr>
          <w:rFonts w:ascii="Times New Roman" w:hAnsi="Times New Roman" w:cs="Times New Roman"/>
          <w:b/>
        </w:rPr>
        <w:t xml:space="preserve"> Global </w:t>
      </w:r>
      <w:r w:rsidR="009363BE">
        <w:rPr>
          <w:rFonts w:ascii="Times New Roman" w:hAnsi="Times New Roman" w:cs="Times New Roman"/>
          <w:b/>
        </w:rPr>
        <w:t>s</w:t>
      </w:r>
      <w:r w:rsidRPr="00304A3B">
        <w:rPr>
          <w:rFonts w:ascii="Times New Roman" w:hAnsi="Times New Roman" w:cs="Times New Roman"/>
          <w:b/>
        </w:rPr>
        <w:t xml:space="preserve">hare of </w:t>
      </w:r>
      <w:r w:rsidR="009363BE">
        <w:rPr>
          <w:rFonts w:ascii="Times New Roman" w:hAnsi="Times New Roman" w:cs="Times New Roman"/>
          <w:b/>
        </w:rPr>
        <w:t>c</w:t>
      </w:r>
      <w:r w:rsidRPr="00304A3B">
        <w:rPr>
          <w:rFonts w:ascii="Times New Roman" w:hAnsi="Times New Roman" w:cs="Times New Roman"/>
          <w:b/>
        </w:rPr>
        <w:t xml:space="preserve">ompetitiveness </w:t>
      </w:r>
      <w:r w:rsidR="009363BE">
        <w:rPr>
          <w:rFonts w:ascii="Times New Roman" w:hAnsi="Times New Roman" w:cs="Times New Roman"/>
          <w:b/>
        </w:rPr>
        <w:t>f</w:t>
      </w:r>
      <w:r w:rsidRPr="00304A3B">
        <w:rPr>
          <w:rFonts w:ascii="Times New Roman" w:hAnsi="Times New Roman" w:cs="Times New Roman"/>
          <w:b/>
        </w:rPr>
        <w:t xml:space="preserve">actors, 123 </w:t>
      </w:r>
      <w:r w:rsidR="009363BE">
        <w:rPr>
          <w:rFonts w:ascii="Times New Roman" w:hAnsi="Times New Roman" w:cs="Times New Roman"/>
          <w:b/>
        </w:rPr>
        <w:t>l</w:t>
      </w:r>
      <w:r w:rsidRPr="00304A3B">
        <w:rPr>
          <w:rFonts w:ascii="Times New Roman" w:hAnsi="Times New Roman" w:cs="Times New Roman"/>
          <w:b/>
        </w:rPr>
        <w:t xml:space="preserve">argest </w:t>
      </w:r>
      <w:r w:rsidR="009363BE">
        <w:rPr>
          <w:rFonts w:ascii="Times New Roman" w:hAnsi="Times New Roman" w:cs="Times New Roman"/>
          <w:b/>
        </w:rPr>
        <w:t>m</w:t>
      </w:r>
      <w:r w:rsidRPr="00304A3B">
        <w:rPr>
          <w:rFonts w:ascii="Times New Roman" w:hAnsi="Times New Roman" w:cs="Times New Roman"/>
          <w:b/>
        </w:rPr>
        <w:t>etros</w:t>
      </w:r>
      <w:r w:rsidR="00E02F56">
        <w:rPr>
          <w:rFonts w:ascii="Times New Roman" w:hAnsi="Times New Roman" w:cs="Times New Roman"/>
          <w:b/>
        </w:rPr>
        <w:t>, 2015 or most recent year available</w:t>
      </w:r>
    </w:p>
    <w:p w14:paraId="1334FEF1" w14:textId="5BD7AE9D" w:rsidR="00430E4A" w:rsidRPr="00304A3B" w:rsidRDefault="00430E4A" w:rsidP="00430E4A">
      <w:pPr>
        <w:spacing w:line="240" w:lineRule="auto"/>
        <w:jc w:val="center"/>
        <w:rPr>
          <w:rFonts w:ascii="Times New Roman" w:hAnsi="Times New Roman" w:cs="Times New Roman"/>
        </w:rPr>
      </w:pPr>
    </w:p>
    <w:p w14:paraId="31BE4BA7" w14:textId="0BA4DE48" w:rsidR="004A5537" w:rsidRPr="00304A3B" w:rsidRDefault="00A32792" w:rsidP="005525C3">
      <w:pPr>
        <w:spacing w:line="240" w:lineRule="auto"/>
        <w:rPr>
          <w:rFonts w:ascii="Times New Roman" w:hAnsi="Times New Roman" w:cs="Times New Roman"/>
        </w:rPr>
      </w:pPr>
      <w:r w:rsidRPr="00304A3B">
        <w:rPr>
          <w:rFonts w:ascii="Times New Roman" w:hAnsi="Times New Roman" w:cs="Times New Roman"/>
        </w:rPr>
        <w:lastRenderedPageBreak/>
        <w:t xml:space="preserve">These metros also </w:t>
      </w:r>
      <w:r w:rsidR="004A5537" w:rsidRPr="00304A3B">
        <w:rPr>
          <w:rFonts w:ascii="Times New Roman" w:hAnsi="Times New Roman" w:cs="Times New Roman"/>
        </w:rPr>
        <w:t xml:space="preserve">concentrate much of the </w:t>
      </w:r>
      <w:r w:rsidRPr="00304A3B">
        <w:rPr>
          <w:rFonts w:ascii="Times New Roman" w:hAnsi="Times New Roman" w:cs="Times New Roman"/>
        </w:rPr>
        <w:t>world’s critical infrastructure. In 2014, airports in these metro areas transported</w:t>
      </w:r>
      <w:r w:rsidR="004A5537" w:rsidRPr="00304A3B">
        <w:rPr>
          <w:rFonts w:ascii="Times New Roman" w:hAnsi="Times New Roman" w:cs="Times New Roman"/>
        </w:rPr>
        <w:t xml:space="preserve"> more than 4.9 bill</w:t>
      </w:r>
      <w:r w:rsidRPr="00304A3B">
        <w:rPr>
          <w:rFonts w:ascii="Times New Roman" w:hAnsi="Times New Roman" w:cs="Times New Roman"/>
        </w:rPr>
        <w:t xml:space="preserve">ion air passengers. The largest metro economies in the world, which house multiple large airports, move the most aviation passengers. New York, London, Shanghai, Los Angeles, Tokyo, Beijing, Chicago and Atlanta </w:t>
      </w:r>
      <w:r w:rsidR="00247A54" w:rsidRPr="00304A3B">
        <w:rPr>
          <w:rFonts w:ascii="Times New Roman" w:hAnsi="Times New Roman" w:cs="Times New Roman"/>
        </w:rPr>
        <w:t>had</w:t>
      </w:r>
      <w:r w:rsidRPr="00304A3B">
        <w:rPr>
          <w:rFonts w:ascii="Times New Roman" w:hAnsi="Times New Roman" w:cs="Times New Roman"/>
        </w:rPr>
        <w:t xml:space="preserve"> the highest passenger </w:t>
      </w:r>
      <w:r w:rsidR="00247A54" w:rsidRPr="00304A3B">
        <w:rPr>
          <w:rFonts w:ascii="Times New Roman" w:hAnsi="Times New Roman" w:cs="Times New Roman"/>
        </w:rPr>
        <w:t>volumes</w:t>
      </w:r>
      <w:r w:rsidR="005525C3" w:rsidRPr="00304A3B">
        <w:rPr>
          <w:rFonts w:ascii="Times New Roman" w:hAnsi="Times New Roman" w:cs="Times New Roman"/>
        </w:rPr>
        <w:t xml:space="preserve"> in 2014. Our 123-metro sample contains 86 percent of the world’s 50 busiest international airports. </w:t>
      </w:r>
    </w:p>
    <w:p w14:paraId="11F5F253" w14:textId="1C77A1C2" w:rsidR="00492676" w:rsidRPr="00304A3B" w:rsidRDefault="00492676" w:rsidP="005262EE">
      <w:pPr>
        <w:spacing w:line="240" w:lineRule="auto"/>
        <w:rPr>
          <w:rFonts w:ascii="Times New Roman" w:hAnsi="Times New Roman" w:cs="Times New Roman"/>
          <w:b/>
        </w:rPr>
      </w:pPr>
      <w:r w:rsidRPr="00304A3B">
        <w:rPr>
          <w:rFonts w:ascii="Times New Roman" w:hAnsi="Times New Roman" w:cs="Times New Roman"/>
          <w:b/>
        </w:rPr>
        <w:t>The Seven Types of Global Cities</w:t>
      </w:r>
    </w:p>
    <w:p w14:paraId="3CF7A067" w14:textId="6AB157A4" w:rsidR="00B81EE1" w:rsidRPr="00304A3B" w:rsidRDefault="00A32792" w:rsidP="004A5537">
      <w:pPr>
        <w:spacing w:line="240" w:lineRule="auto"/>
        <w:rPr>
          <w:rFonts w:ascii="Times New Roman" w:hAnsi="Times New Roman" w:cs="Times New Roman"/>
        </w:rPr>
      </w:pPr>
      <w:r w:rsidRPr="00304A3B">
        <w:rPr>
          <w:rFonts w:ascii="Times New Roman" w:hAnsi="Times New Roman" w:cs="Times New Roman"/>
        </w:rPr>
        <w:t xml:space="preserve">This collective economic clout, however, masks the significant variation in which competiveness factors area distributed across 123 of the largest metropolitan economies in the world. </w:t>
      </w:r>
      <w:r w:rsidR="000E1C4A" w:rsidRPr="00304A3B">
        <w:rPr>
          <w:rFonts w:ascii="Times New Roman" w:hAnsi="Times New Roman" w:cs="Times New Roman"/>
        </w:rPr>
        <w:t xml:space="preserve">While each metropolitan economy in our sample possesses a unique trade, innovation, talent, and infrastructure </w:t>
      </w:r>
      <w:r w:rsidR="005525C3" w:rsidRPr="00304A3B">
        <w:rPr>
          <w:rFonts w:ascii="Times New Roman" w:hAnsi="Times New Roman" w:cs="Times New Roman"/>
        </w:rPr>
        <w:t xml:space="preserve">connectivity </w:t>
      </w:r>
      <w:r w:rsidR="000E1C4A" w:rsidRPr="00304A3B">
        <w:rPr>
          <w:rFonts w:ascii="Times New Roman" w:hAnsi="Times New Roman" w:cs="Times New Roman"/>
        </w:rPr>
        <w:t xml:space="preserve">profile, the distribution of these assets reveals a </w:t>
      </w:r>
      <w:r w:rsidR="00800A07" w:rsidRPr="00304A3B">
        <w:rPr>
          <w:rFonts w:ascii="Times New Roman" w:hAnsi="Times New Roman" w:cs="Times New Roman"/>
        </w:rPr>
        <w:t>clear</w:t>
      </w:r>
      <w:r w:rsidR="000E1C4A" w:rsidRPr="00304A3B">
        <w:rPr>
          <w:rFonts w:ascii="Times New Roman" w:hAnsi="Times New Roman" w:cs="Times New Roman"/>
        </w:rPr>
        <w:t xml:space="preserve"> typology of places across the world. We used advanced statistical techniques to cluster metro economies based on their</w:t>
      </w:r>
      <w:r w:rsidR="00B33AC3" w:rsidRPr="00304A3B">
        <w:rPr>
          <w:rFonts w:ascii="Times New Roman" w:hAnsi="Times New Roman" w:cs="Times New Roman"/>
        </w:rPr>
        <w:t xml:space="preserve"> size, industrial structure, and</w:t>
      </w:r>
      <w:r w:rsidR="000E1C4A" w:rsidRPr="00304A3B">
        <w:rPr>
          <w:rFonts w:ascii="Times New Roman" w:hAnsi="Times New Roman" w:cs="Times New Roman"/>
        </w:rPr>
        <w:t xml:space="preserve"> competitiveness factors. In some cases, these </w:t>
      </w:r>
      <w:r w:rsidR="009420D6" w:rsidRPr="00304A3B">
        <w:rPr>
          <w:rFonts w:ascii="Times New Roman" w:hAnsi="Times New Roman" w:cs="Times New Roman"/>
        </w:rPr>
        <w:t>groupings</w:t>
      </w:r>
      <w:r w:rsidR="000E1C4A" w:rsidRPr="00304A3B">
        <w:rPr>
          <w:rFonts w:ascii="Times New Roman" w:hAnsi="Times New Roman" w:cs="Times New Roman"/>
        </w:rPr>
        <w:t xml:space="preserve"> align to specific regions, like in China or the United States. </w:t>
      </w:r>
      <w:proofErr w:type="gramStart"/>
      <w:r w:rsidR="000E1C4A" w:rsidRPr="00304A3B">
        <w:rPr>
          <w:rFonts w:ascii="Times New Roman" w:hAnsi="Times New Roman" w:cs="Times New Roman"/>
        </w:rPr>
        <w:t>But just as often the groupings unite metro economies from different parts of the world, showcasing that they share more in common with far-flung counterparts than their regional neighbors</w:t>
      </w:r>
      <w:r w:rsidR="00460CC6" w:rsidRPr="00304A3B">
        <w:rPr>
          <w:rFonts w:ascii="Times New Roman" w:hAnsi="Times New Roman" w:cs="Times New Roman"/>
        </w:rPr>
        <w:t>.</w:t>
      </w:r>
      <w:proofErr w:type="gramEnd"/>
      <w:r w:rsidR="00264F44" w:rsidRPr="00304A3B">
        <w:rPr>
          <w:rFonts w:ascii="Times New Roman" w:hAnsi="Times New Roman" w:cs="Times New Roman"/>
        </w:rPr>
        <w:t xml:space="preserve"> And while we only include point-in-time measures in the clustering algorithm, the resulting groupings perform quite similarly on growth metrics. </w:t>
      </w:r>
    </w:p>
    <w:p w14:paraId="3EF4E1E4" w14:textId="6B44EBB5" w:rsidR="00460CC6" w:rsidRPr="00304A3B" w:rsidRDefault="00460CC6" w:rsidP="004A5537">
      <w:pPr>
        <w:spacing w:line="240" w:lineRule="auto"/>
        <w:rPr>
          <w:rFonts w:ascii="Times New Roman" w:hAnsi="Times New Roman" w:cs="Times New Roman"/>
          <w:b/>
        </w:rPr>
      </w:pPr>
      <w:proofErr w:type="gramStart"/>
      <w:r w:rsidRPr="00304A3B">
        <w:rPr>
          <w:rFonts w:ascii="Times New Roman" w:hAnsi="Times New Roman" w:cs="Times New Roman"/>
          <w:b/>
        </w:rPr>
        <w:t>Map 1.</w:t>
      </w:r>
      <w:proofErr w:type="gramEnd"/>
      <w:r w:rsidRPr="00304A3B">
        <w:rPr>
          <w:rFonts w:ascii="Times New Roman" w:hAnsi="Times New Roman" w:cs="Times New Roman"/>
          <w:b/>
        </w:rPr>
        <w:t xml:space="preserve"> </w:t>
      </w:r>
      <w:r w:rsidR="00F65EBC" w:rsidRPr="00304A3B">
        <w:rPr>
          <w:rFonts w:ascii="Times New Roman" w:hAnsi="Times New Roman" w:cs="Times New Roman"/>
          <w:b/>
        </w:rPr>
        <w:t xml:space="preserve">Seven </w:t>
      </w:r>
      <w:r w:rsidR="009420D6" w:rsidRPr="00304A3B">
        <w:rPr>
          <w:rFonts w:ascii="Times New Roman" w:hAnsi="Times New Roman" w:cs="Times New Roman"/>
          <w:b/>
        </w:rPr>
        <w:t>Types of Global Cities</w:t>
      </w:r>
      <w:r w:rsidR="00E02F56">
        <w:rPr>
          <w:rFonts w:ascii="Times New Roman" w:hAnsi="Times New Roman" w:cs="Times New Roman"/>
          <w:b/>
        </w:rPr>
        <w:t>, 2015</w:t>
      </w:r>
    </w:p>
    <w:p w14:paraId="5A1A1147" w14:textId="2B54F433" w:rsidR="00460CC6" w:rsidRPr="00304A3B" w:rsidRDefault="00460CC6" w:rsidP="00460CC6">
      <w:pPr>
        <w:spacing w:line="240" w:lineRule="auto"/>
        <w:jc w:val="center"/>
        <w:rPr>
          <w:rFonts w:ascii="Times New Roman" w:hAnsi="Times New Roman" w:cs="Times New Roman"/>
        </w:rPr>
      </w:pPr>
    </w:p>
    <w:p w14:paraId="2A360FDC" w14:textId="7501EE91" w:rsidR="004A5607" w:rsidRPr="00304A3B" w:rsidRDefault="009B01DC" w:rsidP="004A5537">
      <w:pPr>
        <w:spacing w:line="240" w:lineRule="auto"/>
        <w:rPr>
          <w:rFonts w:ascii="Times New Roman" w:hAnsi="Times New Roman" w:cs="Times New Roman"/>
        </w:rPr>
      </w:pPr>
      <w:r w:rsidRPr="00304A3B">
        <w:rPr>
          <w:rFonts w:ascii="Times New Roman" w:hAnsi="Times New Roman" w:cs="Times New Roman"/>
        </w:rPr>
        <w:t>Grouped</w:t>
      </w:r>
      <w:r w:rsidR="000E1C4A" w:rsidRPr="00304A3B">
        <w:rPr>
          <w:rFonts w:ascii="Times New Roman" w:hAnsi="Times New Roman" w:cs="Times New Roman"/>
        </w:rPr>
        <w:t xml:space="preserve"> into seven metropolitan </w:t>
      </w:r>
      <w:r w:rsidR="00857589" w:rsidRPr="00304A3B">
        <w:rPr>
          <w:rFonts w:ascii="Times New Roman" w:hAnsi="Times New Roman" w:cs="Times New Roman"/>
        </w:rPr>
        <w:t>groups</w:t>
      </w:r>
      <w:r w:rsidR="000E1C4A" w:rsidRPr="00304A3B">
        <w:rPr>
          <w:rFonts w:ascii="Times New Roman" w:hAnsi="Times New Roman" w:cs="Times New Roman"/>
        </w:rPr>
        <w:t>, the distinct competitive positions of the world’s largest metro economies become sharper, as do the peers metropolitan areas can look to for common solutions and investm</w:t>
      </w:r>
      <w:r w:rsidR="00247A54" w:rsidRPr="00304A3B">
        <w:rPr>
          <w:rFonts w:ascii="Times New Roman" w:hAnsi="Times New Roman" w:cs="Times New Roman"/>
        </w:rPr>
        <w:t>ents to enhance economic growth:</w:t>
      </w:r>
      <w:r w:rsidR="000E1C4A" w:rsidRPr="00304A3B">
        <w:rPr>
          <w:rFonts w:ascii="Times New Roman" w:hAnsi="Times New Roman" w:cs="Times New Roman"/>
        </w:rPr>
        <w:t xml:space="preserve"> </w:t>
      </w:r>
    </w:p>
    <w:p w14:paraId="4FF22941" w14:textId="1C55B33B" w:rsidR="00CB448E" w:rsidRPr="00304A3B" w:rsidRDefault="00A676D9" w:rsidP="00800A07">
      <w:pPr>
        <w:pStyle w:val="ListParagraph"/>
        <w:numPr>
          <w:ilvl w:val="0"/>
          <w:numId w:val="21"/>
        </w:numPr>
        <w:spacing w:line="240" w:lineRule="auto"/>
        <w:rPr>
          <w:rFonts w:ascii="Times New Roman" w:hAnsi="Times New Roman" w:cs="Times New Roman"/>
        </w:rPr>
      </w:pPr>
      <w:r w:rsidRPr="00304A3B">
        <w:rPr>
          <w:rFonts w:ascii="Times New Roman" w:hAnsi="Times New Roman" w:cs="Times New Roman"/>
          <w:b/>
        </w:rPr>
        <w:t>Global</w:t>
      </w:r>
      <w:r w:rsidR="00A9271C" w:rsidRPr="00304A3B">
        <w:rPr>
          <w:rFonts w:ascii="Times New Roman" w:hAnsi="Times New Roman" w:cs="Times New Roman"/>
          <w:b/>
        </w:rPr>
        <w:t xml:space="preserve"> </w:t>
      </w:r>
      <w:r w:rsidRPr="00304A3B">
        <w:rPr>
          <w:rFonts w:ascii="Times New Roman" w:hAnsi="Times New Roman" w:cs="Times New Roman"/>
          <w:b/>
        </w:rPr>
        <w:t>Giants</w:t>
      </w:r>
      <w:r w:rsidR="00CB448E" w:rsidRPr="00304A3B">
        <w:rPr>
          <w:rFonts w:ascii="Times New Roman" w:hAnsi="Times New Roman" w:cs="Times New Roman"/>
          <w:b/>
        </w:rPr>
        <w:t xml:space="preserve">: </w:t>
      </w:r>
      <w:r w:rsidR="002565A4" w:rsidRPr="00304A3B">
        <w:rPr>
          <w:rFonts w:ascii="Times New Roman" w:hAnsi="Times New Roman" w:cs="Times New Roman"/>
        </w:rPr>
        <w:t xml:space="preserve">six </w:t>
      </w:r>
      <w:r w:rsidR="00CB448E" w:rsidRPr="00304A3B">
        <w:rPr>
          <w:rFonts w:ascii="Times New Roman" w:hAnsi="Times New Roman" w:cs="Times New Roman"/>
        </w:rPr>
        <w:t>large, wealthy hubs</w:t>
      </w:r>
      <w:r w:rsidR="00945853" w:rsidRPr="00304A3B">
        <w:rPr>
          <w:rFonts w:ascii="Times New Roman" w:hAnsi="Times New Roman" w:cs="Times New Roman"/>
        </w:rPr>
        <w:t xml:space="preserve"> with </w:t>
      </w:r>
      <w:r w:rsidR="000D0344" w:rsidRPr="00304A3B">
        <w:rPr>
          <w:rFonts w:ascii="Times New Roman" w:hAnsi="Times New Roman" w:cs="Times New Roman"/>
        </w:rPr>
        <w:t>concentrations of</w:t>
      </w:r>
      <w:r w:rsidR="00945853" w:rsidRPr="00304A3B">
        <w:rPr>
          <w:rFonts w:ascii="Times New Roman" w:hAnsi="Times New Roman" w:cs="Times New Roman"/>
        </w:rPr>
        <w:t xml:space="preserve"> corporate headquarters</w:t>
      </w:r>
      <w:r w:rsidR="00CB448E" w:rsidRPr="00304A3B">
        <w:rPr>
          <w:rFonts w:ascii="Times New Roman" w:hAnsi="Times New Roman" w:cs="Times New Roman"/>
        </w:rPr>
        <w:t xml:space="preserve"> </w:t>
      </w:r>
      <w:r w:rsidR="000D0344" w:rsidRPr="00304A3B">
        <w:rPr>
          <w:rFonts w:ascii="Times New Roman" w:hAnsi="Times New Roman" w:cs="Times New Roman"/>
        </w:rPr>
        <w:t>and</w:t>
      </w:r>
      <w:r w:rsidR="00A358BB" w:rsidRPr="00304A3B">
        <w:rPr>
          <w:rFonts w:ascii="Times New Roman" w:hAnsi="Times New Roman" w:cs="Times New Roman"/>
        </w:rPr>
        <w:t xml:space="preserve"> serve as the command and control centers for the world’s </w:t>
      </w:r>
      <w:r w:rsidR="00CB448E" w:rsidRPr="00304A3B">
        <w:rPr>
          <w:rFonts w:ascii="Times New Roman" w:hAnsi="Times New Roman" w:cs="Times New Roman"/>
        </w:rPr>
        <w:t xml:space="preserve">largest advanced economies. </w:t>
      </w:r>
    </w:p>
    <w:p w14:paraId="16B7798A" w14:textId="06B9756C" w:rsidR="00CB448E" w:rsidRPr="00304A3B" w:rsidRDefault="00EB4B37" w:rsidP="00800A07">
      <w:pPr>
        <w:pStyle w:val="ListParagraph"/>
        <w:numPr>
          <w:ilvl w:val="0"/>
          <w:numId w:val="21"/>
        </w:numPr>
        <w:spacing w:line="240" w:lineRule="auto"/>
        <w:rPr>
          <w:rFonts w:ascii="Times New Roman" w:hAnsi="Times New Roman" w:cs="Times New Roman"/>
        </w:rPr>
      </w:pPr>
      <w:r w:rsidRPr="00304A3B">
        <w:rPr>
          <w:rFonts w:ascii="Times New Roman" w:hAnsi="Times New Roman" w:cs="Times New Roman"/>
          <w:b/>
        </w:rPr>
        <w:t>Asian</w:t>
      </w:r>
      <w:r w:rsidR="00CB448E" w:rsidRPr="00304A3B">
        <w:rPr>
          <w:rFonts w:ascii="Times New Roman" w:hAnsi="Times New Roman" w:cs="Times New Roman"/>
          <w:b/>
        </w:rPr>
        <w:t xml:space="preserve"> </w:t>
      </w:r>
      <w:r w:rsidR="00A8624E" w:rsidRPr="00304A3B">
        <w:rPr>
          <w:rFonts w:ascii="Times New Roman" w:hAnsi="Times New Roman" w:cs="Times New Roman"/>
          <w:b/>
        </w:rPr>
        <w:t>Anchors</w:t>
      </w:r>
      <w:r w:rsidR="002565A4" w:rsidRPr="00304A3B">
        <w:rPr>
          <w:rFonts w:ascii="Times New Roman" w:hAnsi="Times New Roman" w:cs="Times New Roman"/>
          <w:b/>
        </w:rPr>
        <w:t>:</w:t>
      </w:r>
      <w:r w:rsidR="00CB448E" w:rsidRPr="00304A3B">
        <w:rPr>
          <w:rFonts w:ascii="Times New Roman" w:hAnsi="Times New Roman" w:cs="Times New Roman"/>
          <w:b/>
        </w:rPr>
        <w:t xml:space="preserve"> </w:t>
      </w:r>
      <w:r w:rsidR="000D0344" w:rsidRPr="00304A3B">
        <w:rPr>
          <w:rFonts w:ascii="Times New Roman" w:hAnsi="Times New Roman" w:cs="Times New Roman"/>
        </w:rPr>
        <w:t>five</w:t>
      </w:r>
      <w:r w:rsidR="00CB448E" w:rsidRPr="00304A3B">
        <w:rPr>
          <w:rFonts w:ascii="Times New Roman" w:hAnsi="Times New Roman" w:cs="Times New Roman"/>
        </w:rPr>
        <w:t xml:space="preserve"> large, business and financial nodes ancho</w:t>
      </w:r>
      <w:r w:rsidR="000D0344" w:rsidRPr="00304A3B">
        <w:rPr>
          <w:rFonts w:ascii="Times New Roman" w:hAnsi="Times New Roman" w:cs="Times New Roman"/>
        </w:rPr>
        <w:t>ring inward investment into the Asia-Pacific plus Moscow</w:t>
      </w:r>
      <w:r w:rsidR="00CB448E" w:rsidRPr="00304A3B">
        <w:rPr>
          <w:rFonts w:ascii="Times New Roman" w:hAnsi="Times New Roman" w:cs="Times New Roman"/>
        </w:rPr>
        <w:t xml:space="preserve">. </w:t>
      </w:r>
    </w:p>
    <w:p w14:paraId="06C6E416" w14:textId="7DD49899" w:rsidR="00CB448E" w:rsidRPr="00304A3B" w:rsidRDefault="00EB4B37" w:rsidP="00800A07">
      <w:pPr>
        <w:pStyle w:val="ListParagraph"/>
        <w:numPr>
          <w:ilvl w:val="0"/>
          <w:numId w:val="21"/>
        </w:numPr>
        <w:spacing w:line="240" w:lineRule="auto"/>
        <w:rPr>
          <w:rFonts w:ascii="Times New Roman" w:hAnsi="Times New Roman" w:cs="Times New Roman"/>
        </w:rPr>
      </w:pPr>
      <w:r w:rsidRPr="00304A3B">
        <w:rPr>
          <w:rFonts w:ascii="Times New Roman" w:hAnsi="Times New Roman" w:cs="Times New Roman"/>
          <w:b/>
        </w:rPr>
        <w:t xml:space="preserve">Emerging Gateways: </w:t>
      </w:r>
      <w:r w:rsidR="00161200" w:rsidRPr="00304A3B">
        <w:rPr>
          <w:rFonts w:ascii="Times New Roman" w:hAnsi="Times New Roman" w:cs="Times New Roman"/>
        </w:rPr>
        <w:t xml:space="preserve">28 </w:t>
      </w:r>
      <w:r w:rsidR="000627D9" w:rsidRPr="00304A3B">
        <w:rPr>
          <w:rFonts w:ascii="Times New Roman" w:hAnsi="Times New Roman" w:cs="Times New Roman"/>
        </w:rPr>
        <w:t xml:space="preserve">large </w:t>
      </w:r>
      <w:r w:rsidR="007F38B5" w:rsidRPr="00304A3B">
        <w:rPr>
          <w:rFonts w:ascii="Times New Roman" w:hAnsi="Times New Roman" w:cs="Times New Roman"/>
        </w:rPr>
        <w:t xml:space="preserve">business and transportation entry points </w:t>
      </w:r>
      <w:r w:rsidR="000627D9" w:rsidRPr="00304A3B">
        <w:rPr>
          <w:rFonts w:ascii="Times New Roman" w:hAnsi="Times New Roman" w:cs="Times New Roman"/>
        </w:rPr>
        <w:t xml:space="preserve">for major </w:t>
      </w:r>
      <w:r w:rsidR="00161200" w:rsidRPr="00304A3B">
        <w:rPr>
          <w:rFonts w:ascii="Times New Roman" w:hAnsi="Times New Roman" w:cs="Times New Roman"/>
        </w:rPr>
        <w:t xml:space="preserve">national and regional </w:t>
      </w:r>
      <w:r w:rsidR="000627D9" w:rsidRPr="00304A3B">
        <w:rPr>
          <w:rFonts w:ascii="Times New Roman" w:hAnsi="Times New Roman" w:cs="Times New Roman"/>
        </w:rPr>
        <w:t>emerging markets</w:t>
      </w:r>
      <w:r w:rsidR="006921A7" w:rsidRPr="00304A3B">
        <w:rPr>
          <w:rFonts w:ascii="Times New Roman" w:hAnsi="Times New Roman" w:cs="Times New Roman"/>
        </w:rPr>
        <w:t xml:space="preserve"> in </w:t>
      </w:r>
      <w:r w:rsidR="0062087C" w:rsidRPr="00304A3B">
        <w:rPr>
          <w:rFonts w:ascii="Times New Roman" w:hAnsi="Times New Roman" w:cs="Times New Roman"/>
        </w:rPr>
        <w:t xml:space="preserve">Africa, </w:t>
      </w:r>
      <w:r w:rsidR="006921A7" w:rsidRPr="00304A3B">
        <w:rPr>
          <w:rFonts w:ascii="Times New Roman" w:hAnsi="Times New Roman" w:cs="Times New Roman"/>
        </w:rPr>
        <w:t xml:space="preserve">Asia, </w:t>
      </w:r>
      <w:r w:rsidR="0062087C" w:rsidRPr="00304A3B">
        <w:rPr>
          <w:rFonts w:ascii="Times New Roman" w:hAnsi="Times New Roman" w:cs="Times New Roman"/>
        </w:rPr>
        <w:t xml:space="preserve">Eastern Europe, and </w:t>
      </w:r>
      <w:r w:rsidR="006921A7" w:rsidRPr="00304A3B">
        <w:rPr>
          <w:rFonts w:ascii="Times New Roman" w:hAnsi="Times New Roman" w:cs="Times New Roman"/>
        </w:rPr>
        <w:t>Latin America</w:t>
      </w:r>
      <w:r w:rsidR="000627D9" w:rsidRPr="00304A3B">
        <w:rPr>
          <w:rFonts w:ascii="Times New Roman" w:hAnsi="Times New Roman" w:cs="Times New Roman"/>
        </w:rPr>
        <w:t xml:space="preserve">. </w:t>
      </w:r>
    </w:p>
    <w:p w14:paraId="2F85DAC2" w14:textId="652389D9" w:rsidR="007F38B5" w:rsidRPr="00304A3B" w:rsidRDefault="007F38B5" w:rsidP="00800A07">
      <w:pPr>
        <w:pStyle w:val="ListParagraph"/>
        <w:numPr>
          <w:ilvl w:val="0"/>
          <w:numId w:val="21"/>
        </w:numPr>
        <w:spacing w:line="240" w:lineRule="auto"/>
        <w:rPr>
          <w:rFonts w:ascii="Times New Roman" w:hAnsi="Times New Roman" w:cs="Times New Roman"/>
        </w:rPr>
      </w:pPr>
      <w:r w:rsidRPr="00304A3B">
        <w:rPr>
          <w:rFonts w:ascii="Times New Roman" w:hAnsi="Times New Roman" w:cs="Times New Roman"/>
          <w:b/>
        </w:rPr>
        <w:t xml:space="preserve">Factory </w:t>
      </w:r>
      <w:r w:rsidR="00A8624E" w:rsidRPr="00304A3B">
        <w:rPr>
          <w:rFonts w:ascii="Times New Roman" w:hAnsi="Times New Roman" w:cs="Times New Roman"/>
          <w:b/>
        </w:rPr>
        <w:t>China</w:t>
      </w:r>
      <w:r w:rsidRPr="00304A3B">
        <w:rPr>
          <w:rFonts w:ascii="Times New Roman" w:hAnsi="Times New Roman" w:cs="Times New Roman"/>
          <w:b/>
        </w:rPr>
        <w:t xml:space="preserve">: </w:t>
      </w:r>
      <w:r w:rsidRPr="00304A3B">
        <w:rPr>
          <w:rFonts w:ascii="Times New Roman" w:hAnsi="Times New Roman" w:cs="Times New Roman"/>
        </w:rPr>
        <w:t>22 second and third-tier Chinese cities distinc</w:t>
      </w:r>
      <w:r w:rsidR="00516197" w:rsidRPr="00304A3B">
        <w:rPr>
          <w:rFonts w:ascii="Times New Roman" w:hAnsi="Times New Roman" w:cs="Times New Roman"/>
        </w:rPr>
        <w:t>tly reliant on export-intensive</w:t>
      </w:r>
      <w:r w:rsidRPr="00304A3B">
        <w:rPr>
          <w:rFonts w:ascii="Times New Roman" w:hAnsi="Times New Roman" w:cs="Times New Roman"/>
        </w:rPr>
        <w:t xml:space="preserve"> manufacturing</w:t>
      </w:r>
      <w:r w:rsidR="00161200" w:rsidRPr="00304A3B">
        <w:rPr>
          <w:rFonts w:ascii="Times New Roman" w:hAnsi="Times New Roman" w:cs="Times New Roman"/>
        </w:rPr>
        <w:t xml:space="preserve"> to power economic growth </w:t>
      </w:r>
      <w:r w:rsidR="0062087C" w:rsidRPr="00304A3B">
        <w:rPr>
          <w:rFonts w:ascii="Times New Roman" w:hAnsi="Times New Roman" w:cs="Times New Roman"/>
        </w:rPr>
        <w:t>and global engagement</w:t>
      </w:r>
      <w:r w:rsidRPr="00304A3B">
        <w:rPr>
          <w:rFonts w:ascii="Times New Roman" w:hAnsi="Times New Roman" w:cs="Times New Roman"/>
        </w:rPr>
        <w:t xml:space="preserve">. </w:t>
      </w:r>
    </w:p>
    <w:p w14:paraId="4365C2CB" w14:textId="13586ED7" w:rsidR="000627D9" w:rsidRPr="00304A3B" w:rsidRDefault="00A8624E" w:rsidP="00800A07">
      <w:pPr>
        <w:pStyle w:val="ListParagraph"/>
        <w:numPr>
          <w:ilvl w:val="0"/>
          <w:numId w:val="21"/>
        </w:numPr>
        <w:spacing w:line="240" w:lineRule="auto"/>
        <w:rPr>
          <w:rFonts w:ascii="Times New Roman" w:hAnsi="Times New Roman" w:cs="Times New Roman"/>
        </w:rPr>
      </w:pPr>
      <w:r w:rsidRPr="00304A3B">
        <w:rPr>
          <w:rFonts w:ascii="Times New Roman" w:hAnsi="Times New Roman" w:cs="Times New Roman"/>
          <w:b/>
        </w:rPr>
        <w:t>Knowledge Capitals</w:t>
      </w:r>
      <w:r w:rsidR="0057266B" w:rsidRPr="00304A3B">
        <w:rPr>
          <w:rFonts w:ascii="Times New Roman" w:hAnsi="Times New Roman" w:cs="Times New Roman"/>
          <w:b/>
        </w:rPr>
        <w:t xml:space="preserve">: </w:t>
      </w:r>
      <w:r w:rsidR="0057266B" w:rsidRPr="00304A3B">
        <w:rPr>
          <w:rFonts w:ascii="Times New Roman" w:hAnsi="Times New Roman" w:cs="Times New Roman"/>
        </w:rPr>
        <w:t>19 mid-sized</w:t>
      </w:r>
      <w:r w:rsidR="0062087C" w:rsidRPr="00304A3B">
        <w:rPr>
          <w:rFonts w:ascii="Times New Roman" w:hAnsi="Times New Roman" w:cs="Times New Roman"/>
        </w:rPr>
        <w:t>,</w:t>
      </w:r>
      <w:r w:rsidR="0057266B" w:rsidRPr="00304A3B">
        <w:rPr>
          <w:rFonts w:ascii="Times New Roman" w:hAnsi="Times New Roman" w:cs="Times New Roman"/>
        </w:rPr>
        <w:t xml:space="preserve"> highly productive knowledge creation centers i</w:t>
      </w:r>
      <w:r w:rsidR="00561C4C" w:rsidRPr="00304A3B">
        <w:rPr>
          <w:rFonts w:ascii="Times New Roman" w:hAnsi="Times New Roman" w:cs="Times New Roman"/>
        </w:rPr>
        <w:t xml:space="preserve">n the United States and Europe with talented workforces and elite research universities. </w:t>
      </w:r>
    </w:p>
    <w:p w14:paraId="5C8CA260" w14:textId="397B0352" w:rsidR="009A0307" w:rsidRPr="00304A3B" w:rsidRDefault="009A0307" w:rsidP="00800A07">
      <w:pPr>
        <w:pStyle w:val="ListParagraph"/>
        <w:numPr>
          <w:ilvl w:val="0"/>
          <w:numId w:val="21"/>
        </w:numPr>
        <w:spacing w:line="240" w:lineRule="auto"/>
        <w:rPr>
          <w:rFonts w:ascii="Times New Roman" w:hAnsi="Times New Roman" w:cs="Times New Roman"/>
        </w:rPr>
      </w:pPr>
      <w:r w:rsidRPr="00304A3B">
        <w:rPr>
          <w:rFonts w:ascii="Times New Roman" w:hAnsi="Times New Roman" w:cs="Times New Roman"/>
          <w:b/>
        </w:rPr>
        <w:t xml:space="preserve">American </w:t>
      </w:r>
      <w:r w:rsidR="00A9271C" w:rsidRPr="00304A3B">
        <w:rPr>
          <w:rFonts w:ascii="Times New Roman" w:hAnsi="Times New Roman" w:cs="Times New Roman"/>
          <w:b/>
        </w:rPr>
        <w:t>Middleweights</w:t>
      </w:r>
      <w:r w:rsidRPr="00304A3B">
        <w:rPr>
          <w:rFonts w:ascii="Times New Roman" w:hAnsi="Times New Roman" w:cs="Times New Roman"/>
          <w:b/>
        </w:rPr>
        <w:t>:</w:t>
      </w:r>
      <w:r w:rsidRPr="00304A3B">
        <w:rPr>
          <w:rFonts w:ascii="Times New Roman" w:hAnsi="Times New Roman" w:cs="Times New Roman"/>
        </w:rPr>
        <w:t xml:space="preserve"> </w:t>
      </w:r>
      <w:r w:rsidR="00541776" w:rsidRPr="00304A3B">
        <w:rPr>
          <w:rFonts w:ascii="Times New Roman" w:hAnsi="Times New Roman" w:cs="Times New Roman"/>
        </w:rPr>
        <w:t>16 mid-sized U.S.</w:t>
      </w:r>
      <w:r w:rsidR="00561C4C" w:rsidRPr="00304A3B">
        <w:rPr>
          <w:rFonts w:ascii="Times New Roman" w:hAnsi="Times New Roman" w:cs="Times New Roman"/>
        </w:rPr>
        <w:t xml:space="preserve"> metro areas </w:t>
      </w:r>
      <w:r w:rsidR="0062087C" w:rsidRPr="00304A3B">
        <w:rPr>
          <w:rFonts w:ascii="Times New Roman" w:hAnsi="Times New Roman" w:cs="Times New Roman"/>
        </w:rPr>
        <w:t>striving for a post-recession niche in the global economy</w:t>
      </w:r>
      <w:r w:rsidR="00541776" w:rsidRPr="00304A3B">
        <w:rPr>
          <w:rFonts w:ascii="Times New Roman" w:hAnsi="Times New Roman" w:cs="Times New Roman"/>
        </w:rPr>
        <w:t>.</w:t>
      </w:r>
    </w:p>
    <w:p w14:paraId="7D8E8D5D" w14:textId="184762A8" w:rsidR="000422F9" w:rsidRPr="00304A3B" w:rsidRDefault="005D19A1" w:rsidP="000422F9">
      <w:pPr>
        <w:pStyle w:val="ListParagraph"/>
        <w:numPr>
          <w:ilvl w:val="0"/>
          <w:numId w:val="21"/>
        </w:numPr>
        <w:spacing w:line="240" w:lineRule="auto"/>
        <w:rPr>
          <w:rFonts w:ascii="Times New Roman" w:hAnsi="Times New Roman" w:cs="Times New Roman"/>
        </w:rPr>
      </w:pPr>
      <w:r w:rsidRPr="00304A3B">
        <w:rPr>
          <w:rFonts w:ascii="Times New Roman" w:hAnsi="Times New Roman" w:cs="Times New Roman"/>
          <w:b/>
          <w:bCs/>
        </w:rPr>
        <w:t>International Middleweights</w:t>
      </w:r>
      <w:r w:rsidR="000422F9" w:rsidRPr="00304A3B">
        <w:rPr>
          <w:rFonts w:ascii="Times New Roman" w:hAnsi="Times New Roman" w:cs="Times New Roman"/>
          <w:b/>
          <w:bCs/>
        </w:rPr>
        <w:t xml:space="preserve">: </w:t>
      </w:r>
      <w:r w:rsidR="000422F9" w:rsidRPr="00304A3B">
        <w:rPr>
          <w:rFonts w:ascii="Times New Roman" w:hAnsi="Times New Roman" w:cs="Times New Roman"/>
        </w:rPr>
        <w:t xml:space="preserve">26 mid-sized cities in Australia, Canada, and Europe globally </w:t>
      </w:r>
      <w:proofErr w:type="gramStart"/>
      <w:r w:rsidR="000422F9" w:rsidRPr="00304A3B">
        <w:rPr>
          <w:rFonts w:ascii="Times New Roman" w:hAnsi="Times New Roman" w:cs="Times New Roman"/>
        </w:rPr>
        <w:t>connected</w:t>
      </w:r>
      <w:proofErr w:type="gramEnd"/>
      <w:r w:rsidR="000422F9" w:rsidRPr="00304A3B">
        <w:rPr>
          <w:rFonts w:ascii="Times New Roman" w:hAnsi="Times New Roman" w:cs="Times New Roman"/>
        </w:rPr>
        <w:t xml:space="preserve"> by people and investment flows, but where growth has lagged after the financial crisis. </w:t>
      </w:r>
    </w:p>
    <w:p w14:paraId="0FB34C39" w14:textId="77777777" w:rsidR="00F12144" w:rsidRDefault="00F12144" w:rsidP="005D19A1">
      <w:pPr>
        <w:spacing w:line="240" w:lineRule="auto"/>
        <w:rPr>
          <w:rFonts w:ascii="Times New Roman" w:hAnsi="Times New Roman" w:cs="Times New Roman"/>
          <w:b/>
        </w:rPr>
      </w:pPr>
    </w:p>
    <w:p w14:paraId="2C5681E6" w14:textId="606B0D7A" w:rsidR="005D19A1" w:rsidRPr="00304A3B" w:rsidRDefault="008C5DFA" w:rsidP="005D19A1">
      <w:pPr>
        <w:spacing w:line="240" w:lineRule="auto"/>
        <w:rPr>
          <w:rFonts w:ascii="Times New Roman" w:hAnsi="Times New Roman" w:cs="Times New Roman"/>
          <w:b/>
        </w:rPr>
      </w:pPr>
      <w:proofErr w:type="gramStart"/>
      <w:r w:rsidRPr="00304A3B">
        <w:rPr>
          <w:rFonts w:ascii="Times New Roman" w:hAnsi="Times New Roman" w:cs="Times New Roman"/>
          <w:b/>
        </w:rPr>
        <w:t>Table 2</w:t>
      </w:r>
      <w:r w:rsidR="00857589" w:rsidRPr="00304A3B">
        <w:rPr>
          <w:rFonts w:ascii="Times New Roman" w:hAnsi="Times New Roman" w:cs="Times New Roman"/>
          <w:b/>
        </w:rPr>
        <w:t>.</w:t>
      </w:r>
      <w:proofErr w:type="gramEnd"/>
      <w:r w:rsidR="00857589" w:rsidRPr="00304A3B">
        <w:rPr>
          <w:rFonts w:ascii="Times New Roman" w:hAnsi="Times New Roman" w:cs="Times New Roman"/>
          <w:b/>
        </w:rPr>
        <w:t xml:space="preserve"> Seven </w:t>
      </w:r>
      <w:r w:rsidR="008C2436">
        <w:rPr>
          <w:rFonts w:ascii="Times New Roman" w:hAnsi="Times New Roman" w:cs="Times New Roman"/>
          <w:b/>
        </w:rPr>
        <w:t>t</w:t>
      </w:r>
      <w:r w:rsidR="00857589" w:rsidRPr="00304A3B">
        <w:rPr>
          <w:rFonts w:ascii="Times New Roman" w:hAnsi="Times New Roman" w:cs="Times New Roman"/>
          <w:b/>
        </w:rPr>
        <w:t>ypes of Global Cities</w:t>
      </w:r>
      <w:r w:rsidR="009363BE">
        <w:rPr>
          <w:rFonts w:ascii="Times New Roman" w:hAnsi="Times New Roman" w:cs="Times New Roman"/>
          <w:b/>
        </w:rPr>
        <w:t>, 2015</w:t>
      </w:r>
    </w:p>
    <w:p w14:paraId="76A9E77F" w14:textId="77777777" w:rsidR="005D19A1" w:rsidRDefault="005D19A1" w:rsidP="00590BBC">
      <w:pPr>
        <w:spacing w:line="240" w:lineRule="auto"/>
        <w:rPr>
          <w:rFonts w:ascii="Times New Roman" w:hAnsi="Times New Roman" w:cs="Times New Roman"/>
          <w:b/>
        </w:rPr>
      </w:pPr>
    </w:p>
    <w:p w14:paraId="18AF1487" w14:textId="77777777" w:rsidR="00F12144" w:rsidRDefault="00F12144" w:rsidP="00590BBC">
      <w:pPr>
        <w:spacing w:line="240" w:lineRule="auto"/>
        <w:rPr>
          <w:rFonts w:ascii="Times New Roman" w:hAnsi="Times New Roman" w:cs="Times New Roman"/>
          <w:b/>
        </w:rPr>
      </w:pPr>
    </w:p>
    <w:p w14:paraId="6C7FDDA1" w14:textId="77777777" w:rsidR="00F12144" w:rsidRDefault="00F12144" w:rsidP="00590BBC">
      <w:pPr>
        <w:spacing w:line="240" w:lineRule="auto"/>
        <w:rPr>
          <w:rFonts w:ascii="Times New Roman" w:hAnsi="Times New Roman" w:cs="Times New Roman"/>
          <w:b/>
        </w:rPr>
      </w:pPr>
    </w:p>
    <w:p w14:paraId="006648CD" w14:textId="77777777" w:rsidR="00F12144" w:rsidRPr="00304A3B" w:rsidRDefault="00F12144" w:rsidP="00590BBC">
      <w:pPr>
        <w:spacing w:line="240" w:lineRule="auto"/>
        <w:rPr>
          <w:rFonts w:ascii="Times New Roman" w:hAnsi="Times New Roman" w:cs="Times New Roman"/>
          <w:b/>
        </w:rPr>
      </w:pPr>
    </w:p>
    <w:p w14:paraId="1C771852" w14:textId="3A4B5287" w:rsidR="00A358BB" w:rsidRPr="00304A3B" w:rsidRDefault="00A676D9" w:rsidP="00590BBC">
      <w:pPr>
        <w:spacing w:line="240" w:lineRule="auto"/>
        <w:rPr>
          <w:rFonts w:ascii="Times New Roman" w:hAnsi="Times New Roman" w:cs="Times New Roman"/>
          <w:b/>
        </w:rPr>
      </w:pPr>
      <w:r w:rsidRPr="00304A3B">
        <w:rPr>
          <w:rFonts w:ascii="Times New Roman" w:hAnsi="Times New Roman" w:cs="Times New Roman"/>
          <w:b/>
        </w:rPr>
        <w:lastRenderedPageBreak/>
        <w:t>Global Giants</w:t>
      </w:r>
    </w:p>
    <w:p w14:paraId="467DA2B5" w14:textId="04DC9F72" w:rsidR="00406072" w:rsidRPr="00304A3B" w:rsidRDefault="00374138" w:rsidP="00590BBC">
      <w:pPr>
        <w:spacing w:line="240" w:lineRule="auto"/>
        <w:rPr>
          <w:rFonts w:ascii="Times New Roman" w:hAnsi="Times New Roman" w:cs="Times New Roman"/>
        </w:rPr>
      </w:pPr>
      <w:r w:rsidRPr="00304A3B">
        <w:rPr>
          <w:rFonts w:ascii="Times New Roman" w:hAnsi="Times New Roman" w:cs="Times New Roman"/>
          <w:b/>
        </w:rPr>
        <w:t xml:space="preserve">Global Giants </w:t>
      </w:r>
      <w:r w:rsidRPr="00304A3B">
        <w:rPr>
          <w:rFonts w:ascii="Times New Roman" w:hAnsi="Times New Roman" w:cs="Times New Roman"/>
        </w:rPr>
        <w:t>serve as the command and control</w:t>
      </w:r>
      <w:r w:rsidR="00406072" w:rsidRPr="00304A3B">
        <w:rPr>
          <w:rFonts w:ascii="Times New Roman" w:hAnsi="Times New Roman" w:cs="Times New Roman"/>
          <w:b/>
        </w:rPr>
        <w:t xml:space="preserve"> </w:t>
      </w:r>
      <w:r w:rsidR="00406072" w:rsidRPr="00304A3B">
        <w:rPr>
          <w:rFonts w:ascii="Times New Roman" w:hAnsi="Times New Roman" w:cs="Times New Roman"/>
        </w:rPr>
        <w:t xml:space="preserve">centers of the world’s largest advanced </w:t>
      </w:r>
      <w:r w:rsidR="00693A3E" w:rsidRPr="00304A3B">
        <w:rPr>
          <w:rFonts w:ascii="Times New Roman" w:hAnsi="Times New Roman" w:cs="Times New Roman"/>
        </w:rPr>
        <w:t>nations</w:t>
      </w:r>
      <w:r w:rsidR="00406072" w:rsidRPr="00304A3B">
        <w:rPr>
          <w:rFonts w:ascii="Times New Roman" w:hAnsi="Times New Roman" w:cs="Times New Roman"/>
        </w:rPr>
        <w:t xml:space="preserve">. This group includes the largest cities in the United States (New York and Los Angeles), Japan (Tokyo and Osaka-Kobe), France (Paris), and the United Kingdom (London). These metro areas not only serve as the </w:t>
      </w:r>
      <w:r w:rsidR="00064156" w:rsidRPr="00304A3B">
        <w:rPr>
          <w:rFonts w:ascii="Times New Roman" w:hAnsi="Times New Roman" w:cs="Times New Roman"/>
        </w:rPr>
        <w:t xml:space="preserve">main </w:t>
      </w:r>
      <w:r w:rsidR="00406072" w:rsidRPr="00304A3B">
        <w:rPr>
          <w:rFonts w:ascii="Times New Roman" w:hAnsi="Times New Roman" w:cs="Times New Roman"/>
        </w:rPr>
        <w:t xml:space="preserve">entry points for their </w:t>
      </w:r>
      <w:r w:rsidR="00621C98" w:rsidRPr="00304A3B">
        <w:rPr>
          <w:rFonts w:ascii="Times New Roman" w:hAnsi="Times New Roman" w:cs="Times New Roman"/>
        </w:rPr>
        <w:t>extremely powerful</w:t>
      </w:r>
      <w:r w:rsidR="00406072" w:rsidRPr="00304A3B">
        <w:rPr>
          <w:rFonts w:ascii="Times New Roman" w:hAnsi="Times New Roman" w:cs="Times New Roman"/>
        </w:rPr>
        <w:t xml:space="preserve"> nations, but as the </w:t>
      </w:r>
      <w:r w:rsidR="000E1C4A" w:rsidRPr="00304A3B">
        <w:rPr>
          <w:rFonts w:ascii="Times New Roman" w:hAnsi="Times New Roman" w:cs="Times New Roman"/>
        </w:rPr>
        <w:t>world’s most significant</w:t>
      </w:r>
      <w:r w:rsidR="008A7ADD" w:rsidRPr="00304A3B">
        <w:rPr>
          <w:rFonts w:ascii="Times New Roman" w:hAnsi="Times New Roman" w:cs="Times New Roman"/>
        </w:rPr>
        <w:t xml:space="preserve"> </w:t>
      </w:r>
      <w:r w:rsidR="00406072" w:rsidRPr="00304A3B">
        <w:rPr>
          <w:rFonts w:ascii="Times New Roman" w:hAnsi="Times New Roman" w:cs="Times New Roman"/>
        </w:rPr>
        <w:t xml:space="preserve">concentrations of wealth, </w:t>
      </w:r>
      <w:r w:rsidR="00CE126C" w:rsidRPr="00304A3B">
        <w:rPr>
          <w:rFonts w:ascii="Times New Roman" w:hAnsi="Times New Roman" w:cs="Times New Roman"/>
        </w:rPr>
        <w:t xml:space="preserve">corporate decision-making, and </w:t>
      </w:r>
      <w:r w:rsidR="00406072" w:rsidRPr="00304A3B">
        <w:rPr>
          <w:rFonts w:ascii="Times New Roman" w:hAnsi="Times New Roman" w:cs="Times New Roman"/>
        </w:rPr>
        <w:t xml:space="preserve">international </w:t>
      </w:r>
      <w:r w:rsidR="00CE126C" w:rsidRPr="00304A3B">
        <w:rPr>
          <w:rFonts w:ascii="Times New Roman" w:hAnsi="Times New Roman" w:cs="Times New Roman"/>
        </w:rPr>
        <w:t>exchange</w:t>
      </w:r>
      <w:r w:rsidR="00460CC6" w:rsidRPr="00304A3B">
        <w:rPr>
          <w:rFonts w:ascii="Times New Roman" w:hAnsi="Times New Roman" w:cs="Times New Roman"/>
        </w:rPr>
        <w:t>.</w:t>
      </w:r>
    </w:p>
    <w:p w14:paraId="1EDD8752" w14:textId="481F2BC8" w:rsidR="00460CC6" w:rsidRPr="00304A3B" w:rsidRDefault="00460CC6" w:rsidP="00590BBC">
      <w:pPr>
        <w:spacing w:line="240" w:lineRule="auto"/>
        <w:rPr>
          <w:rFonts w:ascii="Times New Roman" w:hAnsi="Times New Roman" w:cs="Times New Roman"/>
          <w:b/>
        </w:rPr>
      </w:pPr>
      <w:proofErr w:type="gramStart"/>
      <w:r w:rsidRPr="00304A3B">
        <w:rPr>
          <w:rFonts w:ascii="Times New Roman" w:hAnsi="Times New Roman" w:cs="Times New Roman"/>
          <w:b/>
        </w:rPr>
        <w:t>Map 2.</w:t>
      </w:r>
      <w:proofErr w:type="gramEnd"/>
      <w:r w:rsidRPr="00304A3B">
        <w:rPr>
          <w:rFonts w:ascii="Times New Roman" w:hAnsi="Times New Roman" w:cs="Times New Roman"/>
          <w:b/>
        </w:rPr>
        <w:t xml:space="preserve"> Global Giants</w:t>
      </w:r>
      <w:r w:rsidR="00E02F56">
        <w:rPr>
          <w:rFonts w:ascii="Times New Roman" w:hAnsi="Times New Roman" w:cs="Times New Roman"/>
          <w:b/>
        </w:rPr>
        <w:t xml:space="preserve">, 2015 </w:t>
      </w:r>
    </w:p>
    <w:p w14:paraId="73E66869" w14:textId="77777777" w:rsidR="009363BE" w:rsidRDefault="009363BE" w:rsidP="00126654">
      <w:pPr>
        <w:spacing w:line="240" w:lineRule="auto"/>
        <w:rPr>
          <w:rFonts w:ascii="Times New Roman" w:hAnsi="Times New Roman" w:cs="Times New Roman"/>
          <w:b/>
        </w:rPr>
      </w:pPr>
    </w:p>
    <w:p w14:paraId="1367C9F2" w14:textId="77949FD8" w:rsidR="00126654" w:rsidRPr="00304A3B" w:rsidRDefault="0069676F" w:rsidP="00126654">
      <w:pPr>
        <w:spacing w:line="240" w:lineRule="auto"/>
        <w:rPr>
          <w:rFonts w:ascii="Times New Roman" w:hAnsi="Times New Roman" w:cs="Times New Roman"/>
          <w:b/>
        </w:rPr>
      </w:pPr>
      <w:proofErr w:type="gramStart"/>
      <w:r w:rsidRPr="00304A3B">
        <w:rPr>
          <w:rFonts w:ascii="Times New Roman" w:hAnsi="Times New Roman" w:cs="Times New Roman"/>
          <w:b/>
        </w:rPr>
        <w:t>Table 3.</w:t>
      </w:r>
      <w:proofErr w:type="gramEnd"/>
      <w:r w:rsidRPr="00304A3B">
        <w:rPr>
          <w:rFonts w:ascii="Times New Roman" w:hAnsi="Times New Roman" w:cs="Times New Roman"/>
          <w:b/>
        </w:rPr>
        <w:t xml:space="preserve"> Global Giants </w:t>
      </w:r>
      <w:r w:rsidR="008C2436">
        <w:rPr>
          <w:rFonts w:ascii="Times New Roman" w:hAnsi="Times New Roman" w:cs="Times New Roman"/>
          <w:b/>
        </w:rPr>
        <w:t>e</w:t>
      </w:r>
      <w:r w:rsidR="009363BE">
        <w:rPr>
          <w:rFonts w:ascii="Times New Roman" w:hAnsi="Times New Roman" w:cs="Times New Roman"/>
          <w:b/>
        </w:rPr>
        <w:t xml:space="preserve">conomic </w:t>
      </w:r>
      <w:r w:rsidR="008C2436">
        <w:rPr>
          <w:rFonts w:ascii="Times New Roman" w:hAnsi="Times New Roman" w:cs="Times New Roman"/>
          <w:b/>
        </w:rPr>
        <w:t>i</w:t>
      </w:r>
      <w:r w:rsidR="009363BE">
        <w:rPr>
          <w:rFonts w:ascii="Times New Roman" w:hAnsi="Times New Roman" w:cs="Times New Roman"/>
          <w:b/>
        </w:rPr>
        <w:t>ndicators, 2015</w:t>
      </w:r>
    </w:p>
    <w:p w14:paraId="1DBCC3EA" w14:textId="77777777" w:rsidR="00D94563" w:rsidRDefault="00D94563" w:rsidP="00126654">
      <w:pPr>
        <w:spacing w:line="240" w:lineRule="auto"/>
        <w:rPr>
          <w:rFonts w:ascii="Times New Roman" w:hAnsi="Times New Roman" w:cs="Times New Roman"/>
          <w:b/>
        </w:rPr>
      </w:pPr>
    </w:p>
    <w:p w14:paraId="4CB725E3" w14:textId="468D58D1" w:rsidR="00460CC6" w:rsidRPr="00304A3B" w:rsidRDefault="00460CC6" w:rsidP="00126654">
      <w:pPr>
        <w:spacing w:line="240" w:lineRule="auto"/>
        <w:rPr>
          <w:rFonts w:ascii="Times New Roman" w:hAnsi="Times New Roman" w:cs="Times New Roman"/>
          <w:b/>
        </w:rPr>
      </w:pPr>
      <w:proofErr w:type="gramStart"/>
      <w:r w:rsidRPr="00304A3B">
        <w:rPr>
          <w:rFonts w:ascii="Times New Roman" w:hAnsi="Times New Roman" w:cs="Times New Roman"/>
          <w:b/>
        </w:rPr>
        <w:t>Figure 2.</w:t>
      </w:r>
      <w:proofErr w:type="gramEnd"/>
      <w:r w:rsidRPr="00304A3B">
        <w:rPr>
          <w:rFonts w:ascii="Times New Roman" w:hAnsi="Times New Roman" w:cs="Times New Roman"/>
          <w:b/>
        </w:rPr>
        <w:t xml:space="preserve"> </w:t>
      </w:r>
      <w:r w:rsidR="00DB7829" w:rsidRPr="00304A3B">
        <w:rPr>
          <w:rFonts w:ascii="Times New Roman" w:hAnsi="Times New Roman" w:cs="Times New Roman"/>
          <w:b/>
        </w:rPr>
        <w:t>Global Giant</w:t>
      </w:r>
      <w:r w:rsidRPr="00304A3B">
        <w:rPr>
          <w:rFonts w:ascii="Times New Roman" w:hAnsi="Times New Roman" w:cs="Times New Roman"/>
          <w:b/>
        </w:rPr>
        <w:t xml:space="preserve"> </w:t>
      </w:r>
      <w:r w:rsidR="00F12144">
        <w:rPr>
          <w:rFonts w:ascii="Times New Roman" w:hAnsi="Times New Roman" w:cs="Times New Roman"/>
          <w:b/>
        </w:rPr>
        <w:t>i</w:t>
      </w:r>
      <w:r w:rsidRPr="00304A3B">
        <w:rPr>
          <w:rFonts w:ascii="Times New Roman" w:hAnsi="Times New Roman" w:cs="Times New Roman"/>
          <w:b/>
        </w:rPr>
        <w:t>ndicators</w:t>
      </w:r>
      <w:r w:rsidR="009363BE">
        <w:rPr>
          <w:rFonts w:ascii="Times New Roman" w:hAnsi="Times New Roman" w:cs="Times New Roman"/>
          <w:b/>
        </w:rPr>
        <w:t>, 2015 or most recent year available</w:t>
      </w:r>
    </w:p>
    <w:p w14:paraId="3CD3F2E7" w14:textId="1BC5196E" w:rsidR="00460CC6" w:rsidRPr="00304A3B" w:rsidRDefault="00460CC6" w:rsidP="00887578">
      <w:pPr>
        <w:spacing w:line="240" w:lineRule="auto"/>
        <w:ind w:left="-630"/>
        <w:jc w:val="center"/>
        <w:rPr>
          <w:rFonts w:ascii="Times New Roman" w:hAnsi="Times New Roman" w:cs="Times New Roman"/>
          <w:b/>
        </w:rPr>
      </w:pPr>
    </w:p>
    <w:p w14:paraId="5B71C545" w14:textId="62FA6E69" w:rsidR="00800A1D" w:rsidRPr="00304A3B" w:rsidRDefault="008A7ADD" w:rsidP="00D21331">
      <w:pPr>
        <w:spacing w:line="240" w:lineRule="auto"/>
        <w:rPr>
          <w:rFonts w:ascii="Times New Roman" w:hAnsi="Times New Roman" w:cs="Times New Roman"/>
        </w:rPr>
      </w:pPr>
      <w:r w:rsidRPr="00304A3B">
        <w:rPr>
          <w:rFonts w:ascii="Times New Roman" w:hAnsi="Times New Roman" w:cs="Times New Roman"/>
        </w:rPr>
        <w:t>The first characteristic that binds these metro areas together is their sheer</w:t>
      </w:r>
      <w:r w:rsidR="001D7BCF" w:rsidRPr="00304A3B">
        <w:rPr>
          <w:rFonts w:ascii="Times New Roman" w:hAnsi="Times New Roman" w:cs="Times New Roman"/>
        </w:rPr>
        <w:t xml:space="preserve"> size</w:t>
      </w:r>
      <w:r w:rsidRPr="00304A3B">
        <w:rPr>
          <w:rFonts w:ascii="Times New Roman" w:hAnsi="Times New Roman" w:cs="Times New Roman"/>
        </w:rPr>
        <w:t xml:space="preserve">. On average, </w:t>
      </w:r>
      <w:r w:rsidR="00374138" w:rsidRPr="00304A3B">
        <w:rPr>
          <w:rFonts w:ascii="Times New Roman" w:hAnsi="Times New Roman" w:cs="Times New Roman"/>
        </w:rPr>
        <w:t>Global Giants</w:t>
      </w:r>
      <w:r w:rsidRPr="00304A3B">
        <w:rPr>
          <w:rFonts w:ascii="Times New Roman" w:hAnsi="Times New Roman" w:cs="Times New Roman"/>
        </w:rPr>
        <w:t xml:space="preserve"> house </w:t>
      </w:r>
      <w:r w:rsidR="00D21331" w:rsidRPr="00304A3B">
        <w:rPr>
          <w:rFonts w:ascii="Times New Roman" w:hAnsi="Times New Roman" w:cs="Times New Roman"/>
        </w:rPr>
        <w:t>19.4</w:t>
      </w:r>
      <w:r w:rsidRPr="00304A3B">
        <w:rPr>
          <w:rFonts w:ascii="Times New Roman" w:hAnsi="Times New Roman" w:cs="Times New Roman"/>
        </w:rPr>
        <w:t xml:space="preserve"> million</w:t>
      </w:r>
      <w:r w:rsidR="00D21331" w:rsidRPr="00304A3B">
        <w:rPr>
          <w:rFonts w:ascii="Times New Roman" w:hAnsi="Times New Roman" w:cs="Times New Roman"/>
        </w:rPr>
        <w:t xml:space="preserve"> residents and generate over $1 trillion</w:t>
      </w:r>
      <w:r w:rsidRPr="00304A3B">
        <w:rPr>
          <w:rFonts w:ascii="Times New Roman" w:hAnsi="Times New Roman" w:cs="Times New Roman"/>
        </w:rPr>
        <w:t xml:space="preserve"> in</w:t>
      </w:r>
      <w:r w:rsidR="001F7207" w:rsidRPr="00304A3B">
        <w:rPr>
          <w:rFonts w:ascii="Times New Roman" w:hAnsi="Times New Roman" w:cs="Times New Roman"/>
        </w:rPr>
        <w:t xml:space="preserve"> real</w:t>
      </w:r>
      <w:r w:rsidRPr="00304A3B">
        <w:rPr>
          <w:rFonts w:ascii="Times New Roman" w:hAnsi="Times New Roman" w:cs="Times New Roman"/>
        </w:rPr>
        <w:t xml:space="preserve"> </w:t>
      </w:r>
      <w:r w:rsidR="004D59C7" w:rsidRPr="00304A3B">
        <w:rPr>
          <w:rFonts w:ascii="Times New Roman" w:hAnsi="Times New Roman" w:cs="Times New Roman"/>
        </w:rPr>
        <w:t>output, the latter being three times larger than the</w:t>
      </w:r>
      <w:r w:rsidR="000E1C4A" w:rsidRPr="00304A3B">
        <w:rPr>
          <w:rFonts w:ascii="Times New Roman" w:hAnsi="Times New Roman" w:cs="Times New Roman"/>
        </w:rPr>
        <w:t xml:space="preserve"> next largest set of economies (</w:t>
      </w:r>
      <w:r w:rsidR="00A8624E" w:rsidRPr="00304A3B">
        <w:rPr>
          <w:rFonts w:ascii="Times New Roman" w:hAnsi="Times New Roman" w:cs="Times New Roman"/>
        </w:rPr>
        <w:t>Asian Anchors</w:t>
      </w:r>
      <w:r w:rsidR="000E1C4A" w:rsidRPr="00304A3B">
        <w:rPr>
          <w:rFonts w:ascii="Times New Roman" w:hAnsi="Times New Roman" w:cs="Times New Roman"/>
        </w:rPr>
        <w:t>)</w:t>
      </w:r>
      <w:r w:rsidR="004D59C7" w:rsidRPr="00304A3B">
        <w:rPr>
          <w:rFonts w:ascii="Times New Roman" w:hAnsi="Times New Roman" w:cs="Times New Roman"/>
        </w:rPr>
        <w:t xml:space="preserve">. </w:t>
      </w:r>
      <w:r w:rsidR="000E1C4A" w:rsidRPr="00304A3B">
        <w:rPr>
          <w:rFonts w:ascii="Times New Roman" w:hAnsi="Times New Roman" w:cs="Times New Roman"/>
        </w:rPr>
        <w:t>If grouped into one sovereign nation</w:t>
      </w:r>
      <w:r w:rsidRPr="00304A3B">
        <w:rPr>
          <w:rFonts w:ascii="Times New Roman" w:hAnsi="Times New Roman" w:cs="Times New Roman"/>
        </w:rPr>
        <w:t>, they would be the third largest economy in the world</w:t>
      </w:r>
      <w:r w:rsidR="00EA5E91" w:rsidRPr="00304A3B">
        <w:rPr>
          <w:rFonts w:ascii="Times New Roman" w:hAnsi="Times New Roman" w:cs="Times New Roman"/>
        </w:rPr>
        <w:t xml:space="preserve">. Beyond their overall economic clout, these metro economies </w:t>
      </w:r>
      <w:r w:rsidR="000E1C4A" w:rsidRPr="00304A3B">
        <w:rPr>
          <w:rFonts w:ascii="Times New Roman" w:hAnsi="Times New Roman" w:cs="Times New Roman"/>
        </w:rPr>
        <w:t xml:space="preserve">are highly productive and </w:t>
      </w:r>
      <w:r w:rsidR="00EA5E91" w:rsidRPr="00304A3B">
        <w:rPr>
          <w:rFonts w:ascii="Times New Roman" w:hAnsi="Times New Roman" w:cs="Times New Roman"/>
        </w:rPr>
        <w:t>generate enormous wealth. They have the second hi</w:t>
      </w:r>
      <w:r w:rsidR="000E1C4A" w:rsidRPr="00304A3B">
        <w:rPr>
          <w:rFonts w:ascii="Times New Roman" w:hAnsi="Times New Roman" w:cs="Times New Roman"/>
        </w:rPr>
        <w:t xml:space="preserve">ghest average </w:t>
      </w:r>
      <w:r w:rsidR="00C53C27" w:rsidRPr="00304A3B">
        <w:rPr>
          <w:rFonts w:ascii="Times New Roman" w:hAnsi="Times New Roman" w:cs="Times New Roman"/>
        </w:rPr>
        <w:t xml:space="preserve">nominal </w:t>
      </w:r>
      <w:r w:rsidR="000E1C4A" w:rsidRPr="00304A3B">
        <w:rPr>
          <w:rFonts w:ascii="Times New Roman" w:hAnsi="Times New Roman" w:cs="Times New Roman"/>
        </w:rPr>
        <w:t>GDP per person ($58</w:t>
      </w:r>
      <w:r w:rsidR="00EA5E91" w:rsidRPr="00304A3B">
        <w:rPr>
          <w:rFonts w:ascii="Times New Roman" w:hAnsi="Times New Roman" w:cs="Times New Roman"/>
        </w:rPr>
        <w:t>,000) and GDP per worker ($11</w:t>
      </w:r>
      <w:r w:rsidR="000E1C4A" w:rsidRPr="00304A3B">
        <w:rPr>
          <w:rFonts w:ascii="Times New Roman" w:hAnsi="Times New Roman" w:cs="Times New Roman"/>
        </w:rPr>
        <w:t>6</w:t>
      </w:r>
      <w:r w:rsidR="00EA5E91" w:rsidRPr="00304A3B">
        <w:rPr>
          <w:rFonts w:ascii="Times New Roman" w:hAnsi="Times New Roman" w:cs="Times New Roman"/>
        </w:rPr>
        <w:t xml:space="preserve">,000) among the </w:t>
      </w:r>
      <w:r w:rsidR="00857589" w:rsidRPr="00304A3B">
        <w:rPr>
          <w:rFonts w:ascii="Times New Roman" w:hAnsi="Times New Roman" w:cs="Times New Roman"/>
        </w:rPr>
        <w:t>metro groups</w:t>
      </w:r>
      <w:r w:rsidR="00EA5E91" w:rsidRPr="00304A3B">
        <w:rPr>
          <w:rFonts w:ascii="Times New Roman" w:hAnsi="Times New Roman" w:cs="Times New Roman"/>
        </w:rPr>
        <w:t xml:space="preserve">, only behind the </w:t>
      </w:r>
      <w:r w:rsidR="00A8624E" w:rsidRPr="00304A3B">
        <w:rPr>
          <w:rFonts w:ascii="Times New Roman" w:hAnsi="Times New Roman" w:cs="Times New Roman"/>
        </w:rPr>
        <w:t>Knowledge Capitals</w:t>
      </w:r>
      <w:r w:rsidR="001E19F3" w:rsidRPr="00304A3B">
        <w:rPr>
          <w:rFonts w:ascii="Times New Roman" w:hAnsi="Times New Roman" w:cs="Times New Roman"/>
        </w:rPr>
        <w:t>.</w:t>
      </w:r>
    </w:p>
    <w:p w14:paraId="7280C5BB" w14:textId="3EDDDB13" w:rsidR="00F12144" w:rsidRDefault="00F12144" w:rsidP="00863DBA">
      <w:pPr>
        <w:spacing w:line="240" w:lineRule="auto"/>
        <w:rPr>
          <w:rFonts w:ascii="Times New Roman" w:hAnsi="Times New Roman" w:cs="Times New Roman"/>
        </w:rPr>
      </w:pPr>
      <w:proofErr w:type="gramStart"/>
      <w:r w:rsidRPr="00F12144">
        <w:rPr>
          <w:rFonts w:ascii="Times New Roman" w:hAnsi="Times New Roman" w:cs="Times New Roman"/>
          <w:b/>
        </w:rPr>
        <w:t>Figure 3.</w:t>
      </w:r>
      <w:proofErr w:type="gramEnd"/>
      <w:r w:rsidRPr="00F12144">
        <w:rPr>
          <w:rFonts w:ascii="Times New Roman" w:hAnsi="Times New Roman" w:cs="Times New Roman"/>
          <w:b/>
        </w:rPr>
        <w:t xml:space="preserve"> Average metropolitan gross domestic product </w:t>
      </w:r>
      <w:r w:rsidR="00112BC8">
        <w:rPr>
          <w:rFonts w:ascii="Times New Roman" w:hAnsi="Times New Roman" w:cs="Times New Roman"/>
          <w:b/>
        </w:rPr>
        <w:t>(m</w:t>
      </w:r>
      <w:r w:rsidRPr="00F12144">
        <w:rPr>
          <w:rFonts w:ascii="Times New Roman" w:hAnsi="Times New Roman" w:cs="Times New Roman"/>
          <w:b/>
        </w:rPr>
        <w:t>illions of USD PPP), 2015</w:t>
      </w:r>
    </w:p>
    <w:p w14:paraId="61194627" w14:textId="729AE8D0" w:rsidR="00693A3E" w:rsidRPr="00304A3B" w:rsidRDefault="00EA5E91" w:rsidP="00863DBA">
      <w:pPr>
        <w:spacing w:line="240" w:lineRule="auto"/>
        <w:rPr>
          <w:rFonts w:ascii="Times New Roman" w:hAnsi="Times New Roman" w:cs="Times New Roman"/>
        </w:rPr>
      </w:pPr>
      <w:r w:rsidRPr="00304A3B">
        <w:rPr>
          <w:rFonts w:ascii="Times New Roman" w:hAnsi="Times New Roman" w:cs="Times New Roman"/>
        </w:rPr>
        <w:t>These wealth levels stem fr</w:t>
      </w:r>
      <w:r w:rsidR="000E1C4A" w:rsidRPr="00304A3B">
        <w:rPr>
          <w:rFonts w:ascii="Times New Roman" w:hAnsi="Times New Roman" w:cs="Times New Roman"/>
        </w:rPr>
        <w:t>om the incredible concentration</w:t>
      </w:r>
      <w:r w:rsidRPr="00304A3B">
        <w:rPr>
          <w:rFonts w:ascii="Times New Roman" w:hAnsi="Times New Roman" w:cs="Times New Roman"/>
        </w:rPr>
        <w:t xml:space="preserve"> of financial and business services</w:t>
      </w:r>
      <w:r w:rsidR="000E1C4A" w:rsidRPr="00304A3B">
        <w:rPr>
          <w:rFonts w:ascii="Times New Roman" w:hAnsi="Times New Roman" w:cs="Times New Roman"/>
        </w:rPr>
        <w:t xml:space="preserve"> in these markets</w:t>
      </w:r>
      <w:r w:rsidRPr="00304A3B">
        <w:rPr>
          <w:rFonts w:ascii="Times New Roman" w:hAnsi="Times New Roman" w:cs="Times New Roman"/>
        </w:rPr>
        <w:t xml:space="preserve">. </w:t>
      </w:r>
      <w:r w:rsidR="00794562" w:rsidRPr="00304A3B">
        <w:rPr>
          <w:rFonts w:ascii="Times New Roman" w:hAnsi="Times New Roman" w:cs="Times New Roman"/>
        </w:rPr>
        <w:t>Those sectors</w:t>
      </w:r>
      <w:r w:rsidR="00693A3E" w:rsidRPr="00304A3B">
        <w:rPr>
          <w:rFonts w:ascii="Times New Roman" w:hAnsi="Times New Roman" w:cs="Times New Roman"/>
        </w:rPr>
        <w:t xml:space="preserve"> generate </w:t>
      </w:r>
      <w:r w:rsidRPr="00304A3B">
        <w:rPr>
          <w:rFonts w:ascii="Times New Roman" w:hAnsi="Times New Roman" w:cs="Times New Roman"/>
        </w:rPr>
        <w:t>4</w:t>
      </w:r>
      <w:r w:rsidR="001D7BCF" w:rsidRPr="00304A3B">
        <w:rPr>
          <w:rFonts w:ascii="Times New Roman" w:hAnsi="Times New Roman" w:cs="Times New Roman"/>
        </w:rPr>
        <w:t>1</w:t>
      </w:r>
      <w:r w:rsidRPr="00304A3B">
        <w:rPr>
          <w:rFonts w:ascii="Times New Roman" w:hAnsi="Times New Roman" w:cs="Times New Roman"/>
        </w:rPr>
        <w:t xml:space="preserve"> percent </w:t>
      </w:r>
      <w:r w:rsidR="00A11EE5" w:rsidRPr="00304A3B">
        <w:rPr>
          <w:rFonts w:ascii="Times New Roman" w:hAnsi="Times New Roman" w:cs="Times New Roman"/>
        </w:rPr>
        <w:t>of gross value added, on average, in this group</w:t>
      </w:r>
      <w:r w:rsidRPr="00304A3B">
        <w:rPr>
          <w:rFonts w:ascii="Times New Roman" w:hAnsi="Times New Roman" w:cs="Times New Roman"/>
        </w:rPr>
        <w:t xml:space="preserve">. About 20 percent of the </w:t>
      </w:r>
      <w:r w:rsidR="00693A3E" w:rsidRPr="00304A3B">
        <w:rPr>
          <w:rFonts w:ascii="Times New Roman" w:hAnsi="Times New Roman" w:cs="Times New Roman"/>
        </w:rPr>
        <w:t xml:space="preserve">Forbes Global </w:t>
      </w:r>
      <w:r w:rsidRPr="00304A3B">
        <w:rPr>
          <w:rFonts w:ascii="Times New Roman" w:hAnsi="Times New Roman" w:cs="Times New Roman"/>
        </w:rPr>
        <w:t xml:space="preserve">2000 </w:t>
      </w:r>
      <w:r w:rsidR="00793FA5" w:rsidRPr="00304A3B">
        <w:rPr>
          <w:rFonts w:ascii="Times New Roman" w:hAnsi="Times New Roman" w:cs="Times New Roman"/>
        </w:rPr>
        <w:t xml:space="preserve">and 18 percent of global firms with more than $1 billion in revenue </w:t>
      </w:r>
      <w:r w:rsidRPr="00304A3B">
        <w:rPr>
          <w:rFonts w:ascii="Times New Roman" w:hAnsi="Times New Roman" w:cs="Times New Roman"/>
        </w:rPr>
        <w:t>locate their he</w:t>
      </w:r>
      <w:r w:rsidR="00793FA5" w:rsidRPr="00304A3B">
        <w:rPr>
          <w:rFonts w:ascii="Times New Roman" w:hAnsi="Times New Roman" w:cs="Times New Roman"/>
        </w:rPr>
        <w:t>adquarters in these six markets.</w:t>
      </w:r>
      <w:r w:rsidR="00693A3E" w:rsidRPr="00304A3B">
        <w:rPr>
          <w:rStyle w:val="EndnoteReference"/>
          <w:rFonts w:ascii="Times New Roman" w:hAnsi="Times New Roman" w:cs="Times New Roman"/>
        </w:rPr>
        <w:endnoteReference w:id="51"/>
      </w:r>
      <w:r w:rsidRPr="00304A3B">
        <w:rPr>
          <w:rFonts w:ascii="Times New Roman" w:hAnsi="Times New Roman" w:cs="Times New Roman"/>
        </w:rPr>
        <w:t xml:space="preserve"> Five of the </w:t>
      </w:r>
      <w:r w:rsidR="00693A3E" w:rsidRPr="00304A3B">
        <w:rPr>
          <w:rFonts w:ascii="Times New Roman" w:hAnsi="Times New Roman" w:cs="Times New Roman"/>
        </w:rPr>
        <w:t xml:space="preserve">world’s </w:t>
      </w:r>
      <w:r w:rsidRPr="00304A3B">
        <w:rPr>
          <w:rFonts w:ascii="Times New Roman" w:hAnsi="Times New Roman" w:cs="Times New Roman"/>
        </w:rPr>
        <w:t xml:space="preserve">seven largest stock exchanges, by market capitalization, </w:t>
      </w:r>
      <w:r w:rsidR="00693A3E" w:rsidRPr="00304A3B">
        <w:rPr>
          <w:rFonts w:ascii="Times New Roman" w:hAnsi="Times New Roman" w:cs="Times New Roman"/>
        </w:rPr>
        <w:t>are headquartered in these cities.</w:t>
      </w:r>
      <w:r w:rsidRPr="00304A3B">
        <w:rPr>
          <w:rFonts w:ascii="Times New Roman" w:hAnsi="Times New Roman" w:cs="Times New Roman"/>
        </w:rPr>
        <w:t xml:space="preserve"> </w:t>
      </w:r>
      <w:r w:rsidR="000E1C4A" w:rsidRPr="00304A3B">
        <w:rPr>
          <w:rFonts w:ascii="Times New Roman" w:hAnsi="Times New Roman" w:cs="Times New Roman"/>
        </w:rPr>
        <w:t>Dense</w:t>
      </w:r>
      <w:r w:rsidR="00693A3E" w:rsidRPr="00304A3B">
        <w:rPr>
          <w:rFonts w:ascii="Times New Roman" w:hAnsi="Times New Roman" w:cs="Times New Roman"/>
        </w:rPr>
        <w:t xml:space="preserve"> clusters of advanced producer services firms in law, accounting, management consulting, and advertising have formed to support the complex decision-making occurring in the financial markets and board rooms of multinational firms.</w:t>
      </w:r>
      <w:r w:rsidR="00693A3E" w:rsidRPr="00304A3B">
        <w:rPr>
          <w:rStyle w:val="EndnoteReference"/>
          <w:rFonts w:ascii="Times New Roman" w:hAnsi="Times New Roman" w:cs="Times New Roman"/>
        </w:rPr>
        <w:endnoteReference w:id="52"/>
      </w:r>
      <w:r w:rsidR="000E1C4A" w:rsidRPr="00304A3B">
        <w:rPr>
          <w:rFonts w:ascii="Times New Roman" w:hAnsi="Times New Roman" w:cs="Times New Roman"/>
        </w:rPr>
        <w:t xml:space="preserve"> </w:t>
      </w:r>
    </w:p>
    <w:p w14:paraId="4A131DA4" w14:textId="390B03C4" w:rsidR="001E19F3" w:rsidRPr="00304A3B" w:rsidRDefault="00380F73" w:rsidP="00887578">
      <w:pPr>
        <w:spacing w:after="0" w:line="240" w:lineRule="auto"/>
        <w:rPr>
          <w:noProof/>
          <w:lang w:eastAsia="en-US"/>
        </w:rPr>
      </w:pPr>
      <w:proofErr w:type="gramStart"/>
      <w:r w:rsidRPr="00304A3B">
        <w:rPr>
          <w:rFonts w:ascii="Times New Roman" w:hAnsi="Times New Roman" w:cs="Times New Roman"/>
          <w:b/>
        </w:rPr>
        <w:t>Figure 4.</w:t>
      </w:r>
      <w:proofErr w:type="gramEnd"/>
      <w:r w:rsidRPr="00304A3B">
        <w:rPr>
          <w:rFonts w:ascii="Times New Roman" w:hAnsi="Times New Roman" w:cs="Times New Roman"/>
          <w:b/>
        </w:rPr>
        <w:t xml:space="preserve"> Gross </w:t>
      </w:r>
      <w:r w:rsidR="008C2436">
        <w:rPr>
          <w:rFonts w:ascii="Times New Roman" w:hAnsi="Times New Roman" w:cs="Times New Roman"/>
          <w:b/>
        </w:rPr>
        <w:t>v</w:t>
      </w:r>
      <w:r w:rsidRPr="00304A3B">
        <w:rPr>
          <w:rFonts w:ascii="Times New Roman" w:hAnsi="Times New Roman" w:cs="Times New Roman"/>
          <w:b/>
        </w:rPr>
        <w:t xml:space="preserve">alue </w:t>
      </w:r>
      <w:r w:rsidR="008C2436">
        <w:rPr>
          <w:rFonts w:ascii="Times New Roman" w:hAnsi="Times New Roman" w:cs="Times New Roman"/>
          <w:b/>
        </w:rPr>
        <w:t>a</w:t>
      </w:r>
      <w:r w:rsidRPr="00304A3B">
        <w:rPr>
          <w:rFonts w:ascii="Times New Roman" w:hAnsi="Times New Roman" w:cs="Times New Roman"/>
          <w:b/>
        </w:rPr>
        <w:t xml:space="preserve">dded by </w:t>
      </w:r>
      <w:r w:rsidR="008C2436">
        <w:rPr>
          <w:rFonts w:ascii="Times New Roman" w:hAnsi="Times New Roman" w:cs="Times New Roman"/>
          <w:b/>
        </w:rPr>
        <w:t>t</w:t>
      </w:r>
      <w:r w:rsidR="00087A1A" w:rsidRPr="00304A3B">
        <w:rPr>
          <w:rFonts w:ascii="Times New Roman" w:hAnsi="Times New Roman" w:cs="Times New Roman"/>
          <w:b/>
        </w:rPr>
        <w:t xml:space="preserve">ype of </w:t>
      </w:r>
      <w:r w:rsidR="008C2436">
        <w:rPr>
          <w:rFonts w:ascii="Times New Roman" w:hAnsi="Times New Roman" w:cs="Times New Roman"/>
          <w:b/>
        </w:rPr>
        <w:t>s</w:t>
      </w:r>
      <w:r w:rsidRPr="00304A3B">
        <w:rPr>
          <w:rFonts w:ascii="Times New Roman" w:hAnsi="Times New Roman" w:cs="Times New Roman"/>
          <w:b/>
        </w:rPr>
        <w:t>ervice</w:t>
      </w:r>
      <w:r w:rsidR="00D94563">
        <w:rPr>
          <w:rFonts w:ascii="Times New Roman" w:hAnsi="Times New Roman" w:cs="Times New Roman"/>
          <w:b/>
        </w:rPr>
        <w:t>, 2015</w:t>
      </w:r>
    </w:p>
    <w:p w14:paraId="09A599F5" w14:textId="3AA717CF" w:rsidR="00126654" w:rsidRPr="00304A3B" w:rsidRDefault="00126654" w:rsidP="00887578">
      <w:pPr>
        <w:spacing w:after="0" w:line="240" w:lineRule="auto"/>
        <w:rPr>
          <w:rFonts w:ascii="Times New Roman" w:hAnsi="Times New Roman" w:cs="Times New Roman"/>
        </w:rPr>
      </w:pPr>
    </w:p>
    <w:p w14:paraId="2DF2C8B4" w14:textId="77777777" w:rsidR="00126654" w:rsidRPr="00304A3B" w:rsidRDefault="00126654" w:rsidP="00887578">
      <w:pPr>
        <w:spacing w:after="0" w:line="240" w:lineRule="auto"/>
        <w:rPr>
          <w:rFonts w:ascii="Times New Roman" w:hAnsi="Times New Roman" w:cs="Times New Roman"/>
        </w:rPr>
      </w:pPr>
    </w:p>
    <w:p w14:paraId="21A53776" w14:textId="778FD91E" w:rsidR="00EA5E91" w:rsidRPr="00304A3B" w:rsidRDefault="00693A3E" w:rsidP="00863DBA">
      <w:pPr>
        <w:spacing w:line="240" w:lineRule="auto"/>
        <w:rPr>
          <w:rFonts w:ascii="Times New Roman" w:hAnsi="Times New Roman" w:cs="Times New Roman"/>
        </w:rPr>
      </w:pPr>
      <w:r w:rsidRPr="00304A3B">
        <w:rPr>
          <w:rFonts w:ascii="Times New Roman" w:hAnsi="Times New Roman" w:cs="Times New Roman"/>
        </w:rPr>
        <w:t xml:space="preserve">These are also the world’s major nodes for flows of people, capital, and knowledge. In 2014, </w:t>
      </w:r>
      <w:r w:rsidR="001D7BCF" w:rsidRPr="00304A3B">
        <w:rPr>
          <w:rFonts w:ascii="Times New Roman" w:hAnsi="Times New Roman" w:cs="Times New Roman"/>
        </w:rPr>
        <w:t>over 800 million</w:t>
      </w:r>
      <w:r w:rsidR="00590BBC" w:rsidRPr="00304A3B">
        <w:rPr>
          <w:rFonts w:ascii="Times New Roman" w:hAnsi="Times New Roman" w:cs="Times New Roman"/>
        </w:rPr>
        <w:t xml:space="preserve"> aviation</w:t>
      </w:r>
      <w:r w:rsidRPr="00304A3B">
        <w:rPr>
          <w:rFonts w:ascii="Times New Roman" w:hAnsi="Times New Roman" w:cs="Times New Roman"/>
        </w:rPr>
        <w:t xml:space="preserve"> passengers traveled through these markets, by far the </w:t>
      </w:r>
      <w:r w:rsidR="00590BBC" w:rsidRPr="00304A3B">
        <w:rPr>
          <w:rFonts w:ascii="Times New Roman" w:hAnsi="Times New Roman" w:cs="Times New Roman"/>
        </w:rPr>
        <w:t xml:space="preserve">highest </w:t>
      </w:r>
      <w:r w:rsidR="00466CDA" w:rsidRPr="00304A3B">
        <w:rPr>
          <w:rFonts w:ascii="Times New Roman" w:hAnsi="Times New Roman" w:cs="Times New Roman"/>
        </w:rPr>
        <w:t xml:space="preserve">total </w:t>
      </w:r>
      <w:r w:rsidR="00590BBC" w:rsidRPr="00304A3B">
        <w:rPr>
          <w:rFonts w:ascii="Times New Roman" w:hAnsi="Times New Roman" w:cs="Times New Roman"/>
        </w:rPr>
        <w:t xml:space="preserve">of any </w:t>
      </w:r>
      <w:r w:rsidR="00857589" w:rsidRPr="00304A3B">
        <w:rPr>
          <w:rFonts w:ascii="Times New Roman" w:hAnsi="Times New Roman" w:cs="Times New Roman"/>
        </w:rPr>
        <w:t>grouping</w:t>
      </w:r>
      <w:r w:rsidR="00590BBC" w:rsidRPr="00304A3B">
        <w:rPr>
          <w:rFonts w:ascii="Times New Roman" w:hAnsi="Times New Roman" w:cs="Times New Roman"/>
        </w:rPr>
        <w:t xml:space="preserve">. </w:t>
      </w:r>
      <w:r w:rsidR="000E1C4A" w:rsidRPr="00304A3B">
        <w:rPr>
          <w:rFonts w:ascii="Times New Roman" w:hAnsi="Times New Roman" w:cs="Times New Roman"/>
        </w:rPr>
        <w:t>Global</w:t>
      </w:r>
      <w:r w:rsidR="00590BBC" w:rsidRPr="00304A3B">
        <w:rPr>
          <w:rFonts w:ascii="Times New Roman" w:hAnsi="Times New Roman" w:cs="Times New Roman"/>
        </w:rPr>
        <w:t xml:space="preserve"> travelers often stay to live and work; </w:t>
      </w:r>
      <w:r w:rsidR="008A002D" w:rsidRPr="00304A3B">
        <w:rPr>
          <w:rFonts w:ascii="Times New Roman" w:hAnsi="Times New Roman" w:cs="Times New Roman"/>
        </w:rPr>
        <w:t>a little under one in six</w:t>
      </w:r>
      <w:r w:rsidR="00590BBC" w:rsidRPr="00304A3B">
        <w:rPr>
          <w:rFonts w:ascii="Times New Roman" w:hAnsi="Times New Roman" w:cs="Times New Roman"/>
        </w:rPr>
        <w:t xml:space="preserve"> </w:t>
      </w:r>
      <w:proofErr w:type="gramStart"/>
      <w:r w:rsidR="00590BBC" w:rsidRPr="00304A3B">
        <w:rPr>
          <w:rFonts w:ascii="Times New Roman" w:hAnsi="Times New Roman" w:cs="Times New Roman"/>
        </w:rPr>
        <w:t>residents</w:t>
      </w:r>
      <w:proofErr w:type="gramEnd"/>
      <w:r w:rsidR="00590BBC" w:rsidRPr="00304A3B">
        <w:rPr>
          <w:rFonts w:ascii="Times New Roman" w:hAnsi="Times New Roman" w:cs="Times New Roman"/>
        </w:rPr>
        <w:t xml:space="preserve"> of </w:t>
      </w:r>
      <w:r w:rsidR="00374138" w:rsidRPr="00304A3B">
        <w:rPr>
          <w:rFonts w:ascii="Times New Roman" w:hAnsi="Times New Roman" w:cs="Times New Roman"/>
        </w:rPr>
        <w:t>a Global Giant</w:t>
      </w:r>
      <w:r w:rsidR="00590BBC" w:rsidRPr="00304A3B">
        <w:rPr>
          <w:rFonts w:ascii="Times New Roman" w:hAnsi="Times New Roman" w:cs="Times New Roman"/>
        </w:rPr>
        <w:t xml:space="preserve"> is foreign-born.</w:t>
      </w:r>
      <w:r w:rsidR="00794562" w:rsidRPr="00304A3B">
        <w:rPr>
          <w:rStyle w:val="EndnoteReference"/>
          <w:rFonts w:ascii="Times New Roman" w:hAnsi="Times New Roman" w:cs="Times New Roman"/>
        </w:rPr>
        <w:endnoteReference w:id="53"/>
      </w:r>
      <w:r w:rsidR="00590BBC" w:rsidRPr="00304A3B">
        <w:rPr>
          <w:rFonts w:ascii="Times New Roman" w:hAnsi="Times New Roman" w:cs="Times New Roman"/>
        </w:rPr>
        <w:t xml:space="preserve"> Capital flows seamlessly through </w:t>
      </w:r>
      <w:r w:rsidR="00374138" w:rsidRPr="00304A3B">
        <w:rPr>
          <w:rFonts w:ascii="Times New Roman" w:hAnsi="Times New Roman" w:cs="Times New Roman"/>
        </w:rPr>
        <w:t>Global Giants</w:t>
      </w:r>
      <w:r w:rsidR="00590BBC" w:rsidRPr="00304A3B">
        <w:rPr>
          <w:rFonts w:ascii="Times New Roman" w:hAnsi="Times New Roman" w:cs="Times New Roman"/>
        </w:rPr>
        <w:t>. Foreign investors parked an average of $</w:t>
      </w:r>
      <w:r w:rsidR="001D7BCF" w:rsidRPr="00304A3B">
        <w:rPr>
          <w:rFonts w:ascii="Times New Roman" w:hAnsi="Times New Roman" w:cs="Times New Roman"/>
        </w:rPr>
        <w:t>25</w:t>
      </w:r>
      <w:r w:rsidR="00590BBC" w:rsidRPr="00304A3B">
        <w:rPr>
          <w:rFonts w:ascii="Times New Roman" w:hAnsi="Times New Roman" w:cs="Times New Roman"/>
        </w:rPr>
        <w:t xml:space="preserve"> billion in these markets between 2009 and 2015, the second highest after the </w:t>
      </w:r>
      <w:r w:rsidR="00A8624E" w:rsidRPr="00304A3B">
        <w:rPr>
          <w:rFonts w:ascii="Times New Roman" w:hAnsi="Times New Roman" w:cs="Times New Roman"/>
        </w:rPr>
        <w:t>Asian Anchors</w:t>
      </w:r>
      <w:r w:rsidR="00590BBC" w:rsidRPr="00304A3B">
        <w:rPr>
          <w:rFonts w:ascii="Times New Roman" w:hAnsi="Times New Roman" w:cs="Times New Roman"/>
        </w:rPr>
        <w:t xml:space="preserve">. </w:t>
      </w:r>
      <w:r w:rsidR="001D7BCF" w:rsidRPr="00304A3B">
        <w:rPr>
          <w:rFonts w:ascii="Times New Roman" w:hAnsi="Times New Roman" w:cs="Times New Roman"/>
        </w:rPr>
        <w:t>Finally,</w:t>
      </w:r>
      <w:r w:rsidR="00F35EAC" w:rsidRPr="00304A3B">
        <w:rPr>
          <w:rFonts w:ascii="Times New Roman" w:hAnsi="Times New Roman" w:cs="Times New Roman"/>
        </w:rPr>
        <w:t xml:space="preserve"> k</w:t>
      </w:r>
      <w:r w:rsidR="00590BBC" w:rsidRPr="00304A3B">
        <w:rPr>
          <w:rFonts w:ascii="Times New Roman" w:hAnsi="Times New Roman" w:cs="Times New Roman"/>
        </w:rPr>
        <w:t>nowledge creation is increasingly a major function of these metro econom</w:t>
      </w:r>
      <w:bookmarkStart w:id="0" w:name="_GoBack"/>
      <w:bookmarkEnd w:id="0"/>
      <w:r w:rsidR="00590BBC" w:rsidRPr="00304A3B">
        <w:rPr>
          <w:rFonts w:ascii="Times New Roman" w:hAnsi="Times New Roman" w:cs="Times New Roman"/>
        </w:rPr>
        <w:t xml:space="preserve">ies. Among the seven </w:t>
      </w:r>
      <w:r w:rsidR="00857589" w:rsidRPr="00304A3B">
        <w:rPr>
          <w:rFonts w:ascii="Times New Roman" w:hAnsi="Times New Roman" w:cs="Times New Roman"/>
        </w:rPr>
        <w:t>types of metro areas</w:t>
      </w:r>
      <w:r w:rsidR="00590BBC" w:rsidRPr="00304A3B">
        <w:rPr>
          <w:rFonts w:ascii="Times New Roman" w:hAnsi="Times New Roman" w:cs="Times New Roman"/>
        </w:rPr>
        <w:t xml:space="preserve">, they have the highest education levels, </w:t>
      </w:r>
      <w:r w:rsidR="00A27DCF" w:rsidRPr="00304A3B">
        <w:rPr>
          <w:rFonts w:ascii="Times New Roman" w:hAnsi="Times New Roman" w:cs="Times New Roman"/>
        </w:rPr>
        <w:t xml:space="preserve">second highest </w:t>
      </w:r>
      <w:r w:rsidR="00590BBC" w:rsidRPr="00304A3B">
        <w:rPr>
          <w:rFonts w:ascii="Times New Roman" w:hAnsi="Times New Roman" w:cs="Times New Roman"/>
        </w:rPr>
        <w:t xml:space="preserve">patenting rates, and </w:t>
      </w:r>
      <w:r w:rsidR="00A27DCF" w:rsidRPr="00304A3B">
        <w:rPr>
          <w:rFonts w:ascii="Times New Roman" w:hAnsi="Times New Roman" w:cs="Times New Roman"/>
        </w:rPr>
        <w:t xml:space="preserve">second highest </w:t>
      </w:r>
      <w:r w:rsidR="00F35EAC" w:rsidRPr="00304A3B">
        <w:rPr>
          <w:rFonts w:ascii="Times New Roman" w:hAnsi="Times New Roman" w:cs="Times New Roman"/>
        </w:rPr>
        <w:t>share of high-</w:t>
      </w:r>
      <w:r w:rsidR="00590BBC" w:rsidRPr="00304A3B">
        <w:rPr>
          <w:rFonts w:ascii="Times New Roman" w:hAnsi="Times New Roman" w:cs="Times New Roman"/>
        </w:rPr>
        <w:t>impact scientific publications</w:t>
      </w:r>
      <w:r w:rsidR="00F35EAC" w:rsidRPr="00304A3B">
        <w:rPr>
          <w:rFonts w:ascii="Times New Roman" w:hAnsi="Times New Roman" w:cs="Times New Roman"/>
        </w:rPr>
        <w:t xml:space="preserve"> in their universities</w:t>
      </w:r>
      <w:r w:rsidR="00590BBC" w:rsidRPr="00304A3B">
        <w:rPr>
          <w:rFonts w:ascii="Times New Roman" w:hAnsi="Times New Roman" w:cs="Times New Roman"/>
        </w:rPr>
        <w:t xml:space="preserve">. </w:t>
      </w:r>
      <w:r w:rsidR="001D7BCF" w:rsidRPr="00304A3B">
        <w:rPr>
          <w:rFonts w:ascii="Times New Roman" w:hAnsi="Times New Roman" w:cs="Times New Roman"/>
        </w:rPr>
        <w:t xml:space="preserve">Every metro area except Osaka is among the top 15 </w:t>
      </w:r>
      <w:r w:rsidR="00A27DCF" w:rsidRPr="00304A3B">
        <w:rPr>
          <w:rFonts w:ascii="Times New Roman" w:hAnsi="Times New Roman" w:cs="Times New Roman"/>
        </w:rPr>
        <w:t xml:space="preserve">globally </w:t>
      </w:r>
      <w:r w:rsidR="001D7BCF" w:rsidRPr="00304A3B">
        <w:rPr>
          <w:rFonts w:ascii="Times New Roman" w:hAnsi="Times New Roman" w:cs="Times New Roman"/>
        </w:rPr>
        <w:t xml:space="preserve">in terms </w:t>
      </w:r>
      <w:r w:rsidR="00A27DCF" w:rsidRPr="00304A3B">
        <w:rPr>
          <w:rFonts w:ascii="Times New Roman" w:hAnsi="Times New Roman" w:cs="Times New Roman"/>
        </w:rPr>
        <w:t>of</w:t>
      </w:r>
      <w:r w:rsidR="001D7BCF" w:rsidRPr="00304A3B">
        <w:rPr>
          <w:rFonts w:ascii="Times New Roman" w:hAnsi="Times New Roman" w:cs="Times New Roman"/>
        </w:rPr>
        <w:t xml:space="preserve"> digital data</w:t>
      </w:r>
      <w:r w:rsidR="00A27DCF" w:rsidRPr="00304A3B">
        <w:rPr>
          <w:rFonts w:ascii="Times New Roman" w:hAnsi="Times New Roman" w:cs="Times New Roman"/>
        </w:rPr>
        <w:t xml:space="preserve"> flows</w:t>
      </w:r>
      <w:r w:rsidR="001D7BCF" w:rsidRPr="00304A3B">
        <w:rPr>
          <w:rFonts w:ascii="Times New Roman" w:hAnsi="Times New Roman" w:cs="Times New Roman"/>
        </w:rPr>
        <w:t>.</w:t>
      </w:r>
      <w:r w:rsidR="001D7BCF" w:rsidRPr="00304A3B">
        <w:rPr>
          <w:rStyle w:val="EndnoteReference"/>
          <w:rFonts w:ascii="Times New Roman" w:hAnsi="Times New Roman" w:cs="Times New Roman"/>
        </w:rPr>
        <w:endnoteReference w:id="54"/>
      </w:r>
      <w:r w:rsidR="001D7BCF" w:rsidRPr="00304A3B">
        <w:rPr>
          <w:rFonts w:ascii="Times New Roman" w:hAnsi="Times New Roman" w:cs="Times New Roman"/>
        </w:rPr>
        <w:t xml:space="preserve"> And v</w:t>
      </w:r>
      <w:r w:rsidR="00590BBC" w:rsidRPr="00304A3B">
        <w:rPr>
          <w:rFonts w:ascii="Times New Roman" w:hAnsi="Times New Roman" w:cs="Times New Roman"/>
        </w:rPr>
        <w:t xml:space="preserve">enture capital </w:t>
      </w:r>
      <w:r w:rsidR="00A27DCF" w:rsidRPr="00304A3B">
        <w:rPr>
          <w:rFonts w:ascii="Times New Roman" w:hAnsi="Times New Roman" w:cs="Times New Roman"/>
        </w:rPr>
        <w:t>investment data</w:t>
      </w:r>
      <w:r w:rsidR="00590BBC" w:rsidRPr="00304A3B">
        <w:rPr>
          <w:rFonts w:ascii="Times New Roman" w:hAnsi="Times New Roman" w:cs="Times New Roman"/>
        </w:rPr>
        <w:t xml:space="preserve"> reveal</w:t>
      </w:r>
      <w:r w:rsidR="00A27DCF" w:rsidRPr="00304A3B">
        <w:rPr>
          <w:rFonts w:ascii="Times New Roman" w:hAnsi="Times New Roman" w:cs="Times New Roman"/>
        </w:rPr>
        <w:t>s</w:t>
      </w:r>
      <w:r w:rsidR="00590BBC" w:rsidRPr="00304A3B">
        <w:rPr>
          <w:rFonts w:ascii="Times New Roman" w:hAnsi="Times New Roman" w:cs="Times New Roman"/>
        </w:rPr>
        <w:t xml:space="preserve"> that they are also sites of budding entrepreneurship scenes, especially in London</w:t>
      </w:r>
      <w:r w:rsidR="00F35EAC" w:rsidRPr="00304A3B">
        <w:rPr>
          <w:rFonts w:ascii="Times New Roman" w:hAnsi="Times New Roman" w:cs="Times New Roman"/>
        </w:rPr>
        <w:t xml:space="preserve"> and New York</w:t>
      </w:r>
      <w:r w:rsidR="00590BBC" w:rsidRPr="00304A3B">
        <w:rPr>
          <w:rFonts w:ascii="Times New Roman" w:hAnsi="Times New Roman" w:cs="Times New Roman"/>
        </w:rPr>
        <w:t>.</w:t>
      </w:r>
      <w:r w:rsidR="0064757E" w:rsidRPr="00304A3B">
        <w:rPr>
          <w:rStyle w:val="EndnoteReference"/>
          <w:rFonts w:ascii="Times New Roman" w:hAnsi="Times New Roman" w:cs="Times New Roman"/>
        </w:rPr>
        <w:endnoteReference w:id="55"/>
      </w:r>
      <w:r w:rsidR="00590BBC" w:rsidRPr="00304A3B">
        <w:rPr>
          <w:rFonts w:ascii="Times New Roman" w:hAnsi="Times New Roman" w:cs="Times New Roman"/>
        </w:rPr>
        <w:t xml:space="preserve"> </w:t>
      </w:r>
    </w:p>
    <w:p w14:paraId="44B68027" w14:textId="7DE684C7" w:rsidR="00800A1D" w:rsidRPr="00304A3B" w:rsidRDefault="00D21331" w:rsidP="00800A1D">
      <w:pPr>
        <w:spacing w:line="240" w:lineRule="auto"/>
        <w:rPr>
          <w:rFonts w:ascii="Times New Roman" w:hAnsi="Times New Roman" w:cs="Times New Roman"/>
        </w:rPr>
      </w:pPr>
      <w:r w:rsidRPr="00304A3B">
        <w:rPr>
          <w:rFonts w:ascii="Times New Roman" w:hAnsi="Times New Roman" w:cs="Times New Roman"/>
        </w:rPr>
        <w:lastRenderedPageBreak/>
        <w:t xml:space="preserve">By nearly every measure these cities are globally integrated and fluent. In fact, Saskia </w:t>
      </w:r>
      <w:proofErr w:type="spellStart"/>
      <w:r w:rsidRPr="00304A3B">
        <w:rPr>
          <w:rFonts w:ascii="Times New Roman" w:hAnsi="Times New Roman" w:cs="Times New Roman"/>
        </w:rPr>
        <w:t>Sassen</w:t>
      </w:r>
      <w:proofErr w:type="spellEnd"/>
      <w:r w:rsidRPr="00304A3B">
        <w:rPr>
          <w:rFonts w:ascii="Times New Roman" w:hAnsi="Times New Roman" w:cs="Times New Roman"/>
        </w:rPr>
        <w:t xml:space="preserve"> mainstreamed the phrase “global city” in her 1991 book about London, New York, and Tokyo. The world’s mobile talent and capital seeks them out, and they have benefited from multiple cycles of high demand.</w:t>
      </w:r>
      <w:r w:rsidR="001D7BCF" w:rsidRPr="00304A3B">
        <w:rPr>
          <w:rStyle w:val="EndnoteReference"/>
          <w:rFonts w:ascii="Times New Roman" w:hAnsi="Times New Roman" w:cs="Times New Roman"/>
        </w:rPr>
        <w:endnoteReference w:id="56"/>
      </w:r>
      <w:r w:rsidR="00466CDA" w:rsidRPr="00304A3B">
        <w:rPr>
          <w:rFonts w:ascii="Times New Roman" w:hAnsi="Times New Roman" w:cs="Times New Roman"/>
        </w:rPr>
        <w:t xml:space="preserve"> Paris is also regularly cited in this class of global city, but Los Angeles and Osaka </w:t>
      </w:r>
      <w:r w:rsidR="00A11EE5" w:rsidRPr="00304A3B">
        <w:rPr>
          <w:rFonts w:ascii="Times New Roman" w:hAnsi="Times New Roman" w:cs="Times New Roman"/>
        </w:rPr>
        <w:t xml:space="preserve">may be more surprising additions given that they are not generally considered among world’s leading financial hubs. However, they loom large on the global stage </w:t>
      </w:r>
      <w:r w:rsidR="0060051F" w:rsidRPr="00304A3B">
        <w:rPr>
          <w:rFonts w:ascii="Times New Roman" w:hAnsi="Times New Roman" w:cs="Times New Roman"/>
        </w:rPr>
        <w:t>by dint of their</w:t>
      </w:r>
      <w:r w:rsidR="00A11EE5" w:rsidRPr="00304A3B">
        <w:rPr>
          <w:rFonts w:ascii="Times New Roman" w:hAnsi="Times New Roman" w:cs="Times New Roman"/>
        </w:rPr>
        <w:t xml:space="preserve"> shear economic </w:t>
      </w:r>
      <w:r w:rsidR="0060051F" w:rsidRPr="00304A3B">
        <w:rPr>
          <w:rFonts w:ascii="Times New Roman" w:hAnsi="Times New Roman" w:cs="Times New Roman"/>
        </w:rPr>
        <w:t>weight</w:t>
      </w:r>
      <w:r w:rsidR="00A11EE5" w:rsidRPr="00304A3B">
        <w:rPr>
          <w:rFonts w:ascii="Times New Roman" w:hAnsi="Times New Roman" w:cs="Times New Roman"/>
        </w:rPr>
        <w:t>—</w:t>
      </w:r>
      <w:r w:rsidR="0060051F" w:rsidRPr="00304A3B">
        <w:rPr>
          <w:rFonts w:ascii="Times New Roman" w:hAnsi="Times New Roman" w:cs="Times New Roman"/>
        </w:rPr>
        <w:t>Los Angeles and Osaka</w:t>
      </w:r>
      <w:r w:rsidR="00A11EE5" w:rsidRPr="00304A3B">
        <w:rPr>
          <w:rFonts w:ascii="Times New Roman" w:hAnsi="Times New Roman" w:cs="Times New Roman"/>
        </w:rPr>
        <w:t xml:space="preserve"> are the fifth and sixth largest metro economies in the world</w:t>
      </w:r>
      <w:r w:rsidR="0060051F" w:rsidRPr="00304A3B">
        <w:rPr>
          <w:rFonts w:ascii="Times New Roman" w:hAnsi="Times New Roman" w:cs="Times New Roman"/>
        </w:rPr>
        <w:t>, respectively</w:t>
      </w:r>
      <w:r w:rsidR="00A11EE5" w:rsidRPr="00304A3B">
        <w:rPr>
          <w:rFonts w:ascii="Times New Roman" w:hAnsi="Times New Roman" w:cs="Times New Roman"/>
        </w:rPr>
        <w:t xml:space="preserve">.  </w:t>
      </w:r>
    </w:p>
    <w:p w14:paraId="3BA5D94C" w14:textId="6678A0E4" w:rsidR="0064757E" w:rsidRPr="00304A3B" w:rsidRDefault="00146350" w:rsidP="0064757E">
      <w:pPr>
        <w:spacing w:line="240" w:lineRule="auto"/>
        <w:rPr>
          <w:rFonts w:ascii="Times New Roman" w:hAnsi="Times New Roman" w:cs="Times New Roman"/>
          <w:b/>
        </w:rPr>
      </w:pPr>
      <w:r w:rsidRPr="00304A3B">
        <w:rPr>
          <w:rFonts w:ascii="Times New Roman" w:hAnsi="Times New Roman" w:cs="Times New Roman"/>
          <w:b/>
        </w:rPr>
        <w:t xml:space="preserve">Asian </w:t>
      </w:r>
      <w:r w:rsidR="00A8624E" w:rsidRPr="00304A3B">
        <w:rPr>
          <w:rFonts w:ascii="Times New Roman" w:hAnsi="Times New Roman" w:cs="Times New Roman"/>
          <w:b/>
        </w:rPr>
        <w:t>Anchors</w:t>
      </w:r>
    </w:p>
    <w:p w14:paraId="68B1A038" w14:textId="65C6C6D5" w:rsidR="004D59C7" w:rsidRPr="00304A3B" w:rsidRDefault="00F936B2" w:rsidP="00863DBA">
      <w:pPr>
        <w:spacing w:line="240" w:lineRule="auto"/>
        <w:rPr>
          <w:rFonts w:ascii="Times New Roman" w:hAnsi="Times New Roman" w:cs="Times New Roman"/>
        </w:rPr>
      </w:pPr>
      <w:r w:rsidRPr="00304A3B">
        <w:rPr>
          <w:rFonts w:ascii="Times New Roman" w:hAnsi="Times New Roman" w:cs="Times New Roman"/>
          <w:b/>
        </w:rPr>
        <w:t>Asia</w:t>
      </w:r>
      <w:r w:rsidR="00374138" w:rsidRPr="00304A3B">
        <w:rPr>
          <w:rFonts w:ascii="Times New Roman" w:hAnsi="Times New Roman" w:cs="Times New Roman"/>
          <w:b/>
        </w:rPr>
        <w:t>n</w:t>
      </w:r>
      <w:r w:rsidR="00A8624E" w:rsidRPr="00304A3B">
        <w:rPr>
          <w:rFonts w:ascii="Times New Roman" w:hAnsi="Times New Roman" w:cs="Times New Roman"/>
          <w:b/>
        </w:rPr>
        <w:t xml:space="preserve"> Anchors </w:t>
      </w:r>
      <w:r w:rsidR="006677BC" w:rsidRPr="00304A3B">
        <w:rPr>
          <w:rFonts w:ascii="Times New Roman" w:hAnsi="Times New Roman" w:cs="Times New Roman"/>
        </w:rPr>
        <w:t>include</w:t>
      </w:r>
      <w:r w:rsidRPr="00304A3B">
        <w:rPr>
          <w:rFonts w:ascii="Times New Roman" w:hAnsi="Times New Roman" w:cs="Times New Roman"/>
        </w:rPr>
        <w:t xml:space="preserve"> </w:t>
      </w:r>
      <w:r w:rsidR="006677BC" w:rsidRPr="00304A3B">
        <w:rPr>
          <w:rFonts w:ascii="Times New Roman" w:hAnsi="Times New Roman" w:cs="Times New Roman"/>
        </w:rPr>
        <w:t>five Pacific-oriented</w:t>
      </w:r>
      <w:r w:rsidRPr="00304A3B">
        <w:rPr>
          <w:rFonts w:ascii="Times New Roman" w:hAnsi="Times New Roman" w:cs="Times New Roman"/>
        </w:rPr>
        <w:t xml:space="preserve"> metro areas—Beijing, Hong Kong, Seoul-Incheon, Shanghai, and Singapore—</w:t>
      </w:r>
      <w:r w:rsidR="006677BC" w:rsidRPr="00304A3B">
        <w:rPr>
          <w:rFonts w:ascii="Times New Roman" w:hAnsi="Times New Roman" w:cs="Times New Roman"/>
        </w:rPr>
        <w:t xml:space="preserve"> as well as Moscow, which while more aligned with Europe</w:t>
      </w:r>
      <w:r w:rsidR="00045B1F" w:rsidRPr="00304A3B">
        <w:rPr>
          <w:rFonts w:ascii="Times New Roman" w:hAnsi="Times New Roman" w:cs="Times New Roman"/>
        </w:rPr>
        <w:t>, falls in this group due to its similar</w:t>
      </w:r>
      <w:r w:rsidR="006677BC" w:rsidRPr="00304A3B">
        <w:rPr>
          <w:rFonts w:ascii="Times New Roman" w:hAnsi="Times New Roman" w:cs="Times New Roman"/>
        </w:rPr>
        <w:t xml:space="preserve"> size, wealth, and </w:t>
      </w:r>
      <w:r w:rsidR="00045B1F" w:rsidRPr="00304A3B">
        <w:rPr>
          <w:rFonts w:ascii="Times New Roman" w:hAnsi="Times New Roman" w:cs="Times New Roman"/>
        </w:rPr>
        <w:t>reliance on business and financial services</w:t>
      </w:r>
      <w:r w:rsidR="006677BC" w:rsidRPr="00304A3B">
        <w:rPr>
          <w:rFonts w:ascii="Times New Roman" w:hAnsi="Times New Roman" w:cs="Times New Roman"/>
        </w:rPr>
        <w:t xml:space="preserve"> with many of these Asian metro economies.</w:t>
      </w:r>
      <w:r w:rsidR="006677BC" w:rsidRPr="00304A3B">
        <w:rPr>
          <w:rStyle w:val="EndnoteReference"/>
          <w:rFonts w:ascii="Times New Roman" w:hAnsi="Times New Roman" w:cs="Times New Roman"/>
        </w:rPr>
        <w:endnoteReference w:id="57"/>
      </w:r>
      <w:r w:rsidR="00045B1F" w:rsidRPr="00304A3B">
        <w:rPr>
          <w:rFonts w:ascii="Times New Roman" w:hAnsi="Times New Roman" w:cs="Times New Roman"/>
        </w:rPr>
        <w:t xml:space="preserve"> </w:t>
      </w:r>
      <w:r w:rsidR="006677BC" w:rsidRPr="00304A3B">
        <w:rPr>
          <w:rFonts w:ascii="Times New Roman" w:hAnsi="Times New Roman" w:cs="Times New Roman"/>
        </w:rPr>
        <w:t xml:space="preserve">Asian Anchors </w:t>
      </w:r>
      <w:r w:rsidRPr="00304A3B">
        <w:rPr>
          <w:rFonts w:ascii="Times New Roman" w:hAnsi="Times New Roman" w:cs="Times New Roman"/>
        </w:rPr>
        <w:t>have many of the same characteristics as their established counterparts in Europe, Japan, and the United States, but are not yet as wealthy and globally connected</w:t>
      </w:r>
      <w:r w:rsidR="00380F73" w:rsidRPr="00304A3B">
        <w:rPr>
          <w:rFonts w:ascii="Times New Roman" w:hAnsi="Times New Roman" w:cs="Times New Roman"/>
        </w:rPr>
        <w:t>.</w:t>
      </w:r>
    </w:p>
    <w:p w14:paraId="5A8524C7" w14:textId="6C886888" w:rsidR="00380F73" w:rsidRPr="00304A3B" w:rsidRDefault="00380F73" w:rsidP="00380F73">
      <w:pPr>
        <w:spacing w:line="240" w:lineRule="auto"/>
        <w:rPr>
          <w:rFonts w:ascii="Times New Roman" w:hAnsi="Times New Roman" w:cs="Times New Roman"/>
          <w:b/>
        </w:rPr>
      </w:pPr>
      <w:proofErr w:type="gramStart"/>
      <w:r w:rsidRPr="00304A3B">
        <w:rPr>
          <w:rFonts w:ascii="Times New Roman" w:hAnsi="Times New Roman" w:cs="Times New Roman"/>
          <w:b/>
        </w:rPr>
        <w:t>Map 3.</w:t>
      </w:r>
      <w:proofErr w:type="gramEnd"/>
      <w:r w:rsidRPr="00304A3B">
        <w:rPr>
          <w:rFonts w:ascii="Times New Roman" w:hAnsi="Times New Roman" w:cs="Times New Roman"/>
          <w:b/>
        </w:rPr>
        <w:t xml:space="preserve"> Asian Anchors</w:t>
      </w:r>
      <w:r w:rsidR="00393A7C">
        <w:rPr>
          <w:rFonts w:ascii="Times New Roman" w:hAnsi="Times New Roman" w:cs="Times New Roman"/>
          <w:b/>
        </w:rPr>
        <w:t>, 2015</w:t>
      </w:r>
    </w:p>
    <w:p w14:paraId="77A2E137" w14:textId="77777777" w:rsidR="00393A7C" w:rsidRDefault="00393A7C" w:rsidP="00380F73">
      <w:pPr>
        <w:spacing w:line="240" w:lineRule="auto"/>
        <w:rPr>
          <w:rFonts w:ascii="Times New Roman" w:hAnsi="Times New Roman" w:cs="Times New Roman"/>
          <w:b/>
        </w:rPr>
      </w:pPr>
    </w:p>
    <w:p w14:paraId="4BB69384" w14:textId="1A5F839D" w:rsidR="00126654" w:rsidRPr="00304A3B" w:rsidRDefault="0069676F" w:rsidP="00380F73">
      <w:pPr>
        <w:spacing w:line="240" w:lineRule="auto"/>
        <w:rPr>
          <w:rFonts w:ascii="Times New Roman" w:hAnsi="Times New Roman" w:cs="Times New Roman"/>
          <w:b/>
        </w:rPr>
      </w:pPr>
      <w:proofErr w:type="gramStart"/>
      <w:r w:rsidRPr="00304A3B">
        <w:rPr>
          <w:rFonts w:ascii="Times New Roman" w:hAnsi="Times New Roman" w:cs="Times New Roman"/>
          <w:b/>
        </w:rPr>
        <w:t>Table 4.</w:t>
      </w:r>
      <w:proofErr w:type="gramEnd"/>
      <w:r w:rsidRPr="00304A3B">
        <w:rPr>
          <w:rFonts w:ascii="Times New Roman" w:hAnsi="Times New Roman" w:cs="Times New Roman"/>
          <w:b/>
        </w:rPr>
        <w:t xml:space="preserve"> Asian Anchors </w:t>
      </w:r>
      <w:r w:rsidR="00D93FE2">
        <w:rPr>
          <w:rFonts w:ascii="Times New Roman" w:hAnsi="Times New Roman" w:cs="Times New Roman"/>
          <w:b/>
        </w:rPr>
        <w:t>e</w:t>
      </w:r>
      <w:r w:rsidR="00393A7C">
        <w:rPr>
          <w:rFonts w:ascii="Times New Roman" w:hAnsi="Times New Roman" w:cs="Times New Roman"/>
          <w:b/>
        </w:rPr>
        <w:t xml:space="preserve">conomic </w:t>
      </w:r>
      <w:r w:rsidR="00D93FE2">
        <w:rPr>
          <w:rFonts w:ascii="Times New Roman" w:hAnsi="Times New Roman" w:cs="Times New Roman"/>
          <w:b/>
        </w:rPr>
        <w:t>i</w:t>
      </w:r>
      <w:r w:rsidR="00393A7C">
        <w:rPr>
          <w:rFonts w:ascii="Times New Roman" w:hAnsi="Times New Roman" w:cs="Times New Roman"/>
          <w:b/>
        </w:rPr>
        <w:t>ndicators</w:t>
      </w:r>
      <w:r w:rsidR="00D93FE2">
        <w:rPr>
          <w:rFonts w:ascii="Times New Roman" w:hAnsi="Times New Roman" w:cs="Times New Roman"/>
          <w:b/>
        </w:rPr>
        <w:t>, 2015</w:t>
      </w:r>
    </w:p>
    <w:p w14:paraId="47D761DF" w14:textId="77777777" w:rsidR="0069676F" w:rsidRPr="00304A3B" w:rsidRDefault="0069676F" w:rsidP="00380F73">
      <w:pPr>
        <w:spacing w:line="240" w:lineRule="auto"/>
        <w:rPr>
          <w:rFonts w:ascii="Times New Roman" w:hAnsi="Times New Roman" w:cs="Times New Roman"/>
          <w:b/>
        </w:rPr>
      </w:pPr>
    </w:p>
    <w:p w14:paraId="40E0C7ED" w14:textId="1DF8A56D" w:rsidR="00380F73" w:rsidRPr="00304A3B" w:rsidRDefault="009723B3" w:rsidP="00380F73">
      <w:pPr>
        <w:spacing w:line="240" w:lineRule="auto"/>
        <w:rPr>
          <w:rFonts w:ascii="Times New Roman" w:hAnsi="Times New Roman" w:cs="Times New Roman"/>
          <w:b/>
        </w:rPr>
      </w:pPr>
      <w:proofErr w:type="gramStart"/>
      <w:r>
        <w:rPr>
          <w:rFonts w:ascii="Times New Roman" w:hAnsi="Times New Roman" w:cs="Times New Roman"/>
          <w:b/>
        </w:rPr>
        <w:t>Figure 5.</w:t>
      </w:r>
      <w:proofErr w:type="gramEnd"/>
      <w:r>
        <w:rPr>
          <w:rFonts w:ascii="Times New Roman" w:hAnsi="Times New Roman" w:cs="Times New Roman"/>
          <w:b/>
        </w:rPr>
        <w:t xml:space="preserve"> Asian Anchors i</w:t>
      </w:r>
      <w:r w:rsidR="00380F73" w:rsidRPr="00304A3B">
        <w:rPr>
          <w:rFonts w:ascii="Times New Roman" w:hAnsi="Times New Roman" w:cs="Times New Roman"/>
          <w:b/>
        </w:rPr>
        <w:t>ndicators</w:t>
      </w:r>
      <w:r w:rsidR="00393A7C">
        <w:rPr>
          <w:rFonts w:ascii="Times New Roman" w:hAnsi="Times New Roman" w:cs="Times New Roman"/>
          <w:b/>
        </w:rPr>
        <w:t>, 2015 or most recent year available</w:t>
      </w:r>
    </w:p>
    <w:p w14:paraId="4DD60916" w14:textId="0BE04A5D" w:rsidR="00380F73" w:rsidRPr="00304A3B" w:rsidRDefault="00380F73" w:rsidP="00DB0806">
      <w:pPr>
        <w:spacing w:line="240" w:lineRule="auto"/>
        <w:ind w:left="-720"/>
        <w:jc w:val="center"/>
        <w:rPr>
          <w:rFonts w:ascii="Times New Roman" w:hAnsi="Times New Roman" w:cs="Times New Roman"/>
        </w:rPr>
      </w:pPr>
    </w:p>
    <w:p w14:paraId="015C7B1C" w14:textId="0108B587" w:rsidR="00480B6B" w:rsidRPr="00304A3B" w:rsidRDefault="00F35EAC" w:rsidP="00863DBA">
      <w:pPr>
        <w:spacing w:line="240" w:lineRule="auto"/>
        <w:rPr>
          <w:rFonts w:ascii="Times New Roman" w:hAnsi="Times New Roman" w:cs="Times New Roman"/>
        </w:rPr>
      </w:pPr>
      <w:r w:rsidRPr="00304A3B">
        <w:rPr>
          <w:rFonts w:ascii="Times New Roman" w:hAnsi="Times New Roman" w:cs="Times New Roman"/>
        </w:rPr>
        <w:t xml:space="preserve">The rise of </w:t>
      </w:r>
      <w:r w:rsidR="00466CDA" w:rsidRPr="00304A3B">
        <w:rPr>
          <w:rFonts w:ascii="Times New Roman" w:hAnsi="Times New Roman" w:cs="Times New Roman"/>
        </w:rPr>
        <w:t>the metros in this grouping</w:t>
      </w:r>
      <w:r w:rsidRPr="00304A3B">
        <w:rPr>
          <w:rFonts w:ascii="Times New Roman" w:hAnsi="Times New Roman" w:cs="Times New Roman"/>
        </w:rPr>
        <w:t xml:space="preserve"> has everything to do with the rise of </w:t>
      </w:r>
      <w:r w:rsidR="00A8624E" w:rsidRPr="00304A3B">
        <w:rPr>
          <w:rFonts w:ascii="Times New Roman" w:hAnsi="Times New Roman" w:cs="Times New Roman"/>
        </w:rPr>
        <w:t>Asia</w:t>
      </w:r>
      <w:r w:rsidRPr="00304A3B">
        <w:rPr>
          <w:rFonts w:ascii="Times New Roman" w:hAnsi="Times New Roman" w:cs="Times New Roman"/>
        </w:rPr>
        <w:t>.</w:t>
      </w:r>
      <w:r w:rsidR="00794562" w:rsidRPr="00304A3B">
        <w:rPr>
          <w:rFonts w:ascii="Times New Roman" w:hAnsi="Times New Roman" w:cs="Times New Roman"/>
        </w:rPr>
        <w:t xml:space="preserve"> The ascent of the Asian Tiger economies</w:t>
      </w:r>
      <w:r w:rsidR="00480B6B" w:rsidRPr="00304A3B">
        <w:rPr>
          <w:rFonts w:ascii="Times New Roman" w:hAnsi="Times New Roman" w:cs="Times New Roman"/>
        </w:rPr>
        <w:t xml:space="preserve"> </w:t>
      </w:r>
      <w:r w:rsidR="00A1622D" w:rsidRPr="00304A3B">
        <w:rPr>
          <w:rFonts w:ascii="Times New Roman" w:hAnsi="Times New Roman" w:cs="Times New Roman"/>
        </w:rPr>
        <w:t>followed by the</w:t>
      </w:r>
      <w:r w:rsidR="00480B6B" w:rsidRPr="00304A3B">
        <w:rPr>
          <w:rFonts w:ascii="Times New Roman" w:hAnsi="Times New Roman" w:cs="Times New Roman"/>
        </w:rPr>
        <w:t xml:space="preserve"> gradual liberalization of China and Russia positioned these cities as the gateways </w:t>
      </w:r>
      <w:r w:rsidR="004C4234" w:rsidRPr="00304A3B">
        <w:rPr>
          <w:rFonts w:ascii="Times New Roman" w:hAnsi="Times New Roman" w:cs="Times New Roman"/>
        </w:rPr>
        <w:t>between the global investment community and</w:t>
      </w:r>
      <w:r w:rsidR="00A1622D" w:rsidRPr="00304A3B">
        <w:rPr>
          <w:rFonts w:ascii="Times New Roman" w:hAnsi="Times New Roman" w:cs="Times New Roman"/>
        </w:rPr>
        <w:t xml:space="preserve"> </w:t>
      </w:r>
      <w:r w:rsidR="001F7207" w:rsidRPr="00304A3B">
        <w:rPr>
          <w:rFonts w:ascii="Times New Roman" w:hAnsi="Times New Roman" w:cs="Times New Roman"/>
        </w:rPr>
        <w:t>their fast-growing nations. Those foreign</w:t>
      </w:r>
      <w:r w:rsidR="00794562" w:rsidRPr="00304A3B">
        <w:rPr>
          <w:rFonts w:ascii="Times New Roman" w:hAnsi="Times New Roman" w:cs="Times New Roman"/>
        </w:rPr>
        <w:t xml:space="preserve"> investment</w:t>
      </w:r>
      <w:r w:rsidR="001F7207" w:rsidRPr="00304A3B">
        <w:rPr>
          <w:rFonts w:ascii="Times New Roman" w:hAnsi="Times New Roman" w:cs="Times New Roman"/>
        </w:rPr>
        <w:t xml:space="preserve"> streams </w:t>
      </w:r>
      <w:r w:rsidR="00794562" w:rsidRPr="00304A3B">
        <w:rPr>
          <w:rFonts w:ascii="Times New Roman" w:hAnsi="Times New Roman" w:cs="Times New Roman"/>
        </w:rPr>
        <w:t>brought</w:t>
      </w:r>
      <w:r w:rsidR="001F7207" w:rsidRPr="00304A3B">
        <w:rPr>
          <w:rFonts w:ascii="Times New Roman" w:hAnsi="Times New Roman" w:cs="Times New Roman"/>
        </w:rPr>
        <w:t xml:space="preserve"> </w:t>
      </w:r>
      <w:r w:rsidR="00366EC4" w:rsidRPr="00304A3B">
        <w:rPr>
          <w:rFonts w:ascii="Times New Roman" w:hAnsi="Times New Roman" w:cs="Times New Roman"/>
        </w:rPr>
        <w:t>new industries and capabilities to many of these cities, which have</w:t>
      </w:r>
      <w:r w:rsidR="00A1622D" w:rsidRPr="00304A3B">
        <w:rPr>
          <w:rFonts w:ascii="Times New Roman" w:hAnsi="Times New Roman" w:cs="Times New Roman"/>
        </w:rPr>
        <w:t xml:space="preserve"> since</w:t>
      </w:r>
      <w:r w:rsidR="00366EC4" w:rsidRPr="00304A3B">
        <w:rPr>
          <w:rFonts w:ascii="Times New Roman" w:hAnsi="Times New Roman" w:cs="Times New Roman"/>
        </w:rPr>
        <w:t xml:space="preserve"> been bolstered by</w:t>
      </w:r>
      <w:r w:rsidR="001F7207" w:rsidRPr="00304A3B">
        <w:rPr>
          <w:rFonts w:ascii="Times New Roman" w:hAnsi="Times New Roman" w:cs="Times New Roman"/>
        </w:rPr>
        <w:t xml:space="preserve"> local</w:t>
      </w:r>
      <w:r w:rsidR="00366EC4" w:rsidRPr="00304A3B">
        <w:rPr>
          <w:rFonts w:ascii="Times New Roman" w:hAnsi="Times New Roman" w:cs="Times New Roman"/>
        </w:rPr>
        <w:t xml:space="preserve"> investments in </w:t>
      </w:r>
      <w:r w:rsidR="00CF6BC0" w:rsidRPr="00304A3B">
        <w:rPr>
          <w:rFonts w:ascii="Times New Roman" w:hAnsi="Times New Roman" w:cs="Times New Roman"/>
        </w:rPr>
        <w:t>infrastructure and skills</w:t>
      </w:r>
      <w:r w:rsidR="00366EC4" w:rsidRPr="00304A3B">
        <w:rPr>
          <w:rFonts w:ascii="Times New Roman" w:hAnsi="Times New Roman" w:cs="Times New Roman"/>
        </w:rPr>
        <w:t xml:space="preserve">. </w:t>
      </w:r>
    </w:p>
    <w:p w14:paraId="1D9751FE" w14:textId="6B5376E2" w:rsidR="00052F90" w:rsidRPr="00304A3B" w:rsidRDefault="00A8624E" w:rsidP="00863DBA">
      <w:pPr>
        <w:spacing w:line="240" w:lineRule="auto"/>
        <w:rPr>
          <w:rFonts w:ascii="Times New Roman" w:hAnsi="Times New Roman" w:cs="Times New Roman"/>
        </w:rPr>
      </w:pPr>
      <w:r w:rsidRPr="00304A3B">
        <w:rPr>
          <w:rFonts w:ascii="Times New Roman" w:hAnsi="Times New Roman" w:cs="Times New Roman"/>
        </w:rPr>
        <w:t>Asian Anchors</w:t>
      </w:r>
      <w:r w:rsidR="004C4234" w:rsidRPr="00304A3B">
        <w:rPr>
          <w:rFonts w:ascii="Times New Roman" w:hAnsi="Times New Roman" w:cs="Times New Roman"/>
        </w:rPr>
        <w:t xml:space="preserve"> </w:t>
      </w:r>
      <w:r w:rsidR="003A683D" w:rsidRPr="00304A3B">
        <w:rPr>
          <w:rFonts w:ascii="Times New Roman" w:hAnsi="Times New Roman" w:cs="Times New Roman"/>
        </w:rPr>
        <w:t>are now among the</w:t>
      </w:r>
      <w:r w:rsidR="004C4234" w:rsidRPr="00304A3B">
        <w:rPr>
          <w:rFonts w:ascii="Times New Roman" w:hAnsi="Times New Roman" w:cs="Times New Roman"/>
        </w:rPr>
        <w:t xml:space="preserve"> largest concentrations of people and </w:t>
      </w:r>
      <w:r w:rsidR="00794562" w:rsidRPr="00304A3B">
        <w:rPr>
          <w:rFonts w:ascii="Times New Roman" w:hAnsi="Times New Roman" w:cs="Times New Roman"/>
        </w:rPr>
        <w:t>market</w:t>
      </w:r>
      <w:r w:rsidR="00A024BC" w:rsidRPr="00304A3B">
        <w:rPr>
          <w:rFonts w:ascii="Times New Roman" w:hAnsi="Times New Roman" w:cs="Times New Roman"/>
        </w:rPr>
        <w:t xml:space="preserve"> activity in the world. </w:t>
      </w:r>
      <w:r w:rsidR="002F0BEA" w:rsidRPr="00304A3B">
        <w:rPr>
          <w:rFonts w:ascii="Times New Roman" w:hAnsi="Times New Roman" w:cs="Times New Roman"/>
        </w:rPr>
        <w:t>These metros have an average</w:t>
      </w:r>
      <w:r w:rsidR="004C4234" w:rsidRPr="00304A3B">
        <w:rPr>
          <w:rFonts w:ascii="Times New Roman" w:hAnsi="Times New Roman" w:cs="Times New Roman"/>
        </w:rPr>
        <w:t xml:space="preserve"> population of </w:t>
      </w:r>
      <w:r w:rsidR="001F7207" w:rsidRPr="00304A3B">
        <w:rPr>
          <w:rFonts w:ascii="Times New Roman" w:hAnsi="Times New Roman" w:cs="Times New Roman"/>
        </w:rPr>
        <w:t>16.1</w:t>
      </w:r>
      <w:r w:rsidR="004C4234" w:rsidRPr="00304A3B">
        <w:rPr>
          <w:rFonts w:ascii="Times New Roman" w:hAnsi="Times New Roman" w:cs="Times New Roman"/>
        </w:rPr>
        <w:t xml:space="preserve"> million and </w:t>
      </w:r>
      <w:r w:rsidR="002F0BEA" w:rsidRPr="00304A3B">
        <w:rPr>
          <w:rFonts w:ascii="Times New Roman" w:hAnsi="Times New Roman" w:cs="Times New Roman"/>
        </w:rPr>
        <w:t xml:space="preserve">an </w:t>
      </w:r>
      <w:r w:rsidR="004C4234" w:rsidRPr="00304A3B">
        <w:rPr>
          <w:rFonts w:ascii="Times New Roman" w:hAnsi="Times New Roman" w:cs="Times New Roman"/>
        </w:rPr>
        <w:t>average</w:t>
      </w:r>
      <w:r w:rsidR="001F7207" w:rsidRPr="00304A3B">
        <w:rPr>
          <w:rFonts w:ascii="Times New Roman" w:hAnsi="Times New Roman" w:cs="Times New Roman"/>
        </w:rPr>
        <w:t xml:space="preserve"> real</w:t>
      </w:r>
      <w:r w:rsidR="004C4234" w:rsidRPr="00304A3B">
        <w:rPr>
          <w:rFonts w:ascii="Times New Roman" w:hAnsi="Times New Roman" w:cs="Times New Roman"/>
        </w:rPr>
        <w:t xml:space="preserve"> GDP of $</w:t>
      </w:r>
      <w:r w:rsidR="008A002D" w:rsidRPr="00304A3B">
        <w:rPr>
          <w:rFonts w:ascii="Times New Roman" w:hAnsi="Times New Roman" w:cs="Times New Roman"/>
        </w:rPr>
        <w:t>332</w:t>
      </w:r>
      <w:r w:rsidR="004C4234" w:rsidRPr="00304A3B">
        <w:rPr>
          <w:rFonts w:ascii="Times New Roman" w:hAnsi="Times New Roman" w:cs="Times New Roman"/>
        </w:rPr>
        <w:t xml:space="preserve"> </w:t>
      </w:r>
      <w:r w:rsidR="00A024BC" w:rsidRPr="00304A3B">
        <w:rPr>
          <w:rFonts w:ascii="Times New Roman" w:hAnsi="Times New Roman" w:cs="Times New Roman"/>
        </w:rPr>
        <w:t xml:space="preserve">billion, the </w:t>
      </w:r>
      <w:r w:rsidR="00AA5692" w:rsidRPr="00304A3B">
        <w:rPr>
          <w:rFonts w:ascii="Times New Roman" w:hAnsi="Times New Roman" w:cs="Times New Roman"/>
        </w:rPr>
        <w:t>s</w:t>
      </w:r>
      <w:r w:rsidR="00A024BC" w:rsidRPr="00304A3B">
        <w:rPr>
          <w:rFonts w:ascii="Times New Roman" w:hAnsi="Times New Roman" w:cs="Times New Roman"/>
        </w:rPr>
        <w:t xml:space="preserve">econd largest figures, respectively, among our seven </w:t>
      </w:r>
      <w:r w:rsidR="009420D6" w:rsidRPr="00304A3B">
        <w:rPr>
          <w:rFonts w:ascii="Times New Roman" w:hAnsi="Times New Roman" w:cs="Times New Roman"/>
        </w:rPr>
        <w:t>groups</w:t>
      </w:r>
      <w:r w:rsidR="003A683D" w:rsidRPr="00304A3B">
        <w:rPr>
          <w:rFonts w:ascii="Times New Roman" w:hAnsi="Times New Roman" w:cs="Times New Roman"/>
        </w:rPr>
        <w:t xml:space="preserve">. GDP per capita in these regions has grown by </w:t>
      </w:r>
      <w:r w:rsidR="00A46260" w:rsidRPr="00304A3B">
        <w:rPr>
          <w:rFonts w:ascii="Times New Roman" w:hAnsi="Times New Roman" w:cs="Times New Roman"/>
        </w:rPr>
        <w:t xml:space="preserve">a robust </w:t>
      </w:r>
      <w:r w:rsidR="00AA5692" w:rsidRPr="00304A3B">
        <w:rPr>
          <w:rFonts w:ascii="Times New Roman" w:hAnsi="Times New Roman" w:cs="Times New Roman"/>
        </w:rPr>
        <w:t>4.2</w:t>
      </w:r>
      <w:r w:rsidR="003A683D" w:rsidRPr="00304A3B">
        <w:rPr>
          <w:rFonts w:ascii="Times New Roman" w:hAnsi="Times New Roman" w:cs="Times New Roman"/>
        </w:rPr>
        <w:t xml:space="preserve"> percent per year since 2000</w:t>
      </w:r>
      <w:r w:rsidR="00CF6BC0" w:rsidRPr="00304A3B">
        <w:rPr>
          <w:rFonts w:ascii="Times New Roman" w:hAnsi="Times New Roman" w:cs="Times New Roman"/>
        </w:rPr>
        <w:t xml:space="preserve">. </w:t>
      </w:r>
      <w:r w:rsidR="003A683D" w:rsidRPr="00304A3B">
        <w:rPr>
          <w:rFonts w:ascii="Times New Roman" w:hAnsi="Times New Roman" w:cs="Times New Roman"/>
        </w:rPr>
        <w:t>With an average GDP per capita of around $</w:t>
      </w:r>
      <w:r w:rsidR="00142F9D">
        <w:rPr>
          <w:rFonts w:ascii="Times New Roman" w:hAnsi="Times New Roman" w:cs="Times New Roman"/>
        </w:rPr>
        <w:t>50</w:t>
      </w:r>
      <w:r w:rsidR="003A683D" w:rsidRPr="00304A3B">
        <w:rPr>
          <w:rFonts w:ascii="Times New Roman" w:hAnsi="Times New Roman" w:cs="Times New Roman"/>
        </w:rPr>
        <w:t xml:space="preserve">,000, </w:t>
      </w:r>
      <w:r w:rsidRPr="00304A3B">
        <w:rPr>
          <w:rFonts w:ascii="Times New Roman" w:hAnsi="Times New Roman" w:cs="Times New Roman"/>
        </w:rPr>
        <w:t>Asian Anchors</w:t>
      </w:r>
      <w:r w:rsidR="003A683D" w:rsidRPr="00304A3B">
        <w:rPr>
          <w:rFonts w:ascii="Times New Roman" w:hAnsi="Times New Roman" w:cs="Times New Roman"/>
        </w:rPr>
        <w:t xml:space="preserve"> are </w:t>
      </w:r>
      <w:r w:rsidR="00AA5692" w:rsidRPr="00304A3B">
        <w:rPr>
          <w:rFonts w:ascii="Times New Roman" w:hAnsi="Times New Roman" w:cs="Times New Roman"/>
        </w:rPr>
        <w:t>about half</w:t>
      </w:r>
      <w:r w:rsidR="003A683D" w:rsidRPr="00304A3B">
        <w:rPr>
          <w:rFonts w:ascii="Times New Roman" w:hAnsi="Times New Roman" w:cs="Times New Roman"/>
        </w:rPr>
        <w:t xml:space="preserve"> as wealthy as their advanced economy counterparts but are now firmly rooted in the global middle class. </w:t>
      </w:r>
      <w:r w:rsidR="00A46260" w:rsidRPr="00304A3B">
        <w:rPr>
          <w:rFonts w:ascii="Times New Roman" w:hAnsi="Times New Roman" w:cs="Times New Roman"/>
        </w:rPr>
        <w:t xml:space="preserve">Interestingly, this average masks significant differences in </w:t>
      </w:r>
      <w:r w:rsidR="00C53C27" w:rsidRPr="00304A3B">
        <w:rPr>
          <w:rFonts w:ascii="Times New Roman" w:hAnsi="Times New Roman" w:cs="Times New Roman"/>
        </w:rPr>
        <w:t>nominal</w:t>
      </w:r>
      <w:r w:rsidR="00052F90" w:rsidRPr="00304A3B">
        <w:rPr>
          <w:rFonts w:ascii="Times New Roman" w:hAnsi="Times New Roman" w:cs="Times New Roman"/>
        </w:rPr>
        <w:t xml:space="preserve"> </w:t>
      </w:r>
      <w:r w:rsidR="00A46260" w:rsidRPr="00304A3B">
        <w:rPr>
          <w:rFonts w:ascii="Times New Roman" w:hAnsi="Times New Roman" w:cs="Times New Roman"/>
        </w:rPr>
        <w:t xml:space="preserve">GDP per capita between the wealthiest metros in this </w:t>
      </w:r>
      <w:r w:rsidR="009420D6" w:rsidRPr="00304A3B">
        <w:rPr>
          <w:rFonts w:ascii="Times New Roman" w:hAnsi="Times New Roman" w:cs="Times New Roman"/>
        </w:rPr>
        <w:t>group</w:t>
      </w:r>
      <w:r w:rsidR="00A46260" w:rsidRPr="00304A3B">
        <w:rPr>
          <w:rFonts w:ascii="Times New Roman" w:hAnsi="Times New Roman" w:cs="Times New Roman"/>
        </w:rPr>
        <w:t>, Sing</w:t>
      </w:r>
      <w:r w:rsidR="00CF6BC0" w:rsidRPr="00304A3B">
        <w:rPr>
          <w:rFonts w:ascii="Times New Roman" w:hAnsi="Times New Roman" w:cs="Times New Roman"/>
        </w:rPr>
        <w:t>apore ($</w:t>
      </w:r>
      <w:r w:rsidR="00C53C27" w:rsidRPr="00304A3B">
        <w:rPr>
          <w:rFonts w:ascii="Times New Roman" w:hAnsi="Times New Roman" w:cs="Times New Roman"/>
        </w:rPr>
        <w:t>84</w:t>
      </w:r>
      <w:r w:rsidR="00CF6BC0" w:rsidRPr="00304A3B">
        <w:rPr>
          <w:rFonts w:ascii="Times New Roman" w:hAnsi="Times New Roman" w:cs="Times New Roman"/>
        </w:rPr>
        <w:t>,000</w:t>
      </w:r>
      <w:r w:rsidR="00A46260" w:rsidRPr="00304A3B">
        <w:rPr>
          <w:rFonts w:ascii="Times New Roman" w:hAnsi="Times New Roman" w:cs="Times New Roman"/>
        </w:rPr>
        <w:t xml:space="preserve">) and </w:t>
      </w:r>
      <w:r w:rsidR="00052F90" w:rsidRPr="00304A3B">
        <w:rPr>
          <w:rFonts w:ascii="Times New Roman" w:hAnsi="Times New Roman" w:cs="Times New Roman"/>
        </w:rPr>
        <w:t>Hong Kong ($</w:t>
      </w:r>
      <w:r w:rsidR="00C53C27" w:rsidRPr="00304A3B">
        <w:rPr>
          <w:rFonts w:ascii="Times New Roman" w:hAnsi="Times New Roman" w:cs="Times New Roman"/>
        </w:rPr>
        <w:t>57,000</w:t>
      </w:r>
      <w:r w:rsidR="00052F90" w:rsidRPr="00304A3B">
        <w:rPr>
          <w:rFonts w:ascii="Times New Roman" w:hAnsi="Times New Roman" w:cs="Times New Roman"/>
        </w:rPr>
        <w:t>), and the lowest income metros, Shanghai ($</w:t>
      </w:r>
      <w:r w:rsidR="00C53C27" w:rsidRPr="00304A3B">
        <w:rPr>
          <w:rFonts w:ascii="Times New Roman" w:hAnsi="Times New Roman" w:cs="Times New Roman"/>
        </w:rPr>
        <w:t>33</w:t>
      </w:r>
      <w:r w:rsidR="00052F90" w:rsidRPr="00304A3B">
        <w:rPr>
          <w:rFonts w:ascii="Times New Roman" w:hAnsi="Times New Roman" w:cs="Times New Roman"/>
        </w:rPr>
        <w:t>,000) and Beijing ($</w:t>
      </w:r>
      <w:r w:rsidR="00C53C27" w:rsidRPr="00304A3B">
        <w:rPr>
          <w:rFonts w:ascii="Times New Roman" w:hAnsi="Times New Roman" w:cs="Times New Roman"/>
        </w:rPr>
        <w:t>30</w:t>
      </w:r>
      <w:r w:rsidR="00052F90" w:rsidRPr="00304A3B">
        <w:rPr>
          <w:rFonts w:ascii="Times New Roman" w:hAnsi="Times New Roman" w:cs="Times New Roman"/>
        </w:rPr>
        <w:t xml:space="preserve">,000). </w:t>
      </w:r>
      <w:r w:rsidR="00864AA9" w:rsidRPr="00304A3B">
        <w:rPr>
          <w:rFonts w:ascii="Times New Roman" w:hAnsi="Times New Roman" w:cs="Times New Roman"/>
        </w:rPr>
        <w:t>In line with convergence theory</w:t>
      </w:r>
      <w:r w:rsidR="00CF6BC0" w:rsidRPr="00304A3B">
        <w:rPr>
          <w:rFonts w:ascii="Times New Roman" w:hAnsi="Times New Roman" w:cs="Times New Roman"/>
        </w:rPr>
        <w:t xml:space="preserve">, the lower income city-regions in this </w:t>
      </w:r>
      <w:r w:rsidR="009420D6" w:rsidRPr="00304A3B">
        <w:rPr>
          <w:rFonts w:ascii="Times New Roman" w:hAnsi="Times New Roman" w:cs="Times New Roman"/>
        </w:rPr>
        <w:t>group</w:t>
      </w:r>
      <w:r w:rsidR="00CF6BC0" w:rsidRPr="00304A3B">
        <w:rPr>
          <w:rFonts w:ascii="Times New Roman" w:hAnsi="Times New Roman" w:cs="Times New Roman"/>
        </w:rPr>
        <w:t xml:space="preserve"> have seen the fastest income growth since 2000. </w:t>
      </w:r>
    </w:p>
    <w:p w14:paraId="4EE44DBA" w14:textId="2B0D5218" w:rsidR="009B41B7" w:rsidRPr="00304A3B" w:rsidRDefault="00052F90" w:rsidP="00863DBA">
      <w:pPr>
        <w:spacing w:line="240" w:lineRule="auto"/>
        <w:rPr>
          <w:rFonts w:ascii="Times New Roman" w:hAnsi="Times New Roman" w:cs="Times New Roman"/>
        </w:rPr>
      </w:pPr>
      <w:r w:rsidRPr="00304A3B">
        <w:rPr>
          <w:rFonts w:ascii="Times New Roman" w:hAnsi="Times New Roman" w:cs="Times New Roman"/>
        </w:rPr>
        <w:t>Despite their disparities</w:t>
      </w:r>
      <w:r w:rsidR="00800A1D" w:rsidRPr="00304A3B">
        <w:rPr>
          <w:rFonts w:ascii="Times New Roman" w:hAnsi="Times New Roman" w:cs="Times New Roman"/>
        </w:rPr>
        <w:t xml:space="preserve"> in wealth</w:t>
      </w:r>
      <w:r w:rsidRPr="00304A3B">
        <w:rPr>
          <w:rFonts w:ascii="Times New Roman" w:hAnsi="Times New Roman" w:cs="Times New Roman"/>
        </w:rPr>
        <w:t xml:space="preserve">, several characteristics bind </w:t>
      </w:r>
      <w:r w:rsidR="00466CDA" w:rsidRPr="00304A3B">
        <w:rPr>
          <w:rFonts w:ascii="Times New Roman" w:hAnsi="Times New Roman" w:cs="Times New Roman"/>
        </w:rPr>
        <w:t xml:space="preserve">this </w:t>
      </w:r>
      <w:r w:rsidR="009B01DC" w:rsidRPr="00304A3B">
        <w:rPr>
          <w:rFonts w:ascii="Times New Roman" w:hAnsi="Times New Roman" w:cs="Times New Roman"/>
        </w:rPr>
        <w:t>group</w:t>
      </w:r>
      <w:r w:rsidR="00466CDA" w:rsidRPr="00304A3B">
        <w:rPr>
          <w:rFonts w:ascii="Times New Roman" w:hAnsi="Times New Roman" w:cs="Times New Roman"/>
        </w:rPr>
        <w:t>, especially the five Asian metro areas</w:t>
      </w:r>
      <w:r w:rsidRPr="00304A3B">
        <w:rPr>
          <w:rFonts w:ascii="Times New Roman" w:hAnsi="Times New Roman" w:cs="Times New Roman"/>
        </w:rPr>
        <w:t>. First, t</w:t>
      </w:r>
      <w:r w:rsidR="00E90922" w:rsidRPr="00304A3B">
        <w:rPr>
          <w:rFonts w:ascii="Times New Roman" w:hAnsi="Times New Roman" w:cs="Times New Roman"/>
        </w:rPr>
        <w:t>he generous</w:t>
      </w:r>
      <w:r w:rsidR="003A683D" w:rsidRPr="00304A3B">
        <w:rPr>
          <w:rFonts w:ascii="Times New Roman" w:hAnsi="Times New Roman" w:cs="Times New Roman"/>
        </w:rPr>
        <w:t xml:space="preserve"> inflows of foreign direct investment (FDI) distinguish these regions</w:t>
      </w:r>
      <w:r w:rsidR="00E90922" w:rsidRPr="00304A3B">
        <w:rPr>
          <w:rFonts w:ascii="Times New Roman" w:hAnsi="Times New Roman" w:cs="Times New Roman"/>
        </w:rPr>
        <w:t xml:space="preserve"> from the rest of the world</w:t>
      </w:r>
      <w:r w:rsidR="003A683D" w:rsidRPr="00304A3B">
        <w:rPr>
          <w:rFonts w:ascii="Times New Roman" w:hAnsi="Times New Roman" w:cs="Times New Roman"/>
        </w:rPr>
        <w:t>. On average, $4</w:t>
      </w:r>
      <w:r w:rsidR="008A002D" w:rsidRPr="00304A3B">
        <w:rPr>
          <w:rFonts w:ascii="Times New Roman" w:hAnsi="Times New Roman" w:cs="Times New Roman"/>
        </w:rPr>
        <w:t>6</w:t>
      </w:r>
      <w:r w:rsidR="003A683D" w:rsidRPr="00304A3B">
        <w:rPr>
          <w:rFonts w:ascii="Times New Roman" w:hAnsi="Times New Roman" w:cs="Times New Roman"/>
        </w:rPr>
        <w:t xml:space="preserve"> billion in Greenfield FDI entered </w:t>
      </w:r>
      <w:r w:rsidR="00800A1D" w:rsidRPr="00304A3B">
        <w:rPr>
          <w:rFonts w:ascii="Times New Roman" w:hAnsi="Times New Roman" w:cs="Times New Roman"/>
        </w:rPr>
        <w:t>each of these</w:t>
      </w:r>
      <w:r w:rsidR="003A683D" w:rsidRPr="00304A3B">
        <w:rPr>
          <w:rFonts w:ascii="Times New Roman" w:hAnsi="Times New Roman" w:cs="Times New Roman"/>
        </w:rPr>
        <w:t xml:space="preserve"> markets </w:t>
      </w:r>
      <w:r w:rsidR="00794562" w:rsidRPr="00304A3B">
        <w:rPr>
          <w:rFonts w:ascii="Times New Roman" w:hAnsi="Times New Roman" w:cs="Times New Roman"/>
        </w:rPr>
        <w:t>between 2009 and 2015</w:t>
      </w:r>
      <w:r w:rsidR="00800A1D" w:rsidRPr="00304A3B">
        <w:rPr>
          <w:rFonts w:ascii="Times New Roman" w:hAnsi="Times New Roman" w:cs="Times New Roman"/>
        </w:rPr>
        <w:t xml:space="preserve">, nearly double the total of next highest </w:t>
      </w:r>
      <w:r w:rsidR="00023B36" w:rsidRPr="00304A3B">
        <w:rPr>
          <w:rFonts w:ascii="Times New Roman" w:hAnsi="Times New Roman" w:cs="Times New Roman"/>
        </w:rPr>
        <w:t>grouping</w:t>
      </w:r>
      <w:r w:rsidR="00800A1D" w:rsidRPr="00304A3B">
        <w:rPr>
          <w:rFonts w:ascii="Times New Roman" w:hAnsi="Times New Roman" w:cs="Times New Roman"/>
        </w:rPr>
        <w:t xml:space="preserve"> average</w:t>
      </w:r>
      <w:r w:rsidR="00794562" w:rsidRPr="00304A3B">
        <w:rPr>
          <w:rFonts w:ascii="Times New Roman" w:hAnsi="Times New Roman" w:cs="Times New Roman"/>
        </w:rPr>
        <w:t>. N</w:t>
      </w:r>
      <w:r w:rsidR="003A683D" w:rsidRPr="00304A3B">
        <w:rPr>
          <w:rFonts w:ascii="Times New Roman" w:hAnsi="Times New Roman" w:cs="Times New Roman"/>
        </w:rPr>
        <w:t xml:space="preserve">o metro areas in the world attracted more FDI than Hong Kong and Singapore </w:t>
      </w:r>
      <w:r w:rsidR="00CE1B80" w:rsidRPr="00304A3B">
        <w:rPr>
          <w:rFonts w:ascii="Times New Roman" w:hAnsi="Times New Roman" w:cs="Times New Roman"/>
        </w:rPr>
        <w:t>during</w:t>
      </w:r>
      <w:r w:rsidR="00794562" w:rsidRPr="00304A3B">
        <w:rPr>
          <w:rFonts w:ascii="Times New Roman" w:hAnsi="Times New Roman" w:cs="Times New Roman"/>
        </w:rPr>
        <w:t xml:space="preserve"> this period, and</w:t>
      </w:r>
      <w:r w:rsidR="003A683D" w:rsidRPr="00304A3B">
        <w:rPr>
          <w:rFonts w:ascii="Times New Roman" w:hAnsi="Times New Roman" w:cs="Times New Roman"/>
        </w:rPr>
        <w:t xml:space="preserve"> Beijing and Shanghai were not far behind. </w:t>
      </w:r>
      <w:r w:rsidR="009B41B7" w:rsidRPr="00304A3B">
        <w:rPr>
          <w:rFonts w:ascii="Times New Roman" w:hAnsi="Times New Roman" w:cs="Times New Roman"/>
        </w:rPr>
        <w:t>These cities provide a distinct value proposition for foreign investment: 1) they afford access to a rapidly growing Asian consumer market; 2) they provide strong infrastructure connectivity</w:t>
      </w:r>
      <w:r w:rsidR="00647620" w:rsidRPr="00304A3B">
        <w:rPr>
          <w:rFonts w:ascii="Times New Roman" w:hAnsi="Times New Roman" w:cs="Times New Roman"/>
        </w:rPr>
        <w:t>—Asian Anchors ranks second in total aviation passengers behind Global Giants and first in average download internet download speed—</w:t>
      </w:r>
      <w:r w:rsidR="009B41B7" w:rsidRPr="00304A3B">
        <w:rPr>
          <w:rFonts w:ascii="Times New Roman" w:hAnsi="Times New Roman" w:cs="Times New Roman"/>
        </w:rPr>
        <w:t xml:space="preserve">and relatively well-educated workforces; and 3) they offer </w:t>
      </w:r>
      <w:r w:rsidR="00466CDA" w:rsidRPr="00304A3B">
        <w:rPr>
          <w:rFonts w:ascii="Times New Roman" w:hAnsi="Times New Roman" w:cs="Times New Roman"/>
        </w:rPr>
        <w:t xml:space="preserve">conducive </w:t>
      </w:r>
      <w:r w:rsidR="009B41B7" w:rsidRPr="00304A3B">
        <w:rPr>
          <w:rFonts w:ascii="Times New Roman" w:hAnsi="Times New Roman" w:cs="Times New Roman"/>
        </w:rPr>
        <w:t xml:space="preserve">certain </w:t>
      </w:r>
      <w:r w:rsidR="009B41B7" w:rsidRPr="00304A3B">
        <w:rPr>
          <w:rFonts w:ascii="Times New Roman" w:hAnsi="Times New Roman" w:cs="Times New Roman"/>
        </w:rPr>
        <w:lastRenderedPageBreak/>
        <w:t>regulatory and political environment than many peers in the region.</w:t>
      </w:r>
      <w:r w:rsidR="00580CA1" w:rsidRPr="00304A3B">
        <w:rPr>
          <w:rStyle w:val="EndnoteReference"/>
          <w:rFonts w:ascii="Times New Roman" w:hAnsi="Times New Roman" w:cs="Times New Roman"/>
        </w:rPr>
        <w:endnoteReference w:id="58"/>
      </w:r>
      <w:r w:rsidR="009B41B7" w:rsidRPr="00304A3B">
        <w:rPr>
          <w:rFonts w:ascii="Times New Roman" w:hAnsi="Times New Roman" w:cs="Times New Roman"/>
        </w:rPr>
        <w:t xml:space="preserve"> It is </w:t>
      </w:r>
      <w:proofErr w:type="gramStart"/>
      <w:r w:rsidR="009B41B7" w:rsidRPr="00304A3B">
        <w:rPr>
          <w:rFonts w:ascii="Times New Roman" w:hAnsi="Times New Roman" w:cs="Times New Roman"/>
        </w:rPr>
        <w:t>notable,</w:t>
      </w:r>
      <w:proofErr w:type="gramEnd"/>
      <w:r w:rsidR="009B41B7" w:rsidRPr="00304A3B">
        <w:rPr>
          <w:rFonts w:ascii="Times New Roman" w:hAnsi="Times New Roman" w:cs="Times New Roman"/>
        </w:rPr>
        <w:t xml:space="preserve"> therefore, that Moscow has not kept pace with the other Asian metros in this </w:t>
      </w:r>
      <w:r w:rsidR="00023B36" w:rsidRPr="00304A3B">
        <w:rPr>
          <w:rFonts w:ascii="Times New Roman" w:hAnsi="Times New Roman" w:cs="Times New Roman"/>
        </w:rPr>
        <w:t>category</w:t>
      </w:r>
      <w:r w:rsidR="009B41B7" w:rsidRPr="00304A3B">
        <w:rPr>
          <w:rFonts w:ascii="Times New Roman" w:hAnsi="Times New Roman" w:cs="Times New Roman"/>
        </w:rPr>
        <w:t xml:space="preserve"> in regards to FDI attraction. </w:t>
      </w:r>
    </w:p>
    <w:p w14:paraId="7DC4DE70" w14:textId="525BC56E" w:rsidR="00EE008B" w:rsidRPr="00304A3B" w:rsidRDefault="00EE008B" w:rsidP="00800A07">
      <w:pPr>
        <w:pStyle w:val="Caption"/>
        <w:keepNext/>
        <w:rPr>
          <w:rFonts w:ascii="Times New Roman" w:hAnsi="Times New Roman" w:cs="Times New Roman"/>
          <w:color w:val="auto"/>
          <w:sz w:val="22"/>
          <w:szCs w:val="22"/>
        </w:rPr>
      </w:pPr>
      <w:proofErr w:type="gramStart"/>
      <w:r w:rsidRPr="00304A3B">
        <w:rPr>
          <w:rFonts w:ascii="Times New Roman" w:hAnsi="Times New Roman" w:cs="Times New Roman"/>
          <w:color w:val="auto"/>
          <w:sz w:val="22"/>
          <w:szCs w:val="22"/>
        </w:rPr>
        <w:t xml:space="preserve">Figure </w:t>
      </w:r>
      <w:r w:rsidR="00087A1A" w:rsidRPr="00304A3B">
        <w:rPr>
          <w:rFonts w:ascii="Times New Roman" w:hAnsi="Times New Roman" w:cs="Times New Roman"/>
          <w:color w:val="auto"/>
          <w:sz w:val="22"/>
          <w:szCs w:val="22"/>
        </w:rPr>
        <w:t>6</w:t>
      </w:r>
      <w:r w:rsidRPr="00304A3B">
        <w:rPr>
          <w:rFonts w:ascii="Times New Roman" w:hAnsi="Times New Roman" w:cs="Times New Roman"/>
          <w:color w:val="auto"/>
          <w:sz w:val="22"/>
          <w:szCs w:val="22"/>
        </w:rPr>
        <w:t>.</w:t>
      </w:r>
      <w:proofErr w:type="gramEnd"/>
      <w:r w:rsidRPr="00304A3B">
        <w:rPr>
          <w:rFonts w:ascii="Times New Roman" w:hAnsi="Times New Roman" w:cs="Times New Roman"/>
          <w:color w:val="auto"/>
          <w:sz w:val="22"/>
          <w:szCs w:val="22"/>
        </w:rPr>
        <w:t xml:space="preserve"> Greenfield </w:t>
      </w:r>
      <w:r w:rsidR="00393A7C">
        <w:rPr>
          <w:rFonts w:ascii="Times New Roman" w:hAnsi="Times New Roman" w:cs="Times New Roman"/>
          <w:color w:val="auto"/>
          <w:sz w:val="22"/>
          <w:szCs w:val="22"/>
        </w:rPr>
        <w:t>f</w:t>
      </w:r>
      <w:r w:rsidRPr="00304A3B">
        <w:rPr>
          <w:rFonts w:ascii="Times New Roman" w:hAnsi="Times New Roman" w:cs="Times New Roman"/>
          <w:color w:val="auto"/>
          <w:sz w:val="22"/>
          <w:szCs w:val="22"/>
        </w:rPr>
        <w:t xml:space="preserve">oreign </w:t>
      </w:r>
      <w:r w:rsidR="00393A7C">
        <w:rPr>
          <w:rFonts w:ascii="Times New Roman" w:hAnsi="Times New Roman" w:cs="Times New Roman"/>
          <w:color w:val="auto"/>
          <w:sz w:val="22"/>
          <w:szCs w:val="22"/>
        </w:rPr>
        <w:t>d</w:t>
      </w:r>
      <w:r w:rsidRPr="00304A3B">
        <w:rPr>
          <w:rFonts w:ascii="Times New Roman" w:hAnsi="Times New Roman" w:cs="Times New Roman"/>
          <w:color w:val="auto"/>
          <w:sz w:val="22"/>
          <w:szCs w:val="22"/>
        </w:rPr>
        <w:t>ir</w:t>
      </w:r>
      <w:r w:rsidR="00393A7C">
        <w:rPr>
          <w:rFonts w:ascii="Times New Roman" w:hAnsi="Times New Roman" w:cs="Times New Roman"/>
          <w:color w:val="auto"/>
          <w:sz w:val="22"/>
          <w:szCs w:val="22"/>
        </w:rPr>
        <w:t>ect i</w:t>
      </w:r>
      <w:r w:rsidR="00087A1A" w:rsidRPr="00304A3B">
        <w:rPr>
          <w:rFonts w:ascii="Times New Roman" w:hAnsi="Times New Roman" w:cs="Times New Roman"/>
          <w:color w:val="auto"/>
          <w:sz w:val="22"/>
          <w:szCs w:val="22"/>
        </w:rPr>
        <w:t xml:space="preserve">nvestment </w:t>
      </w:r>
      <w:r w:rsidR="00D93FE2">
        <w:rPr>
          <w:rFonts w:ascii="Times New Roman" w:hAnsi="Times New Roman" w:cs="Times New Roman"/>
          <w:color w:val="auto"/>
          <w:sz w:val="22"/>
          <w:szCs w:val="22"/>
        </w:rPr>
        <w:t xml:space="preserve">in metropolitan groups </w:t>
      </w:r>
      <w:r w:rsidR="00087A1A" w:rsidRPr="00304A3B">
        <w:rPr>
          <w:rFonts w:ascii="Times New Roman" w:hAnsi="Times New Roman" w:cs="Times New Roman"/>
          <w:color w:val="auto"/>
          <w:sz w:val="22"/>
          <w:szCs w:val="22"/>
        </w:rPr>
        <w:t>(</w:t>
      </w:r>
      <w:r w:rsidR="00393A7C">
        <w:rPr>
          <w:rFonts w:ascii="Times New Roman" w:hAnsi="Times New Roman" w:cs="Times New Roman"/>
          <w:color w:val="auto"/>
          <w:sz w:val="22"/>
          <w:szCs w:val="22"/>
        </w:rPr>
        <w:t>m</w:t>
      </w:r>
      <w:r w:rsidR="00087A1A" w:rsidRPr="00304A3B">
        <w:rPr>
          <w:rFonts w:ascii="Times New Roman" w:hAnsi="Times New Roman" w:cs="Times New Roman"/>
          <w:color w:val="auto"/>
          <w:sz w:val="22"/>
          <w:szCs w:val="22"/>
        </w:rPr>
        <w:t>illions</w:t>
      </w:r>
      <w:r w:rsidR="00393A7C">
        <w:rPr>
          <w:rFonts w:ascii="Times New Roman" w:hAnsi="Times New Roman" w:cs="Times New Roman"/>
          <w:color w:val="auto"/>
          <w:sz w:val="22"/>
          <w:szCs w:val="22"/>
        </w:rPr>
        <w:t xml:space="preserve"> of USD</w:t>
      </w:r>
      <w:r w:rsidR="00087A1A" w:rsidRPr="00304A3B">
        <w:rPr>
          <w:rFonts w:ascii="Times New Roman" w:hAnsi="Times New Roman" w:cs="Times New Roman"/>
          <w:color w:val="auto"/>
          <w:sz w:val="22"/>
          <w:szCs w:val="22"/>
        </w:rPr>
        <w:t>)</w:t>
      </w:r>
      <w:r w:rsidR="00393A7C">
        <w:rPr>
          <w:rFonts w:ascii="Times New Roman" w:hAnsi="Times New Roman" w:cs="Times New Roman"/>
          <w:color w:val="auto"/>
          <w:sz w:val="22"/>
          <w:szCs w:val="22"/>
        </w:rPr>
        <w:t xml:space="preserve">, </w:t>
      </w:r>
      <w:r w:rsidR="00393A7C" w:rsidRPr="00304A3B">
        <w:rPr>
          <w:rFonts w:ascii="Times New Roman" w:hAnsi="Times New Roman" w:cs="Times New Roman"/>
          <w:color w:val="auto"/>
          <w:sz w:val="22"/>
          <w:szCs w:val="22"/>
        </w:rPr>
        <w:t>2009-2015</w:t>
      </w:r>
    </w:p>
    <w:p w14:paraId="02EEB2DB" w14:textId="66EF1A84" w:rsidR="00DB0806" w:rsidRPr="00304A3B" w:rsidRDefault="00DB0806" w:rsidP="00126654">
      <w:pPr>
        <w:spacing w:line="240" w:lineRule="auto"/>
        <w:jc w:val="center"/>
        <w:rPr>
          <w:rFonts w:ascii="Times New Roman" w:hAnsi="Times New Roman" w:cs="Times New Roman"/>
        </w:rPr>
      </w:pPr>
    </w:p>
    <w:p w14:paraId="1D963164" w14:textId="63DDE88E" w:rsidR="00491299" w:rsidRPr="00304A3B" w:rsidRDefault="00491299" w:rsidP="00491299">
      <w:pPr>
        <w:spacing w:line="240" w:lineRule="auto"/>
        <w:rPr>
          <w:rFonts w:ascii="Times New Roman" w:hAnsi="Times New Roman" w:cs="Times New Roman"/>
        </w:rPr>
      </w:pPr>
      <w:r w:rsidRPr="00304A3B">
        <w:rPr>
          <w:rFonts w:ascii="Times New Roman" w:hAnsi="Times New Roman" w:cs="Times New Roman"/>
        </w:rPr>
        <w:t xml:space="preserve">These metro areas, along with Tokyo and Osaka-Kobe, are where Asia’s business gets done. About 32 percent of gross value added in these six metros is generated by financial and business services, 10 percent of Global 2000 firms are headquartered in these markets, and major stock exchanges are located in Shanghai, Hong Kong, and Seoul. Singapore is a significant financial trading hub in its own right. And 41 percent of Moscow’s GVA is in financial and business services. </w:t>
      </w:r>
    </w:p>
    <w:p w14:paraId="545DC440" w14:textId="173A806F" w:rsidR="009809F3" w:rsidRPr="00304A3B" w:rsidRDefault="009B41B7" w:rsidP="00863DBA">
      <w:pPr>
        <w:spacing w:line="240" w:lineRule="auto"/>
        <w:rPr>
          <w:rFonts w:ascii="Times New Roman" w:hAnsi="Times New Roman" w:cs="Times New Roman"/>
        </w:rPr>
      </w:pPr>
      <w:r w:rsidRPr="00304A3B">
        <w:rPr>
          <w:rFonts w:ascii="Times New Roman" w:hAnsi="Times New Roman" w:cs="Times New Roman"/>
        </w:rPr>
        <w:t>Yet</w:t>
      </w:r>
      <w:r w:rsidR="005261B7" w:rsidRPr="00304A3B">
        <w:rPr>
          <w:rFonts w:ascii="Times New Roman" w:hAnsi="Times New Roman" w:cs="Times New Roman"/>
        </w:rPr>
        <w:t xml:space="preserve">, labor productivity in this sector is only about one-third as high as in </w:t>
      </w:r>
      <w:r w:rsidR="0016179B" w:rsidRPr="00304A3B">
        <w:rPr>
          <w:rFonts w:ascii="Times New Roman" w:hAnsi="Times New Roman" w:cs="Times New Roman"/>
        </w:rPr>
        <w:t>Global Giants</w:t>
      </w:r>
      <w:r w:rsidR="005261B7" w:rsidRPr="00304A3B">
        <w:rPr>
          <w:rFonts w:ascii="Times New Roman" w:hAnsi="Times New Roman" w:cs="Times New Roman"/>
        </w:rPr>
        <w:t xml:space="preserve">, revealing that much work needs to be done to move further up the value-added chain. </w:t>
      </w:r>
      <w:r w:rsidR="00E0165A" w:rsidRPr="00304A3B">
        <w:rPr>
          <w:rFonts w:ascii="Times New Roman" w:hAnsi="Times New Roman" w:cs="Times New Roman"/>
        </w:rPr>
        <w:t>T</w:t>
      </w:r>
      <w:r w:rsidR="005261B7" w:rsidRPr="00304A3B">
        <w:rPr>
          <w:rFonts w:ascii="Times New Roman" w:hAnsi="Times New Roman" w:cs="Times New Roman"/>
        </w:rPr>
        <w:t xml:space="preserve">hese metro areas are not yet </w:t>
      </w:r>
      <w:r w:rsidR="00EE008B" w:rsidRPr="00304A3B">
        <w:rPr>
          <w:rFonts w:ascii="Times New Roman" w:hAnsi="Times New Roman" w:cs="Times New Roman"/>
        </w:rPr>
        <w:t>on par</w:t>
      </w:r>
      <w:r w:rsidR="005261B7" w:rsidRPr="00304A3B">
        <w:rPr>
          <w:rFonts w:ascii="Times New Roman" w:hAnsi="Times New Roman" w:cs="Times New Roman"/>
        </w:rPr>
        <w:t xml:space="preserve"> with their Western counterparts in terms of patenting intensity or </w:t>
      </w:r>
      <w:r w:rsidR="009809F3" w:rsidRPr="00304A3B">
        <w:rPr>
          <w:rFonts w:ascii="Times New Roman" w:hAnsi="Times New Roman" w:cs="Times New Roman"/>
        </w:rPr>
        <w:t>the scientific impact of their</w:t>
      </w:r>
      <w:r w:rsidR="005261B7" w:rsidRPr="00304A3B">
        <w:rPr>
          <w:rFonts w:ascii="Times New Roman" w:hAnsi="Times New Roman" w:cs="Times New Roman"/>
        </w:rPr>
        <w:t xml:space="preserve"> universities</w:t>
      </w:r>
      <w:r w:rsidR="00E0165A" w:rsidRPr="00304A3B">
        <w:rPr>
          <w:rFonts w:ascii="Times New Roman" w:hAnsi="Times New Roman" w:cs="Times New Roman"/>
        </w:rPr>
        <w:t xml:space="preserve">, although they can be considered the innovation hubs of their respective countries. Beijing and Shanghai together generate 23 percent of China’s patents, Moscow generates 55 percent of Russia’s patents, and Seoul-Incheon generates 67 percent of South Korea’s patents. </w:t>
      </w:r>
      <w:proofErr w:type="gramStart"/>
      <w:r w:rsidR="00E0165A" w:rsidRPr="00304A3B">
        <w:rPr>
          <w:rFonts w:ascii="Times New Roman" w:hAnsi="Times New Roman" w:cs="Times New Roman"/>
        </w:rPr>
        <w:t>Patents per capita inc</w:t>
      </w:r>
      <w:r w:rsidR="009420D6" w:rsidRPr="00304A3B">
        <w:rPr>
          <w:rFonts w:ascii="Times New Roman" w:hAnsi="Times New Roman" w:cs="Times New Roman"/>
        </w:rPr>
        <w:t xml:space="preserve">reased by 78 percent across Asian Anchors </w:t>
      </w:r>
      <w:r w:rsidR="00E0165A" w:rsidRPr="00304A3B">
        <w:rPr>
          <w:rFonts w:ascii="Times New Roman" w:hAnsi="Times New Roman" w:cs="Times New Roman"/>
        </w:rPr>
        <w:t>between 2007 and 2012.</w:t>
      </w:r>
      <w:proofErr w:type="gramEnd"/>
      <w:r w:rsidR="00E0165A" w:rsidRPr="00304A3B">
        <w:rPr>
          <w:rFonts w:ascii="Times New Roman" w:hAnsi="Times New Roman" w:cs="Times New Roman"/>
        </w:rPr>
        <w:t xml:space="preserve"> And the share of scientific publications generated in these markets that can be considered “high-impact” increased by </w:t>
      </w:r>
      <w:r w:rsidR="00CB676B" w:rsidRPr="00304A3B">
        <w:rPr>
          <w:rFonts w:ascii="Times New Roman" w:hAnsi="Times New Roman" w:cs="Times New Roman"/>
        </w:rPr>
        <w:t xml:space="preserve">18 percent between 2009 and 2013, the second fastest increase among the seven </w:t>
      </w:r>
      <w:r w:rsidR="009420D6" w:rsidRPr="00304A3B">
        <w:rPr>
          <w:rFonts w:ascii="Times New Roman" w:hAnsi="Times New Roman" w:cs="Times New Roman"/>
        </w:rPr>
        <w:t>groupings</w:t>
      </w:r>
      <w:r w:rsidR="00CB676B" w:rsidRPr="00304A3B">
        <w:rPr>
          <w:rFonts w:ascii="Times New Roman" w:hAnsi="Times New Roman" w:cs="Times New Roman"/>
        </w:rPr>
        <w:t xml:space="preserve">. </w:t>
      </w:r>
    </w:p>
    <w:p w14:paraId="2B863497" w14:textId="2386FD3C" w:rsidR="0064757E" w:rsidRPr="00304A3B" w:rsidRDefault="0064757E" w:rsidP="00794562">
      <w:pPr>
        <w:spacing w:line="240" w:lineRule="auto"/>
        <w:rPr>
          <w:rFonts w:ascii="Times New Roman" w:hAnsi="Times New Roman" w:cs="Times New Roman"/>
          <w:b/>
        </w:rPr>
      </w:pPr>
      <w:r w:rsidRPr="00304A3B">
        <w:rPr>
          <w:rFonts w:ascii="Times New Roman" w:hAnsi="Times New Roman" w:cs="Times New Roman"/>
          <w:b/>
        </w:rPr>
        <w:t xml:space="preserve">Emerging </w:t>
      </w:r>
      <w:r w:rsidR="00EB4B37" w:rsidRPr="00304A3B">
        <w:rPr>
          <w:rFonts w:ascii="Times New Roman" w:hAnsi="Times New Roman" w:cs="Times New Roman"/>
          <w:b/>
        </w:rPr>
        <w:t>Gateways</w:t>
      </w:r>
    </w:p>
    <w:p w14:paraId="2C3EA4B7" w14:textId="3D86980A" w:rsidR="00794562" w:rsidRPr="00304A3B" w:rsidRDefault="002F3F09" w:rsidP="00794562">
      <w:pPr>
        <w:spacing w:line="240" w:lineRule="auto"/>
        <w:rPr>
          <w:rFonts w:ascii="Times New Roman" w:hAnsi="Times New Roman" w:cs="Times New Roman"/>
        </w:rPr>
      </w:pPr>
      <w:r w:rsidRPr="00304A3B">
        <w:rPr>
          <w:rFonts w:ascii="Times New Roman" w:hAnsi="Times New Roman" w:cs="Times New Roman"/>
          <w:b/>
        </w:rPr>
        <w:t xml:space="preserve">Emerging </w:t>
      </w:r>
      <w:r w:rsidR="000D0344" w:rsidRPr="00304A3B">
        <w:rPr>
          <w:rFonts w:ascii="Times New Roman" w:hAnsi="Times New Roman" w:cs="Times New Roman"/>
          <w:b/>
        </w:rPr>
        <w:t>G</w:t>
      </w:r>
      <w:r w:rsidR="00EB4B37" w:rsidRPr="00304A3B">
        <w:rPr>
          <w:rFonts w:ascii="Times New Roman" w:hAnsi="Times New Roman" w:cs="Times New Roman"/>
          <w:b/>
        </w:rPr>
        <w:t>ateways</w:t>
      </w:r>
      <w:r w:rsidR="00794562" w:rsidRPr="00304A3B">
        <w:rPr>
          <w:rFonts w:ascii="Times New Roman" w:hAnsi="Times New Roman" w:cs="Times New Roman"/>
        </w:rPr>
        <w:t xml:space="preserve"> are </w:t>
      </w:r>
      <w:r w:rsidR="00BF30BC" w:rsidRPr="00304A3B">
        <w:rPr>
          <w:rFonts w:ascii="Times New Roman" w:hAnsi="Times New Roman" w:cs="Times New Roman"/>
        </w:rPr>
        <w:t xml:space="preserve">28 </w:t>
      </w:r>
      <w:r w:rsidR="00794562" w:rsidRPr="00304A3B">
        <w:rPr>
          <w:rFonts w:ascii="Times New Roman" w:hAnsi="Times New Roman" w:cs="Times New Roman"/>
        </w:rPr>
        <w:t>large metropolitan areas</w:t>
      </w:r>
      <w:r w:rsidR="00DC0B1D" w:rsidRPr="00304A3B">
        <w:rPr>
          <w:rFonts w:ascii="Times New Roman" w:hAnsi="Times New Roman" w:cs="Times New Roman"/>
        </w:rPr>
        <w:t xml:space="preserve"> from developing </w:t>
      </w:r>
      <w:r w:rsidR="00EB4B37" w:rsidRPr="00304A3B">
        <w:rPr>
          <w:rFonts w:ascii="Times New Roman" w:hAnsi="Times New Roman" w:cs="Times New Roman"/>
        </w:rPr>
        <w:t>economies that</w:t>
      </w:r>
      <w:r w:rsidR="00864AA9" w:rsidRPr="00304A3B">
        <w:rPr>
          <w:rFonts w:ascii="Times New Roman" w:hAnsi="Times New Roman" w:cs="Times New Roman"/>
        </w:rPr>
        <w:t xml:space="preserve"> serve as the business, transportation, and oftentimes political centers </w:t>
      </w:r>
      <w:r w:rsidR="00794562" w:rsidRPr="00304A3B">
        <w:rPr>
          <w:rFonts w:ascii="Times New Roman" w:hAnsi="Times New Roman" w:cs="Times New Roman"/>
        </w:rPr>
        <w:t>of their countries</w:t>
      </w:r>
      <w:r w:rsidR="00864AA9" w:rsidRPr="00304A3B">
        <w:rPr>
          <w:rFonts w:ascii="Times New Roman" w:hAnsi="Times New Roman" w:cs="Times New Roman"/>
        </w:rPr>
        <w:t xml:space="preserve"> and regions</w:t>
      </w:r>
      <w:r w:rsidR="00794562" w:rsidRPr="00304A3B">
        <w:rPr>
          <w:rFonts w:ascii="Times New Roman" w:hAnsi="Times New Roman" w:cs="Times New Roman"/>
        </w:rPr>
        <w:t xml:space="preserve">. </w:t>
      </w:r>
      <w:r w:rsidR="00B41552" w:rsidRPr="00304A3B">
        <w:rPr>
          <w:rFonts w:ascii="Times New Roman" w:hAnsi="Times New Roman" w:cs="Times New Roman"/>
        </w:rPr>
        <w:t>Nearly one-third</w:t>
      </w:r>
      <w:r w:rsidR="00040831" w:rsidRPr="00304A3B">
        <w:rPr>
          <w:rFonts w:ascii="Times New Roman" w:hAnsi="Times New Roman" w:cs="Times New Roman"/>
        </w:rPr>
        <w:t xml:space="preserve"> of the cities in this </w:t>
      </w:r>
      <w:r w:rsidR="009420D6" w:rsidRPr="00304A3B">
        <w:rPr>
          <w:rFonts w:ascii="Times New Roman" w:hAnsi="Times New Roman" w:cs="Times New Roman"/>
        </w:rPr>
        <w:t>group</w:t>
      </w:r>
      <w:r w:rsidR="00040831" w:rsidRPr="00304A3B">
        <w:rPr>
          <w:rFonts w:ascii="Times New Roman" w:hAnsi="Times New Roman" w:cs="Times New Roman"/>
        </w:rPr>
        <w:t xml:space="preserve"> are the official capital of their respective countries (</w:t>
      </w:r>
      <w:r w:rsidR="00B41552" w:rsidRPr="00304A3B">
        <w:rPr>
          <w:rFonts w:ascii="Times New Roman" w:hAnsi="Times New Roman" w:cs="Times New Roman"/>
        </w:rPr>
        <w:t xml:space="preserve">e.g. Ankara, Brasilia, Cape Town, </w:t>
      </w:r>
      <w:r w:rsidR="00040831" w:rsidRPr="00304A3B">
        <w:rPr>
          <w:rFonts w:ascii="Times New Roman" w:hAnsi="Times New Roman" w:cs="Times New Roman"/>
        </w:rPr>
        <w:t xml:space="preserve">Mexico City, </w:t>
      </w:r>
      <w:r w:rsidR="00B41552" w:rsidRPr="00304A3B">
        <w:rPr>
          <w:rFonts w:ascii="Times New Roman" w:hAnsi="Times New Roman" w:cs="Times New Roman"/>
        </w:rPr>
        <w:t xml:space="preserve">Pretoria, </w:t>
      </w:r>
      <w:r w:rsidR="00040831" w:rsidRPr="00304A3B">
        <w:rPr>
          <w:rFonts w:ascii="Times New Roman" w:hAnsi="Times New Roman" w:cs="Times New Roman"/>
        </w:rPr>
        <w:t xml:space="preserve">Santiago, Warsaw, </w:t>
      </w:r>
      <w:r w:rsidR="00B41552" w:rsidRPr="00304A3B">
        <w:rPr>
          <w:rFonts w:ascii="Times New Roman" w:hAnsi="Times New Roman" w:cs="Times New Roman"/>
        </w:rPr>
        <w:t>etc.)</w:t>
      </w:r>
      <w:r w:rsidR="00040831" w:rsidRPr="00304A3B">
        <w:rPr>
          <w:rFonts w:ascii="Times New Roman" w:hAnsi="Times New Roman" w:cs="Times New Roman"/>
        </w:rPr>
        <w:t xml:space="preserve">. </w:t>
      </w:r>
      <w:r w:rsidR="00281CD5" w:rsidRPr="00304A3B">
        <w:rPr>
          <w:rFonts w:ascii="Times New Roman" w:hAnsi="Times New Roman" w:cs="Times New Roman"/>
        </w:rPr>
        <w:t xml:space="preserve">In fact, </w:t>
      </w:r>
      <w:r w:rsidR="00864AA9" w:rsidRPr="00304A3B">
        <w:rPr>
          <w:rFonts w:ascii="Times New Roman" w:hAnsi="Times New Roman" w:cs="Times New Roman"/>
        </w:rPr>
        <w:t>eight</w:t>
      </w:r>
      <w:r w:rsidR="00281CD5" w:rsidRPr="00304A3B">
        <w:rPr>
          <w:rFonts w:ascii="Times New Roman" w:hAnsi="Times New Roman" w:cs="Times New Roman"/>
        </w:rPr>
        <w:t xml:space="preserve"> of the metropolitan areas in this group house the </w:t>
      </w:r>
      <w:r w:rsidR="00864AA9" w:rsidRPr="00304A3B">
        <w:rPr>
          <w:rFonts w:ascii="Times New Roman" w:hAnsi="Times New Roman" w:cs="Times New Roman"/>
        </w:rPr>
        <w:t>largest national stock exchange</w:t>
      </w:r>
      <w:r w:rsidR="00281CD5" w:rsidRPr="00304A3B">
        <w:rPr>
          <w:rFonts w:ascii="Times New Roman" w:hAnsi="Times New Roman" w:cs="Times New Roman"/>
        </w:rPr>
        <w:t xml:space="preserve">, serving as the financial centers of their countries. </w:t>
      </w:r>
      <w:r w:rsidR="00260F83" w:rsidRPr="00304A3B">
        <w:rPr>
          <w:rFonts w:ascii="Times New Roman" w:hAnsi="Times New Roman" w:cs="Times New Roman"/>
        </w:rPr>
        <w:t xml:space="preserve">Many of these cities </w:t>
      </w:r>
      <w:r w:rsidR="00946B18" w:rsidRPr="00304A3B">
        <w:rPr>
          <w:rFonts w:ascii="Times New Roman" w:hAnsi="Times New Roman" w:cs="Times New Roman"/>
        </w:rPr>
        <w:t>served</w:t>
      </w:r>
      <w:r w:rsidR="00260F83" w:rsidRPr="00304A3B">
        <w:rPr>
          <w:rFonts w:ascii="Times New Roman" w:hAnsi="Times New Roman" w:cs="Times New Roman"/>
        </w:rPr>
        <w:t xml:space="preserve"> as the focal point of their national economies as they liberalized their markets for flows of trade, investment and people at the end of the 20</w:t>
      </w:r>
      <w:r w:rsidR="00260F83" w:rsidRPr="00304A3B">
        <w:rPr>
          <w:rFonts w:ascii="Times New Roman" w:hAnsi="Times New Roman" w:cs="Times New Roman"/>
          <w:vertAlign w:val="superscript"/>
        </w:rPr>
        <w:t>th</w:t>
      </w:r>
      <w:r w:rsidR="00260F83" w:rsidRPr="00304A3B">
        <w:rPr>
          <w:rFonts w:ascii="Times New Roman" w:hAnsi="Times New Roman" w:cs="Times New Roman"/>
        </w:rPr>
        <w:t xml:space="preserve"> century.</w:t>
      </w:r>
      <w:r w:rsidR="00260F83" w:rsidRPr="00304A3B">
        <w:rPr>
          <w:rStyle w:val="EndnoteReference"/>
          <w:rFonts w:ascii="Times New Roman" w:hAnsi="Times New Roman" w:cs="Times New Roman"/>
        </w:rPr>
        <w:endnoteReference w:id="59"/>
      </w:r>
      <w:r w:rsidR="00040831" w:rsidRPr="00304A3B">
        <w:rPr>
          <w:rFonts w:ascii="Times New Roman" w:hAnsi="Times New Roman" w:cs="Times New Roman"/>
        </w:rPr>
        <w:t>Additionally some of these</w:t>
      </w:r>
      <w:r w:rsidR="00946B18" w:rsidRPr="00304A3B">
        <w:rPr>
          <w:rFonts w:ascii="Times New Roman" w:hAnsi="Times New Roman" w:cs="Times New Roman"/>
        </w:rPr>
        <w:t xml:space="preserve"> cities also serve as gateways for entire regions,</w:t>
      </w:r>
      <w:r w:rsidR="00040831" w:rsidRPr="00304A3B">
        <w:rPr>
          <w:rFonts w:ascii="Times New Roman" w:hAnsi="Times New Roman" w:cs="Times New Roman"/>
        </w:rPr>
        <w:t xml:space="preserve"> </w:t>
      </w:r>
      <w:r w:rsidR="00391E8E" w:rsidRPr="00304A3B">
        <w:rPr>
          <w:rFonts w:ascii="Times New Roman" w:hAnsi="Times New Roman" w:cs="Times New Roman"/>
        </w:rPr>
        <w:t xml:space="preserve">as is the </w:t>
      </w:r>
      <w:r w:rsidR="00040831" w:rsidRPr="00304A3B">
        <w:rPr>
          <w:rFonts w:ascii="Times New Roman" w:hAnsi="Times New Roman" w:cs="Times New Roman"/>
        </w:rPr>
        <w:t xml:space="preserve">case for </w:t>
      </w:r>
      <w:r w:rsidR="00946B18" w:rsidRPr="00304A3B">
        <w:rPr>
          <w:rFonts w:ascii="Times New Roman" w:hAnsi="Times New Roman" w:cs="Times New Roman"/>
        </w:rPr>
        <w:t xml:space="preserve">São </w:t>
      </w:r>
      <w:r w:rsidR="00040831" w:rsidRPr="00304A3B">
        <w:rPr>
          <w:rFonts w:ascii="Times New Roman" w:hAnsi="Times New Roman" w:cs="Times New Roman"/>
        </w:rPr>
        <w:t>Paulo</w:t>
      </w:r>
      <w:r w:rsidR="003902E7">
        <w:rPr>
          <w:rFonts w:ascii="Times New Roman" w:hAnsi="Times New Roman" w:cs="Times New Roman"/>
        </w:rPr>
        <w:t>’s role in financial and business services within</w:t>
      </w:r>
      <w:r w:rsidR="00040831" w:rsidRPr="00304A3B">
        <w:rPr>
          <w:rFonts w:ascii="Times New Roman" w:hAnsi="Times New Roman" w:cs="Times New Roman"/>
        </w:rPr>
        <w:t xml:space="preserve"> South America</w:t>
      </w:r>
      <w:r w:rsidR="00624362" w:rsidRPr="00304A3B">
        <w:rPr>
          <w:rStyle w:val="EndnoteReference"/>
          <w:rFonts w:ascii="Times New Roman" w:hAnsi="Times New Roman" w:cs="Times New Roman"/>
        </w:rPr>
        <w:endnoteReference w:id="60"/>
      </w:r>
      <w:r w:rsidR="00040831" w:rsidRPr="00304A3B">
        <w:rPr>
          <w:rFonts w:ascii="Times New Roman" w:hAnsi="Times New Roman" w:cs="Times New Roman"/>
        </w:rPr>
        <w:t>; Istanbul connecting the Middle East and Europe; Johannesburg as the business hub of sub-Saharan Africa</w:t>
      </w:r>
      <w:r w:rsidR="00391E8E" w:rsidRPr="00304A3B">
        <w:rPr>
          <w:rFonts w:ascii="Times New Roman" w:hAnsi="Times New Roman" w:cs="Times New Roman"/>
        </w:rPr>
        <w:t>, and</w:t>
      </w:r>
      <w:r w:rsidR="00040831" w:rsidRPr="00304A3B">
        <w:rPr>
          <w:rFonts w:ascii="Times New Roman" w:hAnsi="Times New Roman" w:cs="Times New Roman"/>
        </w:rPr>
        <w:t xml:space="preserve"> Shenzhen as major </w:t>
      </w:r>
      <w:r w:rsidR="00391E8E" w:rsidRPr="00304A3B">
        <w:rPr>
          <w:rFonts w:ascii="Times New Roman" w:hAnsi="Times New Roman" w:cs="Times New Roman"/>
        </w:rPr>
        <w:t xml:space="preserve">complementary </w:t>
      </w:r>
      <w:r w:rsidR="00040831" w:rsidRPr="00304A3B">
        <w:rPr>
          <w:rFonts w:ascii="Times New Roman" w:hAnsi="Times New Roman" w:cs="Times New Roman"/>
        </w:rPr>
        <w:t>business hub in China</w:t>
      </w:r>
      <w:r w:rsidR="00391E8E" w:rsidRPr="00304A3B">
        <w:rPr>
          <w:rFonts w:ascii="Times New Roman" w:hAnsi="Times New Roman" w:cs="Times New Roman"/>
        </w:rPr>
        <w:t xml:space="preserve"> to Beijing, Hong Kong, and Shanghai</w:t>
      </w:r>
      <w:r w:rsidR="00040831" w:rsidRPr="00304A3B">
        <w:rPr>
          <w:rFonts w:ascii="Times New Roman" w:hAnsi="Times New Roman" w:cs="Times New Roman"/>
        </w:rPr>
        <w:t>.</w:t>
      </w:r>
      <w:r w:rsidR="00391E8E" w:rsidRPr="00304A3B">
        <w:rPr>
          <w:rStyle w:val="EndnoteReference"/>
          <w:rFonts w:ascii="Times New Roman" w:hAnsi="Times New Roman" w:cs="Times New Roman"/>
        </w:rPr>
        <w:endnoteReference w:id="61"/>
      </w:r>
      <w:r w:rsidR="00040831" w:rsidRPr="00304A3B">
        <w:rPr>
          <w:rFonts w:ascii="Times New Roman" w:hAnsi="Times New Roman" w:cs="Times New Roman"/>
        </w:rPr>
        <w:t xml:space="preserve"> </w:t>
      </w:r>
    </w:p>
    <w:p w14:paraId="173DAF84" w14:textId="4C9CA55D" w:rsidR="00087A1A" w:rsidRPr="00304A3B" w:rsidRDefault="00087A1A" w:rsidP="00087A1A">
      <w:pPr>
        <w:spacing w:line="240" w:lineRule="auto"/>
        <w:rPr>
          <w:rFonts w:ascii="Times New Roman" w:hAnsi="Times New Roman" w:cs="Times New Roman"/>
          <w:b/>
        </w:rPr>
      </w:pPr>
      <w:proofErr w:type="gramStart"/>
      <w:r w:rsidRPr="00304A3B">
        <w:rPr>
          <w:rFonts w:ascii="Times New Roman" w:hAnsi="Times New Roman" w:cs="Times New Roman"/>
          <w:b/>
        </w:rPr>
        <w:t>Map 4.</w:t>
      </w:r>
      <w:proofErr w:type="gramEnd"/>
      <w:r w:rsidRPr="00304A3B">
        <w:rPr>
          <w:rFonts w:ascii="Times New Roman" w:hAnsi="Times New Roman" w:cs="Times New Roman"/>
          <w:b/>
        </w:rPr>
        <w:t xml:space="preserve"> Emerging Gateways</w:t>
      </w:r>
      <w:r w:rsidR="002D3B39">
        <w:rPr>
          <w:rFonts w:ascii="Times New Roman" w:hAnsi="Times New Roman" w:cs="Times New Roman"/>
          <w:b/>
        </w:rPr>
        <w:t>, 2015</w:t>
      </w:r>
    </w:p>
    <w:p w14:paraId="34830B22" w14:textId="7DD92493" w:rsidR="00087A1A" w:rsidRPr="00304A3B" w:rsidRDefault="00087A1A" w:rsidP="00087A1A">
      <w:pPr>
        <w:spacing w:line="240" w:lineRule="auto"/>
        <w:jc w:val="center"/>
        <w:rPr>
          <w:rFonts w:ascii="Times New Roman" w:hAnsi="Times New Roman" w:cs="Times New Roman"/>
          <w:b/>
        </w:rPr>
      </w:pPr>
    </w:p>
    <w:p w14:paraId="6DCF23C3" w14:textId="7F9C266E" w:rsidR="0069676F" w:rsidRPr="00304A3B" w:rsidRDefault="0069676F" w:rsidP="00087A1A">
      <w:pPr>
        <w:spacing w:line="240" w:lineRule="auto"/>
        <w:rPr>
          <w:rFonts w:ascii="Times New Roman" w:hAnsi="Times New Roman" w:cs="Times New Roman"/>
          <w:b/>
        </w:rPr>
      </w:pPr>
      <w:proofErr w:type="gramStart"/>
      <w:r w:rsidRPr="00304A3B">
        <w:rPr>
          <w:rFonts w:ascii="Times New Roman" w:hAnsi="Times New Roman" w:cs="Times New Roman"/>
          <w:b/>
        </w:rPr>
        <w:t>Table 5.</w:t>
      </w:r>
      <w:proofErr w:type="gramEnd"/>
      <w:r w:rsidRPr="00304A3B">
        <w:rPr>
          <w:rFonts w:ascii="Times New Roman" w:hAnsi="Times New Roman" w:cs="Times New Roman"/>
          <w:b/>
        </w:rPr>
        <w:t xml:space="preserve"> Emerging Gateways </w:t>
      </w:r>
      <w:r w:rsidR="002D3B39">
        <w:rPr>
          <w:rFonts w:ascii="Times New Roman" w:hAnsi="Times New Roman" w:cs="Times New Roman"/>
          <w:b/>
        </w:rPr>
        <w:t xml:space="preserve">economic indicators, </w:t>
      </w:r>
      <w:r w:rsidR="00D93FE2">
        <w:rPr>
          <w:rFonts w:ascii="Times New Roman" w:hAnsi="Times New Roman" w:cs="Times New Roman"/>
          <w:b/>
        </w:rPr>
        <w:t>2015</w:t>
      </w:r>
    </w:p>
    <w:p w14:paraId="4E574C09" w14:textId="77777777" w:rsidR="0069676F" w:rsidRPr="00304A3B" w:rsidRDefault="0069676F" w:rsidP="00087A1A">
      <w:pPr>
        <w:spacing w:line="240" w:lineRule="auto"/>
        <w:rPr>
          <w:rFonts w:ascii="Times New Roman" w:hAnsi="Times New Roman" w:cs="Times New Roman"/>
          <w:b/>
        </w:rPr>
      </w:pPr>
    </w:p>
    <w:p w14:paraId="224EF4D4" w14:textId="3D24B629" w:rsidR="00087A1A" w:rsidRPr="00304A3B" w:rsidRDefault="00087A1A" w:rsidP="00087A1A">
      <w:pPr>
        <w:spacing w:line="240" w:lineRule="auto"/>
        <w:rPr>
          <w:rFonts w:ascii="Times New Roman" w:hAnsi="Times New Roman" w:cs="Times New Roman"/>
          <w:b/>
        </w:rPr>
      </w:pPr>
      <w:proofErr w:type="gramStart"/>
      <w:r w:rsidRPr="00304A3B">
        <w:rPr>
          <w:rFonts w:ascii="Times New Roman" w:hAnsi="Times New Roman" w:cs="Times New Roman"/>
          <w:b/>
        </w:rPr>
        <w:t>Figure 7.</w:t>
      </w:r>
      <w:proofErr w:type="gramEnd"/>
      <w:r w:rsidRPr="00304A3B">
        <w:rPr>
          <w:rFonts w:ascii="Times New Roman" w:hAnsi="Times New Roman" w:cs="Times New Roman"/>
          <w:b/>
        </w:rPr>
        <w:t xml:space="preserve"> Emerging Gateways </w:t>
      </w:r>
      <w:r w:rsidR="002D3B39">
        <w:rPr>
          <w:rFonts w:ascii="Times New Roman" w:hAnsi="Times New Roman" w:cs="Times New Roman"/>
          <w:b/>
        </w:rPr>
        <w:t>i</w:t>
      </w:r>
      <w:r w:rsidRPr="00304A3B">
        <w:rPr>
          <w:rFonts w:ascii="Times New Roman" w:hAnsi="Times New Roman" w:cs="Times New Roman"/>
          <w:b/>
        </w:rPr>
        <w:t>ndicators</w:t>
      </w:r>
      <w:r w:rsidR="002D3B39">
        <w:rPr>
          <w:rFonts w:ascii="Times New Roman" w:hAnsi="Times New Roman" w:cs="Times New Roman"/>
          <w:b/>
        </w:rPr>
        <w:t>, 2015 or most recent year available</w:t>
      </w:r>
    </w:p>
    <w:p w14:paraId="4A132033" w14:textId="0E5D0774" w:rsidR="00087A1A" w:rsidRPr="00304A3B" w:rsidRDefault="00087A1A" w:rsidP="00126654">
      <w:pPr>
        <w:spacing w:line="240" w:lineRule="auto"/>
        <w:ind w:left="-720"/>
        <w:jc w:val="center"/>
        <w:rPr>
          <w:rFonts w:ascii="Times New Roman" w:hAnsi="Times New Roman" w:cs="Times New Roman"/>
        </w:rPr>
      </w:pPr>
    </w:p>
    <w:p w14:paraId="3FFA38D6" w14:textId="372F31C1" w:rsidR="00B16355" w:rsidRPr="00304A3B" w:rsidRDefault="00794562" w:rsidP="00794562">
      <w:pPr>
        <w:spacing w:line="240" w:lineRule="auto"/>
        <w:rPr>
          <w:rFonts w:ascii="Times New Roman" w:hAnsi="Times New Roman" w:cs="Times New Roman"/>
        </w:rPr>
      </w:pPr>
      <w:r w:rsidRPr="00304A3B">
        <w:rPr>
          <w:rFonts w:ascii="Times New Roman" w:hAnsi="Times New Roman" w:cs="Times New Roman"/>
        </w:rPr>
        <w:t xml:space="preserve">Metropolitan areas in this group house on average 10 million inhabitants and </w:t>
      </w:r>
      <w:r w:rsidR="009F1F35" w:rsidRPr="00304A3B">
        <w:rPr>
          <w:rFonts w:ascii="Times New Roman" w:hAnsi="Times New Roman" w:cs="Times New Roman"/>
        </w:rPr>
        <w:t xml:space="preserve">have </w:t>
      </w:r>
      <w:r w:rsidR="00946B18" w:rsidRPr="00304A3B">
        <w:rPr>
          <w:rFonts w:ascii="Times New Roman" w:hAnsi="Times New Roman" w:cs="Times New Roman"/>
        </w:rPr>
        <w:t xml:space="preserve">an average real </w:t>
      </w:r>
      <w:r w:rsidRPr="00304A3B">
        <w:rPr>
          <w:rFonts w:ascii="Times New Roman" w:hAnsi="Times New Roman" w:cs="Times New Roman"/>
        </w:rPr>
        <w:t>GDP</w:t>
      </w:r>
      <w:r w:rsidR="006002E2" w:rsidRPr="00304A3B">
        <w:rPr>
          <w:rFonts w:ascii="Times New Roman" w:hAnsi="Times New Roman" w:cs="Times New Roman"/>
        </w:rPr>
        <w:t xml:space="preserve"> </w:t>
      </w:r>
      <w:r w:rsidRPr="00304A3B">
        <w:rPr>
          <w:rFonts w:ascii="Times New Roman" w:hAnsi="Times New Roman" w:cs="Times New Roman"/>
        </w:rPr>
        <w:t>of $126 billion, with some mega cities boasting economies of</w:t>
      </w:r>
      <w:r w:rsidR="006002E2" w:rsidRPr="00304A3B">
        <w:rPr>
          <w:rFonts w:ascii="Times New Roman" w:hAnsi="Times New Roman" w:cs="Times New Roman"/>
        </w:rPr>
        <w:t xml:space="preserve"> more than </w:t>
      </w:r>
      <w:r w:rsidRPr="00304A3B">
        <w:rPr>
          <w:rFonts w:ascii="Times New Roman" w:hAnsi="Times New Roman" w:cs="Times New Roman"/>
        </w:rPr>
        <w:t>$</w:t>
      </w:r>
      <w:r w:rsidR="006002E2" w:rsidRPr="00304A3B">
        <w:rPr>
          <w:rFonts w:ascii="Times New Roman" w:hAnsi="Times New Roman" w:cs="Times New Roman"/>
        </w:rPr>
        <w:t>4</w:t>
      </w:r>
      <w:r w:rsidRPr="00304A3B">
        <w:rPr>
          <w:rFonts w:ascii="Times New Roman" w:hAnsi="Times New Roman" w:cs="Times New Roman"/>
        </w:rPr>
        <w:t>00 billion</w:t>
      </w:r>
      <w:r w:rsidR="00040831" w:rsidRPr="00304A3B">
        <w:rPr>
          <w:rFonts w:ascii="Times New Roman" w:hAnsi="Times New Roman" w:cs="Times New Roman"/>
        </w:rPr>
        <w:t xml:space="preserve"> (</w:t>
      </w:r>
      <w:r w:rsidR="00946B18" w:rsidRPr="00304A3B">
        <w:rPr>
          <w:rFonts w:ascii="Times New Roman" w:hAnsi="Times New Roman" w:cs="Times New Roman"/>
        </w:rPr>
        <w:t xml:space="preserve">São </w:t>
      </w:r>
      <w:r w:rsidR="006002E2" w:rsidRPr="00304A3B">
        <w:rPr>
          <w:rFonts w:ascii="Times New Roman" w:hAnsi="Times New Roman" w:cs="Times New Roman"/>
        </w:rPr>
        <w:t>Paulo, Guangzhou, Shenzhen, Mexico City, Tianjin, Istanbul and Chongqing</w:t>
      </w:r>
      <w:r w:rsidR="00040831" w:rsidRPr="00304A3B">
        <w:rPr>
          <w:rFonts w:ascii="Times New Roman" w:hAnsi="Times New Roman" w:cs="Times New Roman"/>
        </w:rPr>
        <w:t>)</w:t>
      </w:r>
      <w:r w:rsidRPr="00304A3B">
        <w:rPr>
          <w:rFonts w:ascii="Times New Roman" w:hAnsi="Times New Roman" w:cs="Times New Roman"/>
        </w:rPr>
        <w:t xml:space="preserve">. </w:t>
      </w:r>
      <w:r w:rsidR="00467319" w:rsidRPr="00304A3B">
        <w:rPr>
          <w:rFonts w:ascii="Times New Roman" w:hAnsi="Times New Roman" w:cs="Times New Roman"/>
        </w:rPr>
        <w:t xml:space="preserve">The average inhabitant of these metro areas entered the global middle class over the past 15 years. Real GDP per capita in emerging </w:t>
      </w:r>
      <w:r w:rsidR="00467319" w:rsidRPr="00304A3B">
        <w:rPr>
          <w:rFonts w:ascii="Times New Roman" w:hAnsi="Times New Roman" w:cs="Times New Roman"/>
        </w:rPr>
        <w:lastRenderedPageBreak/>
        <w:t xml:space="preserve">gateways has grown 5.5 percent annually since 2000 (second fastest after </w:t>
      </w:r>
      <w:r w:rsidR="00A8624E" w:rsidRPr="00304A3B">
        <w:rPr>
          <w:rFonts w:ascii="Times New Roman" w:hAnsi="Times New Roman" w:cs="Times New Roman"/>
        </w:rPr>
        <w:t>Factory China</w:t>
      </w:r>
      <w:r w:rsidR="00C53C27" w:rsidRPr="00304A3B">
        <w:rPr>
          <w:rFonts w:ascii="Times New Roman" w:hAnsi="Times New Roman" w:cs="Times New Roman"/>
        </w:rPr>
        <w:t xml:space="preserve"> metros). Nominal GDP per capita </w:t>
      </w:r>
      <w:r w:rsidR="00467319" w:rsidRPr="00304A3B">
        <w:rPr>
          <w:rFonts w:ascii="Times New Roman" w:hAnsi="Times New Roman" w:cs="Times New Roman"/>
        </w:rPr>
        <w:t>now stands around $</w:t>
      </w:r>
      <w:r w:rsidR="00C53C27" w:rsidRPr="00304A3B">
        <w:rPr>
          <w:rFonts w:ascii="Times New Roman" w:hAnsi="Times New Roman" w:cs="Times New Roman"/>
        </w:rPr>
        <w:t>28</w:t>
      </w:r>
      <w:r w:rsidR="00467319" w:rsidRPr="00304A3B">
        <w:rPr>
          <w:rFonts w:ascii="Times New Roman" w:hAnsi="Times New Roman" w:cs="Times New Roman"/>
        </w:rPr>
        <w:t xml:space="preserve">,000. Asian metro areas in this </w:t>
      </w:r>
      <w:r w:rsidR="00023B36" w:rsidRPr="00304A3B">
        <w:rPr>
          <w:rFonts w:ascii="Times New Roman" w:hAnsi="Times New Roman" w:cs="Times New Roman"/>
        </w:rPr>
        <w:t>grouping</w:t>
      </w:r>
      <w:r w:rsidR="00467319" w:rsidRPr="00304A3B">
        <w:rPr>
          <w:rFonts w:ascii="Times New Roman" w:hAnsi="Times New Roman" w:cs="Times New Roman"/>
        </w:rPr>
        <w:t xml:space="preserve"> experienced greater GDP per capita gains (8.1 percent </w:t>
      </w:r>
      <w:r w:rsidR="00946B18" w:rsidRPr="00304A3B">
        <w:rPr>
          <w:rFonts w:ascii="Times New Roman" w:hAnsi="Times New Roman" w:cs="Times New Roman"/>
        </w:rPr>
        <w:t>annually</w:t>
      </w:r>
      <w:r w:rsidR="00467319" w:rsidRPr="00304A3B">
        <w:rPr>
          <w:rFonts w:ascii="Times New Roman" w:hAnsi="Times New Roman" w:cs="Times New Roman"/>
        </w:rPr>
        <w:t xml:space="preserve">) between 2000 and 2015 than their Latin American (3.2 percent) and African counterparts (3.6 percent). </w:t>
      </w:r>
    </w:p>
    <w:p w14:paraId="4B1D1499" w14:textId="28D71889" w:rsidR="00464B76" w:rsidRPr="00304A3B" w:rsidRDefault="00946B18" w:rsidP="00794562">
      <w:pPr>
        <w:spacing w:line="240" w:lineRule="auto"/>
        <w:rPr>
          <w:rFonts w:ascii="Times New Roman" w:hAnsi="Times New Roman" w:cs="Times New Roman"/>
        </w:rPr>
      </w:pPr>
      <w:r w:rsidRPr="00304A3B">
        <w:rPr>
          <w:rFonts w:ascii="Times New Roman" w:hAnsi="Times New Roman" w:cs="Times New Roman"/>
        </w:rPr>
        <w:t xml:space="preserve">These regions disproportionately concentrate their nation’s competitiveness assets. </w:t>
      </w:r>
      <w:r w:rsidR="0069452D" w:rsidRPr="00304A3B">
        <w:rPr>
          <w:rFonts w:ascii="Times New Roman" w:hAnsi="Times New Roman" w:cs="Times New Roman"/>
        </w:rPr>
        <w:t>A</w:t>
      </w:r>
      <w:r w:rsidR="009161C8" w:rsidRPr="00304A3B">
        <w:rPr>
          <w:rFonts w:ascii="Times New Roman" w:hAnsi="Times New Roman" w:cs="Times New Roman"/>
        </w:rPr>
        <w:t xml:space="preserve">ll the cities in this </w:t>
      </w:r>
      <w:r w:rsidR="00023B36" w:rsidRPr="00304A3B">
        <w:rPr>
          <w:rFonts w:ascii="Times New Roman" w:hAnsi="Times New Roman" w:cs="Times New Roman"/>
        </w:rPr>
        <w:t>group</w:t>
      </w:r>
      <w:r w:rsidR="009161C8" w:rsidRPr="00304A3B">
        <w:rPr>
          <w:rFonts w:ascii="Times New Roman" w:hAnsi="Times New Roman" w:cs="Times New Roman"/>
        </w:rPr>
        <w:t xml:space="preserve"> have a higher share of </w:t>
      </w:r>
      <w:r w:rsidR="00467319" w:rsidRPr="00304A3B">
        <w:rPr>
          <w:rFonts w:ascii="Times New Roman" w:hAnsi="Times New Roman" w:cs="Times New Roman"/>
        </w:rPr>
        <w:t xml:space="preserve">their </w:t>
      </w:r>
      <w:r w:rsidR="009161C8" w:rsidRPr="00304A3B">
        <w:rPr>
          <w:rFonts w:ascii="Times New Roman" w:hAnsi="Times New Roman" w:cs="Times New Roman"/>
        </w:rPr>
        <w:t>working age population with tertiary education than their national economies</w:t>
      </w:r>
      <w:r w:rsidR="00467319" w:rsidRPr="00304A3B">
        <w:rPr>
          <w:rFonts w:ascii="Times New Roman" w:hAnsi="Times New Roman" w:cs="Times New Roman"/>
        </w:rPr>
        <w:t xml:space="preserve">. </w:t>
      </w:r>
      <w:r w:rsidR="00A86C9F" w:rsidRPr="00304A3B">
        <w:rPr>
          <w:rFonts w:ascii="Times New Roman" w:hAnsi="Times New Roman" w:cs="Times New Roman"/>
        </w:rPr>
        <w:t>Many</w:t>
      </w:r>
      <w:r w:rsidR="00467319" w:rsidRPr="00304A3B">
        <w:rPr>
          <w:rFonts w:ascii="Times New Roman" w:hAnsi="Times New Roman" w:cs="Times New Roman"/>
        </w:rPr>
        <w:t xml:space="preserve"> </w:t>
      </w:r>
      <w:r w:rsidR="006552BF" w:rsidRPr="00304A3B">
        <w:rPr>
          <w:rFonts w:ascii="Times New Roman" w:hAnsi="Times New Roman" w:cs="Times New Roman"/>
        </w:rPr>
        <w:t xml:space="preserve">are home to their </w:t>
      </w:r>
      <w:r w:rsidR="00467319" w:rsidRPr="00304A3B">
        <w:rPr>
          <w:rFonts w:ascii="Times New Roman" w:hAnsi="Times New Roman" w:cs="Times New Roman"/>
        </w:rPr>
        <w:t xml:space="preserve">nation’s only </w:t>
      </w:r>
      <w:r w:rsidR="00A86C9F" w:rsidRPr="00304A3B">
        <w:rPr>
          <w:rFonts w:ascii="Times New Roman" w:hAnsi="Times New Roman" w:cs="Times New Roman"/>
        </w:rPr>
        <w:t>globally relevant</w:t>
      </w:r>
      <w:r w:rsidR="00467319" w:rsidRPr="00304A3B">
        <w:rPr>
          <w:rFonts w:ascii="Times New Roman" w:hAnsi="Times New Roman" w:cs="Times New Roman"/>
        </w:rPr>
        <w:t xml:space="preserve"> </w:t>
      </w:r>
      <w:r w:rsidR="009161C8" w:rsidRPr="00304A3B">
        <w:rPr>
          <w:rFonts w:ascii="Times New Roman" w:hAnsi="Times New Roman" w:cs="Times New Roman"/>
        </w:rPr>
        <w:t>research universities</w:t>
      </w:r>
      <w:r w:rsidR="00A86C9F" w:rsidRPr="00304A3B">
        <w:rPr>
          <w:rFonts w:ascii="Times New Roman" w:hAnsi="Times New Roman" w:cs="Times New Roman"/>
        </w:rPr>
        <w:t xml:space="preserve">. Cities like </w:t>
      </w:r>
      <w:r w:rsidRPr="00304A3B">
        <w:rPr>
          <w:rFonts w:ascii="Times New Roman" w:hAnsi="Times New Roman" w:cs="Times New Roman"/>
        </w:rPr>
        <w:t xml:space="preserve">Istanbul, </w:t>
      </w:r>
      <w:r w:rsidR="00A86C9F" w:rsidRPr="00304A3B">
        <w:rPr>
          <w:rFonts w:ascii="Times New Roman" w:hAnsi="Times New Roman" w:cs="Times New Roman"/>
        </w:rPr>
        <w:t xml:space="preserve">Santiago, </w:t>
      </w:r>
      <w:r w:rsidRPr="00304A3B">
        <w:rPr>
          <w:rFonts w:ascii="Times New Roman" w:hAnsi="Times New Roman" w:cs="Times New Roman"/>
        </w:rPr>
        <w:t>São Paulo</w:t>
      </w:r>
      <w:r w:rsidR="00A86C9F" w:rsidRPr="00304A3B">
        <w:rPr>
          <w:rFonts w:ascii="Times New Roman" w:hAnsi="Times New Roman" w:cs="Times New Roman"/>
        </w:rPr>
        <w:t xml:space="preserve">, </w:t>
      </w:r>
      <w:r w:rsidR="006450E1" w:rsidRPr="00304A3B">
        <w:rPr>
          <w:rFonts w:ascii="Times New Roman" w:hAnsi="Times New Roman" w:cs="Times New Roman"/>
        </w:rPr>
        <w:t xml:space="preserve">and </w:t>
      </w:r>
      <w:r w:rsidR="00A86C9F" w:rsidRPr="00304A3B">
        <w:rPr>
          <w:rFonts w:ascii="Times New Roman" w:hAnsi="Times New Roman" w:cs="Times New Roman"/>
        </w:rPr>
        <w:t xml:space="preserve">Shenzhen account for more than 40 percent of all the patents produced in their countries. </w:t>
      </w:r>
      <w:r w:rsidRPr="00304A3B">
        <w:rPr>
          <w:rFonts w:ascii="Times New Roman" w:hAnsi="Times New Roman" w:cs="Times New Roman"/>
        </w:rPr>
        <w:t>B</w:t>
      </w:r>
      <w:r w:rsidR="00A86C9F" w:rsidRPr="00304A3B">
        <w:rPr>
          <w:rFonts w:ascii="Times New Roman" w:hAnsi="Times New Roman" w:cs="Times New Roman"/>
        </w:rPr>
        <w:t>usiness, professional and technical services accounted for 25 percent of total output in these metro areas.</w:t>
      </w:r>
      <w:r w:rsidR="00464B76" w:rsidRPr="00304A3B">
        <w:rPr>
          <w:rFonts w:ascii="Times New Roman" w:hAnsi="Times New Roman" w:cs="Times New Roman"/>
        </w:rPr>
        <w:t xml:space="preserve"> </w:t>
      </w:r>
      <w:r w:rsidR="00F50798" w:rsidRPr="00304A3B">
        <w:rPr>
          <w:rFonts w:ascii="Times New Roman" w:hAnsi="Times New Roman" w:cs="Times New Roman"/>
        </w:rPr>
        <w:t>However,</w:t>
      </w:r>
      <w:r w:rsidR="00464B76" w:rsidRPr="00304A3B">
        <w:rPr>
          <w:rFonts w:ascii="Times New Roman" w:hAnsi="Times New Roman" w:cs="Times New Roman"/>
        </w:rPr>
        <w:t xml:space="preserve"> the productivity of the average worker in this sector is a fifth of their </w:t>
      </w:r>
      <w:r w:rsidR="0016179B" w:rsidRPr="00304A3B">
        <w:rPr>
          <w:rFonts w:ascii="Times New Roman" w:hAnsi="Times New Roman" w:cs="Times New Roman"/>
        </w:rPr>
        <w:t xml:space="preserve">peer metros in the Knowledge Capitals, Global Giants, and </w:t>
      </w:r>
      <w:r w:rsidR="00B27747">
        <w:rPr>
          <w:rFonts w:ascii="Times New Roman" w:hAnsi="Times New Roman" w:cs="Times New Roman"/>
        </w:rPr>
        <w:t xml:space="preserve">American </w:t>
      </w:r>
      <w:r w:rsidR="003902E7">
        <w:rPr>
          <w:rFonts w:ascii="Times New Roman" w:hAnsi="Times New Roman" w:cs="Times New Roman"/>
        </w:rPr>
        <w:t>M</w:t>
      </w:r>
      <w:r w:rsidR="00B27747">
        <w:rPr>
          <w:rFonts w:ascii="Times New Roman" w:hAnsi="Times New Roman" w:cs="Times New Roman"/>
        </w:rPr>
        <w:t>iddleweight</w:t>
      </w:r>
      <w:r w:rsidR="0016179B" w:rsidRPr="00304A3B">
        <w:rPr>
          <w:rFonts w:ascii="Times New Roman" w:hAnsi="Times New Roman" w:cs="Times New Roman"/>
        </w:rPr>
        <w:t xml:space="preserve"> </w:t>
      </w:r>
      <w:r w:rsidR="00023B36" w:rsidRPr="00304A3B">
        <w:rPr>
          <w:rFonts w:ascii="Times New Roman" w:hAnsi="Times New Roman" w:cs="Times New Roman"/>
        </w:rPr>
        <w:t>groupings</w:t>
      </w:r>
      <w:r w:rsidR="00464B76" w:rsidRPr="00304A3B">
        <w:rPr>
          <w:rFonts w:ascii="Times New Roman" w:hAnsi="Times New Roman" w:cs="Times New Roman"/>
        </w:rPr>
        <w:t>.</w:t>
      </w:r>
    </w:p>
    <w:p w14:paraId="26304989" w14:textId="69209715" w:rsidR="00464B76" w:rsidRPr="00304A3B" w:rsidRDefault="00087A1A" w:rsidP="00794562">
      <w:pPr>
        <w:spacing w:line="240" w:lineRule="auto"/>
        <w:rPr>
          <w:rFonts w:ascii="Times New Roman" w:hAnsi="Times New Roman" w:cs="Times New Roman"/>
          <w:b/>
        </w:rPr>
      </w:pPr>
      <w:r w:rsidRPr="00304A3B">
        <w:rPr>
          <w:rFonts w:ascii="Times New Roman" w:hAnsi="Times New Roman" w:cs="Times New Roman"/>
          <w:b/>
        </w:rPr>
        <w:t>Figure 8</w:t>
      </w:r>
      <w:r w:rsidR="002C7DFB" w:rsidRPr="00304A3B">
        <w:rPr>
          <w:rFonts w:ascii="Times New Roman" w:hAnsi="Times New Roman" w:cs="Times New Roman"/>
          <w:b/>
        </w:rPr>
        <w:t xml:space="preserve">: </w:t>
      </w:r>
      <w:r w:rsidR="00464B76" w:rsidRPr="00304A3B">
        <w:rPr>
          <w:rFonts w:ascii="Times New Roman" w:hAnsi="Times New Roman" w:cs="Times New Roman"/>
          <w:b/>
        </w:rPr>
        <w:t xml:space="preserve">Output per worker in </w:t>
      </w:r>
      <w:r w:rsidR="002D3B39">
        <w:rPr>
          <w:rFonts w:ascii="Times New Roman" w:hAnsi="Times New Roman" w:cs="Times New Roman"/>
          <w:b/>
        </w:rPr>
        <w:t>b</w:t>
      </w:r>
      <w:r w:rsidR="00464B76" w:rsidRPr="00304A3B">
        <w:rPr>
          <w:rFonts w:ascii="Times New Roman" w:hAnsi="Times New Roman" w:cs="Times New Roman"/>
          <w:b/>
        </w:rPr>
        <w:t xml:space="preserve">usiness, </w:t>
      </w:r>
      <w:r w:rsidR="002D3B39">
        <w:rPr>
          <w:rFonts w:ascii="Times New Roman" w:hAnsi="Times New Roman" w:cs="Times New Roman"/>
          <w:b/>
        </w:rPr>
        <w:t>f</w:t>
      </w:r>
      <w:r w:rsidR="00464B76" w:rsidRPr="00304A3B">
        <w:rPr>
          <w:rFonts w:ascii="Times New Roman" w:hAnsi="Times New Roman" w:cs="Times New Roman"/>
          <w:b/>
        </w:rPr>
        <w:t xml:space="preserve">inancial and </w:t>
      </w:r>
      <w:r w:rsidR="002D3B39">
        <w:rPr>
          <w:rFonts w:ascii="Times New Roman" w:hAnsi="Times New Roman" w:cs="Times New Roman"/>
          <w:b/>
        </w:rPr>
        <w:t>p</w:t>
      </w:r>
      <w:r w:rsidR="00464B76" w:rsidRPr="00304A3B">
        <w:rPr>
          <w:rFonts w:ascii="Times New Roman" w:hAnsi="Times New Roman" w:cs="Times New Roman"/>
          <w:b/>
        </w:rPr>
        <w:t xml:space="preserve">rofessional </w:t>
      </w:r>
      <w:r w:rsidR="002D3B39">
        <w:rPr>
          <w:rFonts w:ascii="Times New Roman" w:hAnsi="Times New Roman" w:cs="Times New Roman"/>
          <w:b/>
        </w:rPr>
        <w:t>s</w:t>
      </w:r>
      <w:r w:rsidR="00464B76" w:rsidRPr="00304A3B">
        <w:rPr>
          <w:rFonts w:ascii="Times New Roman" w:hAnsi="Times New Roman" w:cs="Times New Roman"/>
          <w:b/>
        </w:rPr>
        <w:t>ervices</w:t>
      </w:r>
      <w:r w:rsidR="002C7DFB" w:rsidRPr="00304A3B">
        <w:rPr>
          <w:rFonts w:ascii="Times New Roman" w:hAnsi="Times New Roman" w:cs="Times New Roman"/>
          <w:b/>
        </w:rPr>
        <w:t xml:space="preserve"> in </w:t>
      </w:r>
      <w:r w:rsidR="002D3B39">
        <w:rPr>
          <w:rFonts w:ascii="Times New Roman" w:hAnsi="Times New Roman" w:cs="Times New Roman"/>
          <w:b/>
        </w:rPr>
        <w:t>metropolitan groups,</w:t>
      </w:r>
      <w:r w:rsidR="002C7DFB" w:rsidRPr="00304A3B">
        <w:rPr>
          <w:rFonts w:ascii="Times New Roman" w:hAnsi="Times New Roman" w:cs="Times New Roman"/>
          <w:b/>
        </w:rPr>
        <w:t xml:space="preserve"> (</w:t>
      </w:r>
      <w:r w:rsidR="002D3B39">
        <w:rPr>
          <w:rFonts w:ascii="Times New Roman" w:hAnsi="Times New Roman" w:cs="Times New Roman"/>
          <w:b/>
        </w:rPr>
        <w:t>thousands of</w:t>
      </w:r>
      <w:r w:rsidR="00464B76" w:rsidRPr="00304A3B">
        <w:rPr>
          <w:rFonts w:ascii="Times New Roman" w:hAnsi="Times New Roman" w:cs="Times New Roman"/>
          <w:b/>
        </w:rPr>
        <w:t xml:space="preserve"> </w:t>
      </w:r>
      <w:r w:rsidR="002D3B39">
        <w:rPr>
          <w:rFonts w:ascii="Times New Roman" w:hAnsi="Times New Roman" w:cs="Times New Roman"/>
          <w:b/>
        </w:rPr>
        <w:t>r</w:t>
      </w:r>
      <w:r w:rsidR="00464B76" w:rsidRPr="00304A3B">
        <w:rPr>
          <w:rFonts w:ascii="Times New Roman" w:hAnsi="Times New Roman" w:cs="Times New Roman"/>
          <w:b/>
        </w:rPr>
        <w:t>eal</w:t>
      </w:r>
      <w:r w:rsidR="002D3B39">
        <w:rPr>
          <w:rFonts w:ascii="Times New Roman" w:hAnsi="Times New Roman" w:cs="Times New Roman"/>
          <w:b/>
        </w:rPr>
        <w:t xml:space="preserve"> USD</w:t>
      </w:r>
      <w:r w:rsidR="002C7DFB" w:rsidRPr="00304A3B">
        <w:rPr>
          <w:rFonts w:ascii="Times New Roman" w:hAnsi="Times New Roman" w:cs="Times New Roman"/>
          <w:b/>
        </w:rPr>
        <w:t>)</w:t>
      </w:r>
      <w:r w:rsidR="002D3B39">
        <w:rPr>
          <w:rFonts w:ascii="Times New Roman" w:hAnsi="Times New Roman" w:cs="Times New Roman"/>
          <w:b/>
        </w:rPr>
        <w:t xml:space="preserve">, </w:t>
      </w:r>
      <w:proofErr w:type="gramStart"/>
      <w:r w:rsidR="002D3B39">
        <w:rPr>
          <w:rFonts w:ascii="Times New Roman" w:hAnsi="Times New Roman" w:cs="Times New Roman"/>
          <w:b/>
        </w:rPr>
        <w:t>2015</w:t>
      </w:r>
      <w:proofErr w:type="gramEnd"/>
      <w:r w:rsidR="002438F9">
        <w:rPr>
          <w:rStyle w:val="EndnoteReference"/>
          <w:rFonts w:ascii="Times New Roman" w:hAnsi="Times New Roman" w:cs="Times New Roman"/>
          <w:b/>
        </w:rPr>
        <w:endnoteReference w:id="62"/>
      </w:r>
    </w:p>
    <w:p w14:paraId="443D9F06" w14:textId="21F39DC5" w:rsidR="002C7DFB" w:rsidRPr="00304A3B" w:rsidRDefault="002C7DFB" w:rsidP="002C7DFB">
      <w:pPr>
        <w:spacing w:line="240" w:lineRule="auto"/>
        <w:jc w:val="center"/>
        <w:rPr>
          <w:rFonts w:ascii="Times New Roman" w:hAnsi="Times New Roman" w:cs="Times New Roman"/>
          <w:b/>
        </w:rPr>
      </w:pPr>
    </w:p>
    <w:p w14:paraId="334E233F" w14:textId="3B4A1738" w:rsidR="003A517E" w:rsidRPr="00304A3B" w:rsidRDefault="0054163D" w:rsidP="003A517E">
      <w:pPr>
        <w:spacing w:line="240" w:lineRule="auto"/>
        <w:rPr>
          <w:rFonts w:ascii="Times New Roman" w:hAnsi="Times New Roman" w:cs="Times New Roman"/>
        </w:rPr>
      </w:pPr>
      <w:r w:rsidRPr="00304A3B">
        <w:rPr>
          <w:rFonts w:ascii="Times New Roman" w:hAnsi="Times New Roman" w:cs="Times New Roman"/>
        </w:rPr>
        <w:t>Emerging gateways</w:t>
      </w:r>
      <w:r w:rsidR="00A86C9F" w:rsidRPr="00304A3B">
        <w:rPr>
          <w:rFonts w:ascii="Times New Roman" w:hAnsi="Times New Roman" w:cs="Times New Roman"/>
        </w:rPr>
        <w:t xml:space="preserve"> </w:t>
      </w:r>
      <w:r w:rsidRPr="00304A3B">
        <w:rPr>
          <w:rFonts w:ascii="Times New Roman" w:hAnsi="Times New Roman" w:cs="Times New Roman"/>
        </w:rPr>
        <w:t xml:space="preserve">are the </w:t>
      </w:r>
      <w:r w:rsidR="00874828" w:rsidRPr="00304A3B">
        <w:rPr>
          <w:rFonts w:ascii="Times New Roman" w:hAnsi="Times New Roman" w:cs="Times New Roman"/>
        </w:rPr>
        <w:t xml:space="preserve">entry points </w:t>
      </w:r>
      <w:r w:rsidRPr="00304A3B">
        <w:rPr>
          <w:rFonts w:ascii="Times New Roman" w:hAnsi="Times New Roman" w:cs="Times New Roman"/>
        </w:rPr>
        <w:t xml:space="preserve">for </w:t>
      </w:r>
      <w:r w:rsidR="00A86C9F" w:rsidRPr="00304A3B">
        <w:rPr>
          <w:rFonts w:ascii="Times New Roman" w:hAnsi="Times New Roman" w:cs="Times New Roman"/>
        </w:rPr>
        <w:t xml:space="preserve">global </w:t>
      </w:r>
      <w:r w:rsidR="006A65E8" w:rsidRPr="00304A3B">
        <w:rPr>
          <w:rFonts w:ascii="Times New Roman" w:hAnsi="Times New Roman" w:cs="Times New Roman"/>
        </w:rPr>
        <w:t xml:space="preserve">flows of </w:t>
      </w:r>
      <w:r w:rsidR="00A86C9F" w:rsidRPr="00304A3B">
        <w:rPr>
          <w:rFonts w:ascii="Times New Roman" w:hAnsi="Times New Roman" w:cs="Times New Roman"/>
        </w:rPr>
        <w:t>people and capital. They typically house</w:t>
      </w:r>
      <w:r w:rsidR="006552BF" w:rsidRPr="00304A3B">
        <w:rPr>
          <w:rFonts w:ascii="Times New Roman" w:hAnsi="Times New Roman" w:cs="Times New Roman"/>
        </w:rPr>
        <w:t xml:space="preserve"> the </w:t>
      </w:r>
      <w:r w:rsidR="00C53C27" w:rsidRPr="00304A3B">
        <w:rPr>
          <w:rFonts w:ascii="Times New Roman" w:hAnsi="Times New Roman" w:cs="Times New Roman"/>
        </w:rPr>
        <w:t>best-</w:t>
      </w:r>
      <w:r w:rsidR="006552BF" w:rsidRPr="00304A3B">
        <w:rPr>
          <w:rFonts w:ascii="Times New Roman" w:hAnsi="Times New Roman" w:cs="Times New Roman"/>
        </w:rPr>
        <w:t>connected international airports of their nations.</w:t>
      </w:r>
      <w:r w:rsidR="00BC1AE9" w:rsidRPr="00304A3B">
        <w:rPr>
          <w:rFonts w:ascii="Times New Roman" w:hAnsi="Times New Roman" w:cs="Times New Roman"/>
        </w:rPr>
        <w:t xml:space="preserve"> </w:t>
      </w:r>
      <w:r w:rsidR="001C5F08" w:rsidRPr="00304A3B">
        <w:rPr>
          <w:rFonts w:ascii="Times New Roman" w:hAnsi="Times New Roman" w:cs="Times New Roman"/>
        </w:rPr>
        <w:t xml:space="preserve">In 2014 </w:t>
      </w:r>
      <w:r w:rsidR="00BF30BC" w:rsidRPr="00304A3B">
        <w:rPr>
          <w:rFonts w:ascii="Times New Roman" w:hAnsi="Times New Roman" w:cs="Times New Roman"/>
        </w:rPr>
        <w:t xml:space="preserve">all </w:t>
      </w:r>
      <w:r w:rsidR="001C5F08" w:rsidRPr="00304A3B">
        <w:rPr>
          <w:rFonts w:ascii="Times New Roman" w:hAnsi="Times New Roman" w:cs="Times New Roman"/>
        </w:rPr>
        <w:t xml:space="preserve">the airports in these metropolitan areas transported 800 million passengers, up from the 273 million they connected in 2004. In </w:t>
      </w:r>
      <w:r w:rsidR="00023B36" w:rsidRPr="00304A3B">
        <w:rPr>
          <w:rFonts w:ascii="Times New Roman" w:hAnsi="Times New Roman" w:cs="Times New Roman"/>
        </w:rPr>
        <w:t xml:space="preserve">fact, the average metro </w:t>
      </w:r>
      <w:r w:rsidR="001C5F08" w:rsidRPr="00304A3B">
        <w:rPr>
          <w:rFonts w:ascii="Times New Roman" w:hAnsi="Times New Roman" w:cs="Times New Roman"/>
        </w:rPr>
        <w:t xml:space="preserve">registered the second fastest annual passenger growth rate among all </w:t>
      </w:r>
      <w:r w:rsidR="00023B36" w:rsidRPr="00304A3B">
        <w:rPr>
          <w:rFonts w:ascii="Times New Roman" w:hAnsi="Times New Roman" w:cs="Times New Roman"/>
        </w:rPr>
        <w:t>groups</w:t>
      </w:r>
      <w:r w:rsidR="001C5F08" w:rsidRPr="00304A3B">
        <w:rPr>
          <w:rFonts w:ascii="Times New Roman" w:hAnsi="Times New Roman" w:cs="Times New Roman"/>
        </w:rPr>
        <w:t xml:space="preserve">, only behind </w:t>
      </w:r>
      <w:r w:rsidR="00A8624E" w:rsidRPr="00304A3B">
        <w:rPr>
          <w:rFonts w:ascii="Times New Roman" w:hAnsi="Times New Roman" w:cs="Times New Roman"/>
        </w:rPr>
        <w:t>Factory China</w:t>
      </w:r>
      <w:r w:rsidR="001C5F08" w:rsidRPr="00304A3B">
        <w:rPr>
          <w:rFonts w:ascii="Times New Roman" w:hAnsi="Times New Roman" w:cs="Times New Roman"/>
        </w:rPr>
        <w:t>, at 3.5 percent.</w:t>
      </w:r>
      <w:r w:rsidR="006450E1" w:rsidRPr="00304A3B">
        <w:rPr>
          <w:rFonts w:ascii="Times New Roman" w:hAnsi="Times New Roman" w:cs="Times New Roman"/>
        </w:rPr>
        <w:t xml:space="preserve"> </w:t>
      </w:r>
      <w:r w:rsidR="00C53C27" w:rsidRPr="00304A3B">
        <w:rPr>
          <w:rFonts w:ascii="Times New Roman" w:hAnsi="Times New Roman" w:cs="Times New Roman"/>
        </w:rPr>
        <w:t>As of 2014,</w:t>
      </w:r>
      <w:r w:rsidR="00C706CB" w:rsidRPr="00304A3B">
        <w:rPr>
          <w:rFonts w:ascii="Times New Roman" w:hAnsi="Times New Roman" w:cs="Times New Roman"/>
        </w:rPr>
        <w:t xml:space="preserve"> </w:t>
      </w:r>
      <w:r w:rsidR="006F1551">
        <w:rPr>
          <w:rFonts w:ascii="Times New Roman" w:hAnsi="Times New Roman" w:cs="Times New Roman"/>
        </w:rPr>
        <w:t xml:space="preserve">the </w:t>
      </w:r>
      <w:r w:rsidR="00C706CB" w:rsidRPr="00304A3B">
        <w:rPr>
          <w:rFonts w:ascii="Times New Roman" w:hAnsi="Times New Roman" w:cs="Times New Roman"/>
        </w:rPr>
        <w:t xml:space="preserve">average metro area in </w:t>
      </w:r>
      <w:r w:rsidR="00C53C27" w:rsidRPr="00304A3B">
        <w:rPr>
          <w:rFonts w:ascii="Times New Roman" w:hAnsi="Times New Roman" w:cs="Times New Roman"/>
        </w:rPr>
        <w:t>this group transported</w:t>
      </w:r>
      <w:r w:rsidR="00C706CB" w:rsidRPr="00304A3B">
        <w:rPr>
          <w:rFonts w:ascii="Times New Roman" w:hAnsi="Times New Roman" w:cs="Times New Roman"/>
        </w:rPr>
        <w:t xml:space="preserve"> 28 million passengers per year, up from 9 million passengers in 2004</w:t>
      </w:r>
      <w:r w:rsidR="006F1551">
        <w:rPr>
          <w:rFonts w:ascii="Times New Roman" w:hAnsi="Times New Roman" w:cs="Times New Roman"/>
        </w:rPr>
        <w:t>, a 211 percent increase</w:t>
      </w:r>
      <w:r w:rsidR="006450E1" w:rsidRPr="00304A3B">
        <w:rPr>
          <w:rFonts w:ascii="Times New Roman" w:hAnsi="Times New Roman" w:cs="Times New Roman"/>
        </w:rPr>
        <w:t>.</w:t>
      </w:r>
      <w:r w:rsidR="003A517E" w:rsidRPr="00304A3B">
        <w:rPr>
          <w:rFonts w:ascii="Times New Roman" w:hAnsi="Times New Roman" w:cs="Times New Roman"/>
        </w:rPr>
        <w:t xml:space="preserve"> Metropolitan areas in this group received FDI flows of $58 billion between 2009 and 2015. On a per capita basis, however, these investment flows trail most of the other metro groups. They are not yet on par with the Global Giants in terms of international business or with Knowledge Capitals in terms of global innovation, although their prominence is growing quickly. FDI flows doubled between 2011 and 2015 and the stock of venture capital investment grew by 300 percent from $4.3 billion in 2010 to $14.1 billion in 2015. </w:t>
      </w:r>
    </w:p>
    <w:p w14:paraId="3E6BBE49" w14:textId="77777777" w:rsidR="002D3B39" w:rsidRDefault="002D3B39" w:rsidP="00282F30">
      <w:pPr>
        <w:spacing w:line="240" w:lineRule="auto"/>
        <w:rPr>
          <w:rFonts w:ascii="Times New Roman" w:hAnsi="Times New Roman" w:cs="Times New Roman"/>
          <w:b/>
        </w:rPr>
      </w:pPr>
    </w:p>
    <w:p w14:paraId="2D7F59E8" w14:textId="79C9E791" w:rsidR="002E19C9" w:rsidRPr="00304A3B" w:rsidRDefault="0054163D" w:rsidP="00282F30">
      <w:pPr>
        <w:spacing w:line="240" w:lineRule="auto"/>
        <w:rPr>
          <w:rFonts w:ascii="Times New Roman" w:hAnsi="Times New Roman" w:cs="Times New Roman"/>
          <w:b/>
        </w:rPr>
      </w:pPr>
      <w:r w:rsidRPr="00304A3B">
        <w:rPr>
          <w:rFonts w:ascii="Times New Roman" w:hAnsi="Times New Roman" w:cs="Times New Roman"/>
          <w:b/>
        </w:rPr>
        <w:t xml:space="preserve">Figure </w:t>
      </w:r>
      <w:r w:rsidR="00C408BE" w:rsidRPr="00304A3B">
        <w:rPr>
          <w:rFonts w:ascii="Times New Roman" w:hAnsi="Times New Roman" w:cs="Times New Roman"/>
          <w:b/>
        </w:rPr>
        <w:t>9</w:t>
      </w:r>
      <w:r w:rsidR="00203710" w:rsidRPr="00304A3B">
        <w:rPr>
          <w:rFonts w:ascii="Times New Roman" w:hAnsi="Times New Roman" w:cs="Times New Roman"/>
          <w:b/>
        </w:rPr>
        <w:t>: Aviation</w:t>
      </w:r>
      <w:r w:rsidRPr="00304A3B">
        <w:rPr>
          <w:rFonts w:ascii="Times New Roman" w:hAnsi="Times New Roman" w:cs="Times New Roman"/>
          <w:b/>
        </w:rPr>
        <w:t xml:space="preserve"> </w:t>
      </w:r>
      <w:r w:rsidR="002D3B39">
        <w:rPr>
          <w:rFonts w:ascii="Times New Roman" w:hAnsi="Times New Roman" w:cs="Times New Roman"/>
          <w:b/>
        </w:rPr>
        <w:t>p</w:t>
      </w:r>
      <w:r w:rsidRPr="00304A3B">
        <w:rPr>
          <w:rFonts w:ascii="Times New Roman" w:hAnsi="Times New Roman" w:cs="Times New Roman"/>
          <w:b/>
        </w:rPr>
        <w:t xml:space="preserve">assengers </w:t>
      </w:r>
      <w:r w:rsidR="002D3B39">
        <w:rPr>
          <w:rFonts w:ascii="Times New Roman" w:hAnsi="Times New Roman" w:cs="Times New Roman"/>
          <w:b/>
        </w:rPr>
        <w:t>compound a</w:t>
      </w:r>
      <w:r w:rsidR="00203710" w:rsidRPr="00304A3B">
        <w:rPr>
          <w:rFonts w:ascii="Times New Roman" w:hAnsi="Times New Roman" w:cs="Times New Roman"/>
          <w:b/>
        </w:rPr>
        <w:t xml:space="preserve">nnual </w:t>
      </w:r>
      <w:r w:rsidR="002D3B39">
        <w:rPr>
          <w:rFonts w:ascii="Times New Roman" w:hAnsi="Times New Roman" w:cs="Times New Roman"/>
          <w:b/>
        </w:rPr>
        <w:t>g</w:t>
      </w:r>
      <w:r w:rsidR="00203710" w:rsidRPr="00304A3B">
        <w:rPr>
          <w:rFonts w:ascii="Times New Roman" w:hAnsi="Times New Roman" w:cs="Times New Roman"/>
          <w:b/>
        </w:rPr>
        <w:t>rowth</w:t>
      </w:r>
      <w:r w:rsidR="002D3B39">
        <w:rPr>
          <w:rFonts w:ascii="Times New Roman" w:hAnsi="Times New Roman" w:cs="Times New Roman"/>
          <w:b/>
        </w:rPr>
        <w:t xml:space="preserve"> in metropolitan groups</w:t>
      </w:r>
      <w:r w:rsidR="00203710" w:rsidRPr="00304A3B">
        <w:rPr>
          <w:rFonts w:ascii="Times New Roman" w:hAnsi="Times New Roman" w:cs="Times New Roman"/>
          <w:b/>
        </w:rPr>
        <w:t xml:space="preserve">, </w:t>
      </w:r>
      <w:r w:rsidRPr="00304A3B">
        <w:rPr>
          <w:rFonts w:ascii="Times New Roman" w:hAnsi="Times New Roman" w:cs="Times New Roman"/>
          <w:b/>
        </w:rPr>
        <w:t>2004-2014</w:t>
      </w:r>
    </w:p>
    <w:p w14:paraId="3A96273F" w14:textId="6C94FF02" w:rsidR="00C408BE" w:rsidRPr="00304A3B" w:rsidRDefault="00C408BE" w:rsidP="002E19C9">
      <w:pPr>
        <w:tabs>
          <w:tab w:val="left" w:pos="3945"/>
        </w:tabs>
        <w:rPr>
          <w:rFonts w:ascii="Times New Roman" w:hAnsi="Times New Roman" w:cs="Times New Roman"/>
        </w:rPr>
      </w:pPr>
    </w:p>
    <w:p w14:paraId="7E6698B6" w14:textId="403D30BF" w:rsidR="00771EE3" w:rsidRPr="00304A3B" w:rsidRDefault="00A8624E" w:rsidP="00F6486D">
      <w:pPr>
        <w:spacing w:line="240" w:lineRule="auto"/>
        <w:rPr>
          <w:rFonts w:ascii="Times New Roman" w:hAnsi="Times New Roman" w:cs="Times New Roman"/>
          <w:b/>
        </w:rPr>
      </w:pPr>
      <w:r w:rsidRPr="00304A3B">
        <w:rPr>
          <w:rFonts w:ascii="Times New Roman" w:hAnsi="Times New Roman" w:cs="Times New Roman"/>
          <w:b/>
        </w:rPr>
        <w:t>Factory China</w:t>
      </w:r>
    </w:p>
    <w:p w14:paraId="31F28333" w14:textId="2AC10FD4" w:rsidR="00EE008B" w:rsidRPr="00304A3B" w:rsidRDefault="00A8624E" w:rsidP="00F6486D">
      <w:pPr>
        <w:spacing w:line="240" w:lineRule="auto"/>
        <w:rPr>
          <w:rFonts w:ascii="Times New Roman" w:hAnsi="Times New Roman" w:cs="Times New Roman"/>
        </w:rPr>
      </w:pPr>
      <w:r w:rsidRPr="00304A3B">
        <w:rPr>
          <w:rFonts w:ascii="Times New Roman" w:hAnsi="Times New Roman" w:cs="Times New Roman"/>
          <w:b/>
        </w:rPr>
        <w:t>Factory China</w:t>
      </w:r>
      <w:r w:rsidR="00146350" w:rsidRPr="00304A3B">
        <w:rPr>
          <w:rFonts w:ascii="Times New Roman" w:hAnsi="Times New Roman" w:cs="Times New Roman"/>
          <w:b/>
        </w:rPr>
        <w:t xml:space="preserve"> </w:t>
      </w:r>
      <w:r w:rsidR="00146350" w:rsidRPr="00304A3B">
        <w:rPr>
          <w:rFonts w:ascii="Times New Roman" w:hAnsi="Times New Roman" w:cs="Times New Roman"/>
        </w:rPr>
        <w:t>is comprised of</w:t>
      </w:r>
      <w:r w:rsidR="00F6486D" w:rsidRPr="00304A3B">
        <w:rPr>
          <w:rFonts w:ascii="Times New Roman" w:hAnsi="Times New Roman" w:cs="Times New Roman"/>
        </w:rPr>
        <w:t xml:space="preserve"> Chinese manufacturing hubs. The 22 cities in this group are a good representation of the geographic diversity of </w:t>
      </w:r>
      <w:r w:rsidR="00EE008B" w:rsidRPr="00304A3B">
        <w:rPr>
          <w:rFonts w:ascii="Times New Roman" w:hAnsi="Times New Roman" w:cs="Times New Roman"/>
        </w:rPr>
        <w:t xml:space="preserve">China’s industrial revolution. </w:t>
      </w:r>
      <w:r w:rsidRPr="00304A3B">
        <w:rPr>
          <w:rFonts w:ascii="Times New Roman" w:hAnsi="Times New Roman" w:cs="Times New Roman"/>
        </w:rPr>
        <w:t>Factory China</w:t>
      </w:r>
      <w:r w:rsidR="00EE008B" w:rsidRPr="00304A3B">
        <w:rPr>
          <w:rFonts w:ascii="Times New Roman" w:hAnsi="Times New Roman" w:cs="Times New Roman"/>
        </w:rPr>
        <w:t xml:space="preserve"> includes metros on China’s</w:t>
      </w:r>
      <w:r w:rsidR="00F6486D" w:rsidRPr="00304A3B">
        <w:rPr>
          <w:rFonts w:ascii="Times New Roman" w:hAnsi="Times New Roman" w:cs="Times New Roman"/>
        </w:rPr>
        <w:t xml:space="preserve"> east coast (Hefei and Nantong), </w:t>
      </w:r>
      <w:r w:rsidR="00EE008B" w:rsidRPr="00304A3B">
        <w:rPr>
          <w:rFonts w:ascii="Times New Roman" w:hAnsi="Times New Roman" w:cs="Times New Roman"/>
        </w:rPr>
        <w:t>inland regions</w:t>
      </w:r>
      <w:r w:rsidR="00F6486D" w:rsidRPr="00304A3B">
        <w:rPr>
          <w:rFonts w:ascii="Times New Roman" w:hAnsi="Times New Roman" w:cs="Times New Roman"/>
        </w:rPr>
        <w:t xml:space="preserve"> (Chengdu and Zibo), and the Pearl River Delta (Foshan and Dongguan). </w:t>
      </w:r>
    </w:p>
    <w:p w14:paraId="51C5B467" w14:textId="77777777" w:rsidR="00BB2A9D" w:rsidRDefault="00BB2A9D" w:rsidP="00C408BE">
      <w:pPr>
        <w:spacing w:line="240" w:lineRule="auto"/>
        <w:rPr>
          <w:rFonts w:ascii="Times New Roman" w:hAnsi="Times New Roman" w:cs="Times New Roman"/>
          <w:b/>
        </w:rPr>
      </w:pPr>
    </w:p>
    <w:p w14:paraId="28A6C2EA" w14:textId="77777777" w:rsidR="00BB2A9D" w:rsidRDefault="00BB2A9D" w:rsidP="00C408BE">
      <w:pPr>
        <w:spacing w:line="240" w:lineRule="auto"/>
        <w:rPr>
          <w:rFonts w:ascii="Times New Roman" w:hAnsi="Times New Roman" w:cs="Times New Roman"/>
          <w:b/>
        </w:rPr>
      </w:pPr>
    </w:p>
    <w:p w14:paraId="20904947" w14:textId="77777777" w:rsidR="00BB2A9D" w:rsidRDefault="00BB2A9D" w:rsidP="00C408BE">
      <w:pPr>
        <w:spacing w:line="240" w:lineRule="auto"/>
        <w:rPr>
          <w:rFonts w:ascii="Times New Roman" w:hAnsi="Times New Roman" w:cs="Times New Roman"/>
          <w:b/>
        </w:rPr>
      </w:pPr>
    </w:p>
    <w:p w14:paraId="5A57DA18" w14:textId="77777777" w:rsidR="00BB2A9D" w:rsidRDefault="00BB2A9D" w:rsidP="00C408BE">
      <w:pPr>
        <w:spacing w:line="240" w:lineRule="auto"/>
        <w:rPr>
          <w:rFonts w:ascii="Times New Roman" w:hAnsi="Times New Roman" w:cs="Times New Roman"/>
          <w:b/>
        </w:rPr>
      </w:pPr>
    </w:p>
    <w:p w14:paraId="7756B87C" w14:textId="77777777" w:rsidR="00BB2A9D" w:rsidRDefault="00BB2A9D" w:rsidP="00C408BE">
      <w:pPr>
        <w:spacing w:line="240" w:lineRule="auto"/>
        <w:rPr>
          <w:rFonts w:ascii="Times New Roman" w:hAnsi="Times New Roman" w:cs="Times New Roman"/>
          <w:b/>
        </w:rPr>
      </w:pPr>
    </w:p>
    <w:p w14:paraId="54F07138" w14:textId="77777777" w:rsidR="00BB2A9D" w:rsidRDefault="00BB2A9D" w:rsidP="00C408BE">
      <w:pPr>
        <w:spacing w:line="240" w:lineRule="auto"/>
        <w:rPr>
          <w:rFonts w:ascii="Times New Roman" w:hAnsi="Times New Roman" w:cs="Times New Roman"/>
          <w:b/>
        </w:rPr>
      </w:pPr>
    </w:p>
    <w:p w14:paraId="64065C41" w14:textId="041F91CF" w:rsidR="00C408BE" w:rsidRPr="00304A3B" w:rsidRDefault="009723B3" w:rsidP="00C408BE">
      <w:pPr>
        <w:spacing w:line="240" w:lineRule="auto"/>
        <w:rPr>
          <w:rFonts w:ascii="Times New Roman" w:hAnsi="Times New Roman" w:cs="Times New Roman"/>
          <w:b/>
        </w:rPr>
      </w:pPr>
      <w:proofErr w:type="gramStart"/>
      <w:r>
        <w:rPr>
          <w:rFonts w:ascii="Times New Roman" w:hAnsi="Times New Roman" w:cs="Times New Roman"/>
          <w:b/>
        </w:rPr>
        <w:lastRenderedPageBreak/>
        <w:t>M</w:t>
      </w:r>
      <w:r w:rsidR="00C408BE" w:rsidRPr="00304A3B">
        <w:rPr>
          <w:rFonts w:ascii="Times New Roman" w:hAnsi="Times New Roman" w:cs="Times New Roman"/>
          <w:b/>
        </w:rPr>
        <w:t>ap 4.</w:t>
      </w:r>
      <w:proofErr w:type="gramEnd"/>
      <w:r w:rsidR="00C408BE" w:rsidRPr="00304A3B">
        <w:rPr>
          <w:rFonts w:ascii="Times New Roman" w:hAnsi="Times New Roman" w:cs="Times New Roman"/>
          <w:b/>
        </w:rPr>
        <w:t xml:space="preserve"> Factory China</w:t>
      </w:r>
      <w:r w:rsidR="00BB2A9D">
        <w:rPr>
          <w:rFonts w:ascii="Times New Roman" w:hAnsi="Times New Roman" w:cs="Times New Roman"/>
          <w:b/>
        </w:rPr>
        <w:t>, 2015</w:t>
      </w:r>
    </w:p>
    <w:p w14:paraId="5CC8E21E" w14:textId="4011C0D5" w:rsidR="00C408BE" w:rsidRPr="00304A3B" w:rsidRDefault="00C408BE" w:rsidP="00CE40B8">
      <w:pPr>
        <w:spacing w:line="240" w:lineRule="auto"/>
        <w:jc w:val="center"/>
        <w:rPr>
          <w:rFonts w:ascii="Times New Roman" w:hAnsi="Times New Roman" w:cs="Times New Roman"/>
          <w:b/>
        </w:rPr>
      </w:pPr>
    </w:p>
    <w:p w14:paraId="28AEDAD5" w14:textId="7BE90CF5" w:rsidR="0069676F" w:rsidRPr="00304A3B" w:rsidRDefault="0069676F" w:rsidP="00C408BE">
      <w:pPr>
        <w:spacing w:line="240" w:lineRule="auto"/>
        <w:rPr>
          <w:rFonts w:ascii="Times New Roman" w:hAnsi="Times New Roman" w:cs="Times New Roman"/>
          <w:b/>
        </w:rPr>
      </w:pPr>
      <w:proofErr w:type="gramStart"/>
      <w:r w:rsidRPr="00304A3B">
        <w:rPr>
          <w:rFonts w:ascii="Times New Roman" w:hAnsi="Times New Roman" w:cs="Times New Roman"/>
          <w:b/>
        </w:rPr>
        <w:t>Table 6.</w:t>
      </w:r>
      <w:proofErr w:type="gramEnd"/>
      <w:r w:rsidRPr="00304A3B">
        <w:rPr>
          <w:rFonts w:ascii="Times New Roman" w:hAnsi="Times New Roman" w:cs="Times New Roman"/>
          <w:b/>
        </w:rPr>
        <w:t xml:space="preserve"> Factory China </w:t>
      </w:r>
      <w:r w:rsidR="00BB2A9D">
        <w:rPr>
          <w:rFonts w:ascii="Times New Roman" w:hAnsi="Times New Roman" w:cs="Times New Roman"/>
          <w:b/>
        </w:rPr>
        <w:t>economic indicators, 2015</w:t>
      </w:r>
    </w:p>
    <w:p w14:paraId="570DDABE" w14:textId="77777777" w:rsidR="0069676F" w:rsidRPr="00304A3B" w:rsidRDefault="0069676F" w:rsidP="00C408BE">
      <w:pPr>
        <w:spacing w:line="240" w:lineRule="auto"/>
        <w:rPr>
          <w:rFonts w:ascii="Times New Roman" w:hAnsi="Times New Roman" w:cs="Times New Roman"/>
          <w:b/>
        </w:rPr>
      </w:pPr>
    </w:p>
    <w:p w14:paraId="630E18F4" w14:textId="6EA7F25A" w:rsidR="00C408BE" w:rsidRPr="00304A3B" w:rsidRDefault="00C408BE" w:rsidP="00C408BE">
      <w:pPr>
        <w:spacing w:line="240" w:lineRule="auto"/>
        <w:rPr>
          <w:rFonts w:ascii="Times New Roman" w:hAnsi="Times New Roman" w:cs="Times New Roman"/>
          <w:b/>
        </w:rPr>
      </w:pPr>
      <w:proofErr w:type="gramStart"/>
      <w:r w:rsidRPr="00304A3B">
        <w:rPr>
          <w:rFonts w:ascii="Times New Roman" w:hAnsi="Times New Roman" w:cs="Times New Roman"/>
          <w:b/>
        </w:rPr>
        <w:t>Figure 10.</w:t>
      </w:r>
      <w:proofErr w:type="gramEnd"/>
      <w:r w:rsidRPr="00304A3B">
        <w:rPr>
          <w:rFonts w:ascii="Times New Roman" w:hAnsi="Times New Roman" w:cs="Times New Roman"/>
          <w:b/>
        </w:rPr>
        <w:t xml:space="preserve"> Factory China </w:t>
      </w:r>
      <w:r w:rsidR="00BB2A9D">
        <w:rPr>
          <w:rFonts w:ascii="Times New Roman" w:hAnsi="Times New Roman" w:cs="Times New Roman"/>
          <w:b/>
        </w:rPr>
        <w:t>i</w:t>
      </w:r>
      <w:r w:rsidRPr="00304A3B">
        <w:rPr>
          <w:rFonts w:ascii="Times New Roman" w:hAnsi="Times New Roman" w:cs="Times New Roman"/>
          <w:b/>
        </w:rPr>
        <w:t>ndicators</w:t>
      </w:r>
      <w:r w:rsidR="00BB2A9D">
        <w:rPr>
          <w:rFonts w:ascii="Times New Roman" w:hAnsi="Times New Roman" w:cs="Times New Roman"/>
          <w:b/>
        </w:rPr>
        <w:t>, 2015 or most recent year available</w:t>
      </w:r>
      <w:r w:rsidR="00D93FE2">
        <w:rPr>
          <w:rStyle w:val="EndnoteReference"/>
          <w:rFonts w:ascii="Times New Roman" w:hAnsi="Times New Roman" w:cs="Times New Roman"/>
          <w:b/>
        </w:rPr>
        <w:endnoteReference w:id="63"/>
      </w:r>
    </w:p>
    <w:p w14:paraId="519F8E7E" w14:textId="4A29714A" w:rsidR="00C408BE" w:rsidRPr="00304A3B" w:rsidRDefault="00C408BE" w:rsidP="00126654">
      <w:pPr>
        <w:spacing w:line="240" w:lineRule="auto"/>
        <w:ind w:left="-720"/>
        <w:jc w:val="center"/>
        <w:rPr>
          <w:rFonts w:ascii="Times New Roman" w:hAnsi="Times New Roman" w:cs="Times New Roman"/>
        </w:rPr>
      </w:pPr>
    </w:p>
    <w:p w14:paraId="24902B80" w14:textId="23639512" w:rsidR="006552BF" w:rsidRPr="00304A3B" w:rsidRDefault="00A8624E" w:rsidP="006552BF">
      <w:pPr>
        <w:spacing w:line="240" w:lineRule="auto"/>
        <w:rPr>
          <w:rFonts w:ascii="Times New Roman" w:hAnsi="Times New Roman" w:cs="Times New Roman"/>
        </w:rPr>
      </w:pPr>
      <w:r w:rsidRPr="00304A3B">
        <w:rPr>
          <w:rFonts w:ascii="Times New Roman" w:hAnsi="Times New Roman" w:cs="Times New Roman"/>
        </w:rPr>
        <w:t>Factory China</w:t>
      </w:r>
      <w:r w:rsidR="00EE008B" w:rsidRPr="00304A3B">
        <w:rPr>
          <w:rFonts w:ascii="Times New Roman" w:hAnsi="Times New Roman" w:cs="Times New Roman"/>
        </w:rPr>
        <w:t xml:space="preserve"> </w:t>
      </w:r>
      <w:r w:rsidR="00C855AF" w:rsidRPr="00304A3B">
        <w:rPr>
          <w:rFonts w:ascii="Times New Roman" w:hAnsi="Times New Roman" w:cs="Times New Roman"/>
        </w:rPr>
        <w:t xml:space="preserve">comprises China’s second and third-tier population centers that are growing incredibly quickly. </w:t>
      </w:r>
      <w:r w:rsidR="006552BF" w:rsidRPr="00304A3B">
        <w:rPr>
          <w:rFonts w:ascii="Times New Roman" w:hAnsi="Times New Roman" w:cs="Times New Roman"/>
        </w:rPr>
        <w:t>The typical city in this group has an average po</w:t>
      </w:r>
      <w:r w:rsidR="00BF30BC" w:rsidRPr="00304A3B">
        <w:rPr>
          <w:rFonts w:ascii="Times New Roman" w:hAnsi="Times New Roman" w:cs="Times New Roman"/>
        </w:rPr>
        <w:t xml:space="preserve">pulation of 8 million and a nominal </w:t>
      </w:r>
      <w:r w:rsidR="006552BF" w:rsidRPr="00304A3B">
        <w:rPr>
          <w:rFonts w:ascii="Times New Roman" w:hAnsi="Times New Roman" w:cs="Times New Roman"/>
        </w:rPr>
        <w:t>GDP of $</w:t>
      </w:r>
      <w:r w:rsidR="00BF30BC" w:rsidRPr="00304A3B">
        <w:rPr>
          <w:rFonts w:ascii="Times New Roman" w:hAnsi="Times New Roman" w:cs="Times New Roman"/>
        </w:rPr>
        <w:t>205</w:t>
      </w:r>
      <w:r w:rsidR="006552BF" w:rsidRPr="00304A3B">
        <w:rPr>
          <w:rFonts w:ascii="Times New Roman" w:hAnsi="Times New Roman" w:cs="Times New Roman"/>
        </w:rPr>
        <w:t xml:space="preserve"> billion. Output and employment have grown in these metros by an outstanding 12.6 and 4.7 percent annually between 2000 and 2015, the fastest pace among our seven </w:t>
      </w:r>
      <w:r w:rsidR="00023B36" w:rsidRPr="00304A3B">
        <w:rPr>
          <w:rFonts w:ascii="Times New Roman" w:hAnsi="Times New Roman" w:cs="Times New Roman"/>
        </w:rPr>
        <w:t>groups</w:t>
      </w:r>
      <w:r w:rsidR="006552BF" w:rsidRPr="00304A3B">
        <w:rPr>
          <w:rFonts w:ascii="Times New Roman" w:hAnsi="Times New Roman" w:cs="Times New Roman"/>
        </w:rPr>
        <w:t xml:space="preserve">. </w:t>
      </w:r>
      <w:r w:rsidR="00C53C27" w:rsidRPr="00304A3B">
        <w:rPr>
          <w:rFonts w:ascii="Times New Roman" w:hAnsi="Times New Roman" w:cs="Times New Roman"/>
        </w:rPr>
        <w:t xml:space="preserve">Real </w:t>
      </w:r>
      <w:r w:rsidR="00146350" w:rsidRPr="00304A3B">
        <w:rPr>
          <w:rFonts w:ascii="Times New Roman" w:hAnsi="Times New Roman" w:cs="Times New Roman"/>
        </w:rPr>
        <w:t xml:space="preserve">GDP per capita has expanded fivefold since 2000, </w:t>
      </w:r>
      <w:r w:rsidR="00213463" w:rsidRPr="00304A3B">
        <w:rPr>
          <w:rFonts w:ascii="Times New Roman" w:hAnsi="Times New Roman" w:cs="Times New Roman"/>
        </w:rPr>
        <w:t>from</w:t>
      </w:r>
      <w:r w:rsidR="00146350" w:rsidRPr="00304A3B">
        <w:rPr>
          <w:rFonts w:ascii="Times New Roman" w:hAnsi="Times New Roman" w:cs="Times New Roman"/>
        </w:rPr>
        <w:t xml:space="preserve"> $2,500 to $12,000, rooting these metros firmly in the global middle class. </w:t>
      </w:r>
    </w:p>
    <w:p w14:paraId="44FF3713" w14:textId="43AE1844" w:rsidR="00040831" w:rsidRPr="00304A3B" w:rsidRDefault="00F6486D" w:rsidP="00F6486D">
      <w:pPr>
        <w:spacing w:line="240" w:lineRule="auto"/>
        <w:rPr>
          <w:rFonts w:ascii="Times New Roman" w:hAnsi="Times New Roman" w:cs="Times New Roman"/>
        </w:rPr>
      </w:pPr>
      <w:r w:rsidRPr="00304A3B">
        <w:rPr>
          <w:rFonts w:ascii="Times New Roman" w:hAnsi="Times New Roman" w:cs="Times New Roman"/>
        </w:rPr>
        <w:t xml:space="preserve">The most salient feature this </w:t>
      </w:r>
      <w:r w:rsidR="00023B36" w:rsidRPr="00304A3B">
        <w:rPr>
          <w:rFonts w:ascii="Times New Roman" w:hAnsi="Times New Roman" w:cs="Times New Roman"/>
        </w:rPr>
        <w:t>group</w:t>
      </w:r>
      <w:r w:rsidRPr="00304A3B">
        <w:rPr>
          <w:rFonts w:ascii="Times New Roman" w:hAnsi="Times New Roman" w:cs="Times New Roman"/>
        </w:rPr>
        <w:t xml:space="preserve"> is the</w:t>
      </w:r>
      <w:r w:rsidR="00146350" w:rsidRPr="00304A3B">
        <w:rPr>
          <w:rFonts w:ascii="Times New Roman" w:hAnsi="Times New Roman" w:cs="Times New Roman"/>
        </w:rPr>
        <w:t>ir</w:t>
      </w:r>
      <w:r w:rsidRPr="00304A3B">
        <w:rPr>
          <w:rFonts w:ascii="Times New Roman" w:hAnsi="Times New Roman" w:cs="Times New Roman"/>
        </w:rPr>
        <w:t xml:space="preserve"> </w:t>
      </w:r>
      <w:r w:rsidR="00146350" w:rsidRPr="00304A3B">
        <w:rPr>
          <w:rFonts w:ascii="Times New Roman" w:hAnsi="Times New Roman" w:cs="Times New Roman"/>
        </w:rPr>
        <w:t xml:space="preserve">extreme reliance on manufacturing, which accounts for </w:t>
      </w:r>
      <w:r w:rsidR="00F334E8" w:rsidRPr="00304A3B">
        <w:rPr>
          <w:rFonts w:ascii="Times New Roman" w:hAnsi="Times New Roman" w:cs="Times New Roman"/>
        </w:rPr>
        <w:t>nearly 40</w:t>
      </w:r>
      <w:r w:rsidRPr="00304A3B">
        <w:rPr>
          <w:rFonts w:ascii="Times New Roman" w:hAnsi="Times New Roman" w:cs="Times New Roman"/>
        </w:rPr>
        <w:t xml:space="preserve"> percent of total output</w:t>
      </w:r>
      <w:r w:rsidR="00BA4CFF" w:rsidRPr="00304A3B">
        <w:rPr>
          <w:rFonts w:ascii="Times New Roman" w:hAnsi="Times New Roman" w:cs="Times New Roman"/>
        </w:rPr>
        <w:t xml:space="preserve"> </w:t>
      </w:r>
      <w:r w:rsidR="006F1551">
        <w:rPr>
          <w:rFonts w:ascii="Times New Roman" w:hAnsi="Times New Roman" w:cs="Times New Roman"/>
        </w:rPr>
        <w:t>in</w:t>
      </w:r>
      <w:r w:rsidR="00BA4CFF" w:rsidRPr="00304A3B">
        <w:rPr>
          <w:rFonts w:ascii="Times New Roman" w:hAnsi="Times New Roman" w:cs="Times New Roman"/>
        </w:rPr>
        <w:t xml:space="preserve"> </w:t>
      </w:r>
      <w:r w:rsidR="006F1551">
        <w:rPr>
          <w:rFonts w:ascii="Times New Roman" w:hAnsi="Times New Roman" w:cs="Times New Roman"/>
        </w:rPr>
        <w:t xml:space="preserve">the typical </w:t>
      </w:r>
      <w:r w:rsidR="00BA4CFF" w:rsidRPr="00304A3B">
        <w:rPr>
          <w:rFonts w:ascii="Times New Roman" w:hAnsi="Times New Roman" w:cs="Times New Roman"/>
        </w:rPr>
        <w:t>Factory China</w:t>
      </w:r>
      <w:r w:rsidR="006F1551">
        <w:rPr>
          <w:rFonts w:ascii="Times New Roman" w:hAnsi="Times New Roman" w:cs="Times New Roman"/>
        </w:rPr>
        <w:t xml:space="preserve"> city</w:t>
      </w:r>
      <w:r w:rsidR="00575597" w:rsidRPr="00304A3B">
        <w:rPr>
          <w:rFonts w:ascii="Times New Roman" w:hAnsi="Times New Roman" w:cs="Times New Roman"/>
        </w:rPr>
        <w:t>,</w:t>
      </w:r>
      <w:r w:rsidR="00146350" w:rsidRPr="00304A3B">
        <w:rPr>
          <w:rFonts w:ascii="Times New Roman" w:hAnsi="Times New Roman" w:cs="Times New Roman"/>
        </w:rPr>
        <w:t xml:space="preserve"> </w:t>
      </w:r>
      <w:r w:rsidR="00023B36" w:rsidRPr="00304A3B">
        <w:rPr>
          <w:rFonts w:ascii="Times New Roman" w:hAnsi="Times New Roman" w:cs="Times New Roman"/>
        </w:rPr>
        <w:t>the highest among all groupings</w:t>
      </w:r>
      <w:r w:rsidRPr="00304A3B">
        <w:rPr>
          <w:rFonts w:ascii="Times New Roman" w:hAnsi="Times New Roman" w:cs="Times New Roman"/>
        </w:rPr>
        <w:t xml:space="preserve">. In fact, </w:t>
      </w:r>
      <w:r w:rsidR="00023B36" w:rsidRPr="00304A3B">
        <w:rPr>
          <w:rFonts w:ascii="Times New Roman" w:hAnsi="Times New Roman" w:cs="Times New Roman"/>
        </w:rPr>
        <w:t>Factory China cities</w:t>
      </w:r>
      <w:r w:rsidRPr="00304A3B">
        <w:rPr>
          <w:rFonts w:ascii="Times New Roman" w:hAnsi="Times New Roman" w:cs="Times New Roman"/>
        </w:rPr>
        <w:t xml:space="preserve"> are more manufacturing</w:t>
      </w:r>
      <w:r w:rsidR="00146350" w:rsidRPr="00304A3B">
        <w:rPr>
          <w:rFonts w:ascii="Times New Roman" w:hAnsi="Times New Roman" w:cs="Times New Roman"/>
        </w:rPr>
        <w:t>-</w:t>
      </w:r>
      <w:r w:rsidRPr="00304A3B">
        <w:rPr>
          <w:rFonts w:ascii="Times New Roman" w:hAnsi="Times New Roman" w:cs="Times New Roman"/>
        </w:rPr>
        <w:t>intensive in 2015 than they were in 2000</w:t>
      </w:r>
      <w:r w:rsidR="00146350" w:rsidRPr="00304A3B">
        <w:rPr>
          <w:rFonts w:ascii="Times New Roman" w:hAnsi="Times New Roman" w:cs="Times New Roman"/>
        </w:rPr>
        <w:t>,</w:t>
      </w:r>
      <w:r w:rsidRPr="00304A3B">
        <w:rPr>
          <w:rFonts w:ascii="Times New Roman" w:hAnsi="Times New Roman" w:cs="Times New Roman"/>
        </w:rPr>
        <w:t xml:space="preserve"> when manufacturing accounted only for 30 percent of their GDP. </w:t>
      </w:r>
      <w:r w:rsidR="004739A5" w:rsidRPr="00304A3B">
        <w:rPr>
          <w:rFonts w:ascii="Times New Roman" w:hAnsi="Times New Roman" w:cs="Times New Roman"/>
        </w:rPr>
        <w:t xml:space="preserve">With only 25 percent of national population, </w:t>
      </w:r>
      <w:r w:rsidR="00A8624E" w:rsidRPr="00304A3B">
        <w:rPr>
          <w:rFonts w:ascii="Times New Roman" w:hAnsi="Times New Roman" w:cs="Times New Roman"/>
        </w:rPr>
        <w:t>Factory China</w:t>
      </w:r>
      <w:r w:rsidR="004739A5" w:rsidRPr="00304A3B">
        <w:rPr>
          <w:rFonts w:ascii="Times New Roman" w:hAnsi="Times New Roman" w:cs="Times New Roman"/>
        </w:rPr>
        <w:t xml:space="preserve"> metros generate one-</w:t>
      </w:r>
      <w:r w:rsidRPr="00304A3B">
        <w:rPr>
          <w:rFonts w:ascii="Times New Roman" w:hAnsi="Times New Roman" w:cs="Times New Roman"/>
        </w:rPr>
        <w:t xml:space="preserve">third of </w:t>
      </w:r>
      <w:r w:rsidR="004739A5" w:rsidRPr="00304A3B">
        <w:rPr>
          <w:rFonts w:ascii="Times New Roman" w:hAnsi="Times New Roman" w:cs="Times New Roman"/>
        </w:rPr>
        <w:t xml:space="preserve">China’s </w:t>
      </w:r>
      <w:r w:rsidRPr="00304A3B">
        <w:rPr>
          <w:rFonts w:ascii="Times New Roman" w:hAnsi="Times New Roman" w:cs="Times New Roman"/>
        </w:rPr>
        <w:t xml:space="preserve">total manufacturing </w:t>
      </w:r>
      <w:r w:rsidR="004739A5" w:rsidRPr="00304A3B">
        <w:rPr>
          <w:rFonts w:ascii="Times New Roman" w:hAnsi="Times New Roman" w:cs="Times New Roman"/>
        </w:rPr>
        <w:t>value-added ($800 billion)</w:t>
      </w:r>
      <w:r w:rsidRPr="00304A3B">
        <w:rPr>
          <w:rFonts w:ascii="Times New Roman" w:hAnsi="Times New Roman" w:cs="Times New Roman"/>
        </w:rPr>
        <w:t xml:space="preserve">. </w:t>
      </w:r>
    </w:p>
    <w:p w14:paraId="1CE2A701" w14:textId="77777777" w:rsidR="00422A62" w:rsidRDefault="00422A62" w:rsidP="00270B34">
      <w:pPr>
        <w:tabs>
          <w:tab w:val="left" w:pos="6770"/>
        </w:tabs>
        <w:spacing w:line="240" w:lineRule="auto"/>
        <w:rPr>
          <w:rFonts w:ascii="Times New Roman" w:hAnsi="Times New Roman" w:cs="Times New Roman"/>
          <w:b/>
        </w:rPr>
      </w:pPr>
    </w:p>
    <w:p w14:paraId="7D8D721F" w14:textId="289B2D92" w:rsidR="00040831" w:rsidRPr="00304A3B" w:rsidRDefault="00040831" w:rsidP="00270B34">
      <w:pPr>
        <w:tabs>
          <w:tab w:val="left" w:pos="6770"/>
        </w:tabs>
        <w:spacing w:line="240" w:lineRule="auto"/>
        <w:rPr>
          <w:rFonts w:ascii="Times New Roman" w:hAnsi="Times New Roman" w:cs="Times New Roman"/>
          <w:b/>
        </w:rPr>
      </w:pPr>
      <w:proofErr w:type="gramStart"/>
      <w:r w:rsidRPr="00304A3B">
        <w:rPr>
          <w:rFonts w:ascii="Times New Roman" w:hAnsi="Times New Roman" w:cs="Times New Roman"/>
          <w:b/>
        </w:rPr>
        <w:t xml:space="preserve">Figure </w:t>
      </w:r>
      <w:r w:rsidR="007E5D28" w:rsidRPr="00304A3B">
        <w:rPr>
          <w:rFonts w:ascii="Times New Roman" w:hAnsi="Times New Roman" w:cs="Times New Roman"/>
          <w:b/>
        </w:rPr>
        <w:t>11</w:t>
      </w:r>
      <w:r w:rsidRPr="00304A3B">
        <w:rPr>
          <w:rFonts w:ascii="Times New Roman" w:hAnsi="Times New Roman" w:cs="Times New Roman"/>
          <w:b/>
        </w:rPr>
        <w:t>.</w:t>
      </w:r>
      <w:proofErr w:type="gramEnd"/>
      <w:r w:rsidRPr="00304A3B">
        <w:rPr>
          <w:rFonts w:ascii="Times New Roman" w:hAnsi="Times New Roman" w:cs="Times New Roman"/>
          <w:b/>
        </w:rPr>
        <w:t xml:space="preserve"> Manufacturing share of real GVA</w:t>
      </w:r>
      <w:r w:rsidR="005044D4">
        <w:rPr>
          <w:rFonts w:ascii="Times New Roman" w:hAnsi="Times New Roman" w:cs="Times New Roman"/>
          <w:b/>
        </w:rPr>
        <w:t xml:space="preserve"> in metropolitan groups</w:t>
      </w:r>
      <w:proofErr w:type="gramStart"/>
      <w:r w:rsidR="00422A62">
        <w:rPr>
          <w:rFonts w:ascii="Times New Roman" w:hAnsi="Times New Roman" w:cs="Times New Roman"/>
          <w:b/>
        </w:rPr>
        <w:t xml:space="preserve">, </w:t>
      </w:r>
      <w:r w:rsidRPr="00304A3B">
        <w:rPr>
          <w:rFonts w:ascii="Times New Roman" w:hAnsi="Times New Roman" w:cs="Times New Roman"/>
          <w:b/>
        </w:rPr>
        <w:t xml:space="preserve"> 2015</w:t>
      </w:r>
      <w:proofErr w:type="gramEnd"/>
    </w:p>
    <w:p w14:paraId="25BE5D65" w14:textId="33B39AAE" w:rsidR="007E5D28" w:rsidRPr="00304A3B" w:rsidRDefault="007E5D28" w:rsidP="00004E99">
      <w:pPr>
        <w:tabs>
          <w:tab w:val="left" w:pos="6770"/>
        </w:tabs>
        <w:spacing w:line="240" w:lineRule="auto"/>
        <w:jc w:val="center"/>
        <w:rPr>
          <w:rFonts w:ascii="Times New Roman" w:hAnsi="Times New Roman" w:cs="Times New Roman"/>
          <w:b/>
        </w:rPr>
      </w:pPr>
    </w:p>
    <w:p w14:paraId="3B7FA740" w14:textId="32A246A1" w:rsidR="00AD77A8" w:rsidRPr="00304A3B" w:rsidRDefault="00A8624E" w:rsidP="00282F30">
      <w:pPr>
        <w:spacing w:line="240" w:lineRule="auto"/>
        <w:rPr>
          <w:rFonts w:ascii="Times New Roman" w:hAnsi="Times New Roman" w:cs="Times New Roman"/>
        </w:rPr>
      </w:pPr>
      <w:r w:rsidRPr="00304A3B">
        <w:rPr>
          <w:rFonts w:ascii="Times New Roman" w:hAnsi="Times New Roman" w:cs="Times New Roman"/>
        </w:rPr>
        <w:t>Factory China</w:t>
      </w:r>
      <w:r w:rsidR="004739A5" w:rsidRPr="00304A3B">
        <w:rPr>
          <w:rFonts w:ascii="Times New Roman" w:hAnsi="Times New Roman" w:cs="Times New Roman"/>
        </w:rPr>
        <w:t xml:space="preserve"> metro areas</w:t>
      </w:r>
      <w:r w:rsidR="00F6486D" w:rsidRPr="00304A3B">
        <w:rPr>
          <w:rFonts w:ascii="Times New Roman" w:hAnsi="Times New Roman" w:cs="Times New Roman"/>
        </w:rPr>
        <w:t xml:space="preserve"> </w:t>
      </w:r>
      <w:r w:rsidR="00AD77A8" w:rsidRPr="00304A3B">
        <w:rPr>
          <w:rFonts w:ascii="Times New Roman" w:hAnsi="Times New Roman" w:cs="Times New Roman"/>
        </w:rPr>
        <w:t>plug into the global economy as nodes in international manufacturing supply chains, typically providing goods to wealthier consumer markets in advanced economies.</w:t>
      </w:r>
      <w:r w:rsidR="00262894" w:rsidRPr="00304A3B">
        <w:rPr>
          <w:rFonts w:ascii="Times New Roman" w:hAnsi="Times New Roman" w:cs="Times New Roman"/>
        </w:rPr>
        <w:t xml:space="preserve"> Multinational corporations like Unilever (Hefei), </w:t>
      </w:r>
      <w:r w:rsidR="00F378DA" w:rsidRPr="00304A3B">
        <w:rPr>
          <w:rFonts w:ascii="Times New Roman" w:hAnsi="Times New Roman" w:cs="Times New Roman"/>
        </w:rPr>
        <w:t xml:space="preserve">Goodyear (Dalian), </w:t>
      </w:r>
      <w:r w:rsidR="00262894" w:rsidRPr="00304A3B">
        <w:rPr>
          <w:rFonts w:ascii="Times New Roman" w:hAnsi="Times New Roman" w:cs="Times New Roman"/>
        </w:rPr>
        <w:t>Samsung (</w:t>
      </w:r>
      <w:r w:rsidR="00A23E40" w:rsidRPr="00304A3B">
        <w:rPr>
          <w:rFonts w:ascii="Times New Roman" w:hAnsi="Times New Roman" w:cs="Times New Roman"/>
        </w:rPr>
        <w:t>Dongguan</w:t>
      </w:r>
      <w:r w:rsidR="00262894" w:rsidRPr="00304A3B">
        <w:rPr>
          <w:rFonts w:ascii="Times New Roman" w:hAnsi="Times New Roman" w:cs="Times New Roman"/>
        </w:rPr>
        <w:t xml:space="preserve">), </w:t>
      </w:r>
      <w:r w:rsidR="00D06623" w:rsidRPr="00304A3B">
        <w:rPr>
          <w:rFonts w:ascii="Times New Roman" w:hAnsi="Times New Roman" w:cs="Times New Roman"/>
        </w:rPr>
        <w:t>DuPont (</w:t>
      </w:r>
      <w:r w:rsidR="00A23E40" w:rsidRPr="00304A3B">
        <w:rPr>
          <w:rFonts w:ascii="Times New Roman" w:hAnsi="Times New Roman" w:cs="Times New Roman"/>
        </w:rPr>
        <w:t xml:space="preserve">Dongguan and Changshu), </w:t>
      </w:r>
      <w:r w:rsidR="00BC2C2F" w:rsidRPr="00304A3B">
        <w:rPr>
          <w:rFonts w:ascii="Times New Roman" w:hAnsi="Times New Roman" w:cs="Times New Roman"/>
        </w:rPr>
        <w:t>Intel (Dalian), Pfizer (Dalian and Hangzhou)</w:t>
      </w:r>
      <w:r w:rsidR="00575597" w:rsidRPr="00304A3B">
        <w:rPr>
          <w:rFonts w:ascii="Times New Roman" w:hAnsi="Times New Roman" w:cs="Times New Roman"/>
        </w:rPr>
        <w:t>,</w:t>
      </w:r>
      <w:r w:rsidR="00BC2C2F" w:rsidRPr="00304A3B">
        <w:rPr>
          <w:rFonts w:ascii="Times New Roman" w:hAnsi="Times New Roman" w:cs="Times New Roman"/>
        </w:rPr>
        <w:t xml:space="preserve"> Dell (Chengdu)</w:t>
      </w:r>
      <w:r w:rsidR="00F378DA" w:rsidRPr="00304A3B">
        <w:rPr>
          <w:rFonts w:ascii="Times New Roman" w:hAnsi="Times New Roman" w:cs="Times New Roman"/>
        </w:rPr>
        <w:t>,</w:t>
      </w:r>
      <w:r w:rsidR="00BC2C2F" w:rsidRPr="00304A3B">
        <w:rPr>
          <w:rFonts w:ascii="Times New Roman" w:hAnsi="Times New Roman" w:cs="Times New Roman"/>
        </w:rPr>
        <w:t xml:space="preserve"> </w:t>
      </w:r>
      <w:r w:rsidR="00F334E8" w:rsidRPr="00304A3B">
        <w:rPr>
          <w:rFonts w:ascii="Times New Roman" w:hAnsi="Times New Roman" w:cs="Times New Roman"/>
        </w:rPr>
        <w:t>anchor manufacturing operations in Factory China</w:t>
      </w:r>
      <w:r w:rsidR="00BC2C2F" w:rsidRPr="00304A3B">
        <w:rPr>
          <w:rFonts w:ascii="Times New Roman" w:hAnsi="Times New Roman" w:cs="Times New Roman"/>
        </w:rPr>
        <w:t>.</w:t>
      </w:r>
      <w:r w:rsidR="00BC2C2F" w:rsidRPr="00304A3B">
        <w:rPr>
          <w:rStyle w:val="EndnoteReference"/>
          <w:rFonts w:ascii="Times New Roman" w:hAnsi="Times New Roman" w:cs="Times New Roman"/>
        </w:rPr>
        <w:endnoteReference w:id="64"/>
      </w:r>
      <w:r w:rsidR="00262894" w:rsidRPr="00304A3B">
        <w:rPr>
          <w:rFonts w:ascii="Times New Roman" w:hAnsi="Times New Roman" w:cs="Times New Roman"/>
        </w:rPr>
        <w:t xml:space="preserve"> </w:t>
      </w:r>
      <w:r w:rsidR="00F6486D" w:rsidRPr="00304A3B">
        <w:rPr>
          <w:rFonts w:ascii="Times New Roman" w:hAnsi="Times New Roman" w:cs="Times New Roman"/>
        </w:rPr>
        <w:t xml:space="preserve">This specialization has </w:t>
      </w:r>
      <w:r w:rsidR="00AD77A8" w:rsidRPr="00304A3B">
        <w:rPr>
          <w:rFonts w:ascii="Times New Roman" w:hAnsi="Times New Roman" w:cs="Times New Roman"/>
        </w:rPr>
        <w:t xml:space="preserve">proved </w:t>
      </w:r>
      <w:r w:rsidR="00F6486D" w:rsidRPr="00304A3B">
        <w:rPr>
          <w:rFonts w:ascii="Times New Roman" w:hAnsi="Times New Roman" w:cs="Times New Roman"/>
        </w:rPr>
        <w:t xml:space="preserve">very effective in </w:t>
      </w:r>
      <w:r w:rsidR="00AD77A8" w:rsidRPr="00304A3B">
        <w:rPr>
          <w:rFonts w:ascii="Times New Roman" w:hAnsi="Times New Roman" w:cs="Times New Roman"/>
        </w:rPr>
        <w:t>building wealth, and moving millions of Chinese households into the global middle class. But it is one-dimensional, and has come with significant environmental costs</w:t>
      </w:r>
      <w:r w:rsidR="00F6486D" w:rsidRPr="00304A3B">
        <w:rPr>
          <w:rFonts w:ascii="Times New Roman" w:hAnsi="Times New Roman" w:cs="Times New Roman"/>
        </w:rPr>
        <w:t>.</w:t>
      </w:r>
      <w:r w:rsidR="00D06623" w:rsidRPr="00304A3B">
        <w:rPr>
          <w:rFonts w:ascii="Times New Roman" w:hAnsi="Times New Roman" w:cs="Times New Roman"/>
        </w:rPr>
        <w:t xml:space="preserve"> </w:t>
      </w:r>
      <w:r w:rsidR="00575597" w:rsidRPr="00304A3B">
        <w:rPr>
          <w:rFonts w:ascii="Times New Roman" w:hAnsi="Times New Roman" w:cs="Times New Roman"/>
        </w:rPr>
        <w:t>T</w:t>
      </w:r>
      <w:r w:rsidR="00D06623" w:rsidRPr="00304A3B">
        <w:rPr>
          <w:rFonts w:ascii="Times New Roman" w:hAnsi="Times New Roman" w:cs="Times New Roman"/>
        </w:rPr>
        <w:t>he heavy industrial activity has resulted in pollutant levels that are 40 times above what the World Health Organ</w:t>
      </w:r>
      <w:r w:rsidR="00AE4ADC" w:rsidRPr="00304A3B">
        <w:rPr>
          <w:rFonts w:ascii="Times New Roman" w:hAnsi="Times New Roman" w:cs="Times New Roman"/>
        </w:rPr>
        <w:t xml:space="preserve">ization allows, and </w:t>
      </w:r>
      <w:r w:rsidR="00D06623" w:rsidRPr="00304A3B">
        <w:rPr>
          <w:rFonts w:ascii="Times New Roman" w:hAnsi="Times New Roman" w:cs="Times New Roman"/>
        </w:rPr>
        <w:t>40 percent of China’s rivers are</w:t>
      </w:r>
      <w:r w:rsidR="00AE4ADC" w:rsidRPr="00304A3B">
        <w:rPr>
          <w:rFonts w:ascii="Times New Roman" w:hAnsi="Times New Roman" w:cs="Times New Roman"/>
        </w:rPr>
        <w:t xml:space="preserve"> polluted.</w:t>
      </w:r>
      <w:r w:rsidR="00AE4ADC" w:rsidRPr="00304A3B">
        <w:rPr>
          <w:rStyle w:val="EndnoteReference"/>
          <w:rFonts w:ascii="Times New Roman" w:hAnsi="Times New Roman" w:cs="Times New Roman"/>
        </w:rPr>
        <w:endnoteReference w:id="65"/>
      </w:r>
      <w:r w:rsidR="00F6486D" w:rsidRPr="00304A3B">
        <w:rPr>
          <w:rFonts w:ascii="Times New Roman" w:hAnsi="Times New Roman" w:cs="Times New Roman"/>
        </w:rPr>
        <w:t xml:space="preserve"> </w:t>
      </w:r>
    </w:p>
    <w:p w14:paraId="0B44AF9A" w14:textId="3C38B4F7" w:rsidR="00EB475F" w:rsidRPr="00304A3B" w:rsidRDefault="00EB475F" w:rsidP="00282F30">
      <w:pPr>
        <w:spacing w:line="240" w:lineRule="auto"/>
        <w:rPr>
          <w:rFonts w:ascii="Times New Roman" w:hAnsi="Times New Roman" w:cs="Times New Roman"/>
        </w:rPr>
      </w:pPr>
      <w:r w:rsidRPr="00304A3B">
        <w:rPr>
          <w:rFonts w:ascii="Times New Roman" w:hAnsi="Times New Roman" w:cs="Times New Roman"/>
        </w:rPr>
        <w:t>Currently, business, financial, and professional services—economic activities typically associated with urban agglomeration—account only for 12 percent of total output in this group, well below the average of 32 percent for the other groups. The lack of economic diversification partly explains why cities in this cluster rank last in flows of FDI, venture capital attraction, and international passengers. Additionally, only 13 of the cities in this group contain a top-ranked research university. Factory China metros invent only 0.03 patents per 10,000 employees, and less than 10 percent of the population 15 years or older has tertiary education.</w:t>
      </w:r>
    </w:p>
    <w:p w14:paraId="347B1C2A" w14:textId="3D8DC31C" w:rsidR="00771EE3" w:rsidRPr="00304A3B" w:rsidRDefault="00A8624E" w:rsidP="00863DBA">
      <w:pPr>
        <w:spacing w:line="240" w:lineRule="auto"/>
        <w:rPr>
          <w:rFonts w:ascii="Times New Roman" w:hAnsi="Times New Roman" w:cs="Times New Roman"/>
          <w:b/>
        </w:rPr>
      </w:pPr>
      <w:r w:rsidRPr="00304A3B">
        <w:rPr>
          <w:rFonts w:ascii="Times New Roman" w:hAnsi="Times New Roman" w:cs="Times New Roman"/>
          <w:b/>
        </w:rPr>
        <w:t>Knowledge Capitals</w:t>
      </w:r>
    </w:p>
    <w:p w14:paraId="50EA82E6" w14:textId="3C7151E2" w:rsidR="00841816" w:rsidRPr="00304A3B" w:rsidRDefault="00A8624E" w:rsidP="00863DBA">
      <w:pPr>
        <w:spacing w:line="240" w:lineRule="auto"/>
        <w:rPr>
          <w:rFonts w:ascii="Times New Roman" w:hAnsi="Times New Roman" w:cs="Times New Roman"/>
        </w:rPr>
      </w:pPr>
      <w:r w:rsidRPr="00304A3B">
        <w:rPr>
          <w:rFonts w:ascii="Times New Roman" w:hAnsi="Times New Roman" w:cs="Times New Roman"/>
          <w:b/>
        </w:rPr>
        <w:t>Knowledge Capitals</w:t>
      </w:r>
      <w:r w:rsidR="005375F0" w:rsidRPr="00304A3B">
        <w:rPr>
          <w:rFonts w:ascii="Times New Roman" w:hAnsi="Times New Roman" w:cs="Times New Roman"/>
        </w:rPr>
        <w:t xml:space="preserve"> tend to be</w:t>
      </w:r>
      <w:r w:rsidR="00807686" w:rsidRPr="00304A3B">
        <w:rPr>
          <w:rFonts w:ascii="Times New Roman" w:hAnsi="Times New Roman" w:cs="Times New Roman"/>
        </w:rPr>
        <w:t xml:space="preserve"> mid-sized population centers that are</w:t>
      </w:r>
      <w:r w:rsidR="005375F0" w:rsidRPr="00304A3B">
        <w:rPr>
          <w:rFonts w:ascii="Times New Roman" w:hAnsi="Times New Roman" w:cs="Times New Roman"/>
        </w:rPr>
        <w:t xml:space="preserve"> among</w:t>
      </w:r>
      <w:r w:rsidR="00EC48BF" w:rsidRPr="00304A3B">
        <w:rPr>
          <w:rFonts w:ascii="Times New Roman" w:hAnsi="Times New Roman" w:cs="Times New Roman"/>
        </w:rPr>
        <w:t xml:space="preserve"> the wealthiest and </w:t>
      </w:r>
      <w:r w:rsidR="005375F0" w:rsidRPr="00304A3B">
        <w:rPr>
          <w:rFonts w:ascii="Times New Roman" w:hAnsi="Times New Roman" w:cs="Times New Roman"/>
        </w:rPr>
        <w:t>most productive</w:t>
      </w:r>
      <w:r w:rsidR="00417FFD" w:rsidRPr="00304A3B">
        <w:rPr>
          <w:rFonts w:ascii="Times New Roman" w:hAnsi="Times New Roman" w:cs="Times New Roman"/>
        </w:rPr>
        <w:t xml:space="preserve"> in the world</w:t>
      </w:r>
      <w:r w:rsidR="005375F0" w:rsidRPr="00304A3B">
        <w:rPr>
          <w:rFonts w:ascii="Times New Roman" w:hAnsi="Times New Roman" w:cs="Times New Roman"/>
        </w:rPr>
        <w:t xml:space="preserve">. </w:t>
      </w:r>
      <w:r w:rsidR="00417FFD" w:rsidRPr="00304A3B">
        <w:rPr>
          <w:rFonts w:ascii="Times New Roman" w:hAnsi="Times New Roman" w:cs="Times New Roman"/>
        </w:rPr>
        <w:t>This</w:t>
      </w:r>
      <w:r w:rsidR="005375F0" w:rsidRPr="00304A3B">
        <w:rPr>
          <w:rFonts w:ascii="Times New Roman" w:hAnsi="Times New Roman" w:cs="Times New Roman"/>
        </w:rPr>
        <w:t xml:space="preserve"> group of 19 metropolitan economies </w:t>
      </w:r>
      <w:r w:rsidR="00417FFD" w:rsidRPr="00304A3B">
        <w:rPr>
          <w:rFonts w:ascii="Times New Roman" w:hAnsi="Times New Roman" w:cs="Times New Roman"/>
        </w:rPr>
        <w:t>has</w:t>
      </w:r>
      <w:r w:rsidR="008A002D" w:rsidRPr="00304A3B">
        <w:rPr>
          <w:rFonts w:ascii="Times New Roman" w:hAnsi="Times New Roman" w:cs="Times New Roman"/>
        </w:rPr>
        <w:t xml:space="preserve"> an average </w:t>
      </w:r>
      <w:r w:rsidR="005375F0" w:rsidRPr="00304A3B">
        <w:rPr>
          <w:rFonts w:ascii="Times New Roman" w:hAnsi="Times New Roman" w:cs="Times New Roman"/>
        </w:rPr>
        <w:t xml:space="preserve">population of </w:t>
      </w:r>
      <w:r w:rsidR="008A002D" w:rsidRPr="00304A3B">
        <w:rPr>
          <w:rFonts w:ascii="Times New Roman" w:hAnsi="Times New Roman" w:cs="Times New Roman"/>
        </w:rPr>
        <w:t>4.2</w:t>
      </w:r>
      <w:r w:rsidR="005375F0" w:rsidRPr="00304A3B">
        <w:rPr>
          <w:rFonts w:ascii="Times New Roman" w:hAnsi="Times New Roman" w:cs="Times New Roman"/>
        </w:rPr>
        <w:t xml:space="preserve"> million, the second smallest </w:t>
      </w:r>
      <w:r w:rsidR="00023B36" w:rsidRPr="00304A3B">
        <w:rPr>
          <w:rFonts w:ascii="Times New Roman" w:hAnsi="Times New Roman" w:cs="Times New Roman"/>
        </w:rPr>
        <w:t>group</w:t>
      </w:r>
      <w:r w:rsidR="008A002D" w:rsidRPr="00304A3B">
        <w:rPr>
          <w:rFonts w:ascii="Times New Roman" w:hAnsi="Times New Roman" w:cs="Times New Roman"/>
        </w:rPr>
        <w:t>, by population</w:t>
      </w:r>
      <w:r w:rsidR="00841816" w:rsidRPr="00304A3B">
        <w:rPr>
          <w:rFonts w:ascii="Times New Roman" w:hAnsi="Times New Roman" w:cs="Times New Roman"/>
        </w:rPr>
        <w:t>. B</w:t>
      </w:r>
      <w:r w:rsidR="005375F0" w:rsidRPr="00304A3B">
        <w:rPr>
          <w:rFonts w:ascii="Times New Roman" w:hAnsi="Times New Roman" w:cs="Times New Roman"/>
        </w:rPr>
        <w:t>ut because they are so productive</w:t>
      </w:r>
      <w:r w:rsidR="00841816" w:rsidRPr="00304A3B">
        <w:rPr>
          <w:rFonts w:ascii="Times New Roman" w:hAnsi="Times New Roman" w:cs="Times New Roman"/>
        </w:rPr>
        <w:t>,</w:t>
      </w:r>
      <w:r w:rsidR="005375F0" w:rsidRPr="00304A3B">
        <w:rPr>
          <w:rFonts w:ascii="Times New Roman" w:hAnsi="Times New Roman" w:cs="Times New Roman"/>
        </w:rPr>
        <w:t xml:space="preserve"> </w:t>
      </w:r>
      <w:r w:rsidR="00417FFD" w:rsidRPr="00304A3B">
        <w:rPr>
          <w:rFonts w:ascii="Times New Roman" w:hAnsi="Times New Roman" w:cs="Times New Roman"/>
        </w:rPr>
        <w:t xml:space="preserve">these metro areas </w:t>
      </w:r>
      <w:r w:rsidR="005375F0" w:rsidRPr="00304A3B">
        <w:rPr>
          <w:rFonts w:ascii="Times New Roman" w:hAnsi="Times New Roman" w:cs="Times New Roman"/>
        </w:rPr>
        <w:lastRenderedPageBreak/>
        <w:t xml:space="preserve">have the third highest </w:t>
      </w:r>
      <w:r w:rsidR="00F84836" w:rsidRPr="00304A3B">
        <w:rPr>
          <w:rFonts w:ascii="Times New Roman" w:hAnsi="Times New Roman" w:cs="Times New Roman"/>
        </w:rPr>
        <w:t>average economic output</w:t>
      </w:r>
      <w:r w:rsidR="00841816" w:rsidRPr="00304A3B">
        <w:rPr>
          <w:rFonts w:ascii="Times New Roman" w:hAnsi="Times New Roman" w:cs="Times New Roman"/>
        </w:rPr>
        <w:t xml:space="preserve"> ($2</w:t>
      </w:r>
      <w:r w:rsidR="00F84836" w:rsidRPr="00304A3B">
        <w:rPr>
          <w:rFonts w:ascii="Times New Roman" w:hAnsi="Times New Roman" w:cs="Times New Roman"/>
        </w:rPr>
        <w:t>60</w:t>
      </w:r>
      <w:r w:rsidR="00841816" w:rsidRPr="00304A3B">
        <w:rPr>
          <w:rFonts w:ascii="Times New Roman" w:hAnsi="Times New Roman" w:cs="Times New Roman"/>
        </w:rPr>
        <w:t xml:space="preserve"> billion</w:t>
      </w:r>
      <w:r w:rsidR="00D95E8A" w:rsidRPr="00304A3B">
        <w:rPr>
          <w:rFonts w:ascii="Times New Roman" w:hAnsi="Times New Roman" w:cs="Times New Roman"/>
        </w:rPr>
        <w:t>).</w:t>
      </w:r>
      <w:r w:rsidR="002E19C9" w:rsidRPr="00304A3B">
        <w:rPr>
          <w:rFonts w:ascii="Times New Roman" w:hAnsi="Times New Roman" w:cs="Times New Roman"/>
        </w:rPr>
        <w:t xml:space="preserve"> Knowledge Capitals have the highest </w:t>
      </w:r>
      <w:r w:rsidR="00C53C27" w:rsidRPr="00304A3B">
        <w:rPr>
          <w:rFonts w:ascii="Times New Roman" w:hAnsi="Times New Roman" w:cs="Times New Roman"/>
        </w:rPr>
        <w:t xml:space="preserve">nominal </w:t>
      </w:r>
      <w:r w:rsidR="002E19C9" w:rsidRPr="00304A3B">
        <w:rPr>
          <w:rFonts w:ascii="Times New Roman" w:hAnsi="Times New Roman" w:cs="Times New Roman"/>
        </w:rPr>
        <w:t>GDP per capita ($</w:t>
      </w:r>
      <w:r w:rsidR="00C53C27" w:rsidRPr="00304A3B">
        <w:rPr>
          <w:rFonts w:ascii="Times New Roman" w:hAnsi="Times New Roman" w:cs="Times New Roman"/>
        </w:rPr>
        <w:t xml:space="preserve">69,000) and GDP per worker ($136,000) of any group. </w:t>
      </w:r>
    </w:p>
    <w:p w14:paraId="1B87F3E9" w14:textId="77777777" w:rsidR="00422A62" w:rsidRPr="00304A3B" w:rsidRDefault="00422A62" w:rsidP="00D95E8A">
      <w:pPr>
        <w:spacing w:line="240" w:lineRule="auto"/>
        <w:rPr>
          <w:rFonts w:ascii="Times New Roman" w:hAnsi="Times New Roman" w:cs="Times New Roman"/>
          <w:b/>
        </w:rPr>
      </w:pPr>
    </w:p>
    <w:p w14:paraId="2D311E6E" w14:textId="6C5660A8" w:rsidR="00D95E8A" w:rsidRPr="00304A3B" w:rsidRDefault="00D95E8A" w:rsidP="00D95E8A">
      <w:pPr>
        <w:spacing w:line="240" w:lineRule="auto"/>
        <w:rPr>
          <w:rFonts w:ascii="Times New Roman" w:hAnsi="Times New Roman" w:cs="Times New Roman"/>
          <w:b/>
        </w:rPr>
      </w:pPr>
      <w:proofErr w:type="gramStart"/>
      <w:r w:rsidRPr="00304A3B">
        <w:rPr>
          <w:rFonts w:ascii="Times New Roman" w:hAnsi="Times New Roman" w:cs="Times New Roman"/>
          <w:b/>
        </w:rPr>
        <w:t>Map 6.</w:t>
      </w:r>
      <w:proofErr w:type="gramEnd"/>
      <w:r w:rsidRPr="00304A3B">
        <w:rPr>
          <w:rFonts w:ascii="Times New Roman" w:hAnsi="Times New Roman" w:cs="Times New Roman"/>
          <w:b/>
        </w:rPr>
        <w:t xml:space="preserve"> Knowledge Capitals</w:t>
      </w:r>
      <w:r w:rsidR="00422A62">
        <w:rPr>
          <w:rFonts w:ascii="Times New Roman" w:hAnsi="Times New Roman" w:cs="Times New Roman"/>
          <w:b/>
        </w:rPr>
        <w:t>, 2015</w:t>
      </w:r>
    </w:p>
    <w:p w14:paraId="64492CF1" w14:textId="0C41D0E4" w:rsidR="00D95E8A" w:rsidRPr="00304A3B" w:rsidRDefault="00D95E8A" w:rsidP="00D95E8A">
      <w:pPr>
        <w:spacing w:line="240" w:lineRule="auto"/>
        <w:jc w:val="center"/>
        <w:rPr>
          <w:rFonts w:ascii="Times New Roman" w:hAnsi="Times New Roman" w:cs="Times New Roman"/>
          <w:b/>
        </w:rPr>
      </w:pPr>
    </w:p>
    <w:p w14:paraId="5905080F" w14:textId="372C9832" w:rsidR="0069676F" w:rsidRPr="00304A3B" w:rsidRDefault="0069676F" w:rsidP="00D95E8A">
      <w:pPr>
        <w:spacing w:line="240" w:lineRule="auto"/>
        <w:rPr>
          <w:rFonts w:ascii="Times New Roman" w:hAnsi="Times New Roman" w:cs="Times New Roman"/>
          <w:b/>
        </w:rPr>
      </w:pPr>
      <w:proofErr w:type="gramStart"/>
      <w:r w:rsidRPr="00304A3B">
        <w:rPr>
          <w:rFonts w:ascii="Times New Roman" w:hAnsi="Times New Roman" w:cs="Times New Roman"/>
          <w:b/>
        </w:rPr>
        <w:t>Table 7.</w:t>
      </w:r>
      <w:proofErr w:type="gramEnd"/>
      <w:r w:rsidRPr="00304A3B">
        <w:rPr>
          <w:rFonts w:ascii="Times New Roman" w:hAnsi="Times New Roman" w:cs="Times New Roman"/>
          <w:b/>
        </w:rPr>
        <w:t xml:space="preserve"> Knowledge Capital </w:t>
      </w:r>
      <w:r w:rsidR="00422A62">
        <w:rPr>
          <w:rFonts w:ascii="Times New Roman" w:hAnsi="Times New Roman" w:cs="Times New Roman"/>
          <w:b/>
        </w:rPr>
        <w:t>economic indicators, 2015</w:t>
      </w:r>
    </w:p>
    <w:p w14:paraId="6430063D" w14:textId="77777777" w:rsidR="005044D4" w:rsidRDefault="005044D4" w:rsidP="00D95E8A">
      <w:pPr>
        <w:spacing w:line="240" w:lineRule="auto"/>
        <w:rPr>
          <w:rFonts w:ascii="Times New Roman" w:hAnsi="Times New Roman" w:cs="Times New Roman"/>
          <w:b/>
        </w:rPr>
      </w:pPr>
    </w:p>
    <w:p w14:paraId="50693102" w14:textId="46AE2EC8" w:rsidR="00D95E8A" w:rsidRPr="00304A3B" w:rsidRDefault="00D95E8A" w:rsidP="00D95E8A">
      <w:pPr>
        <w:spacing w:line="240" w:lineRule="auto"/>
        <w:rPr>
          <w:rFonts w:ascii="Times New Roman" w:hAnsi="Times New Roman" w:cs="Times New Roman"/>
          <w:b/>
        </w:rPr>
      </w:pPr>
      <w:proofErr w:type="gramStart"/>
      <w:r w:rsidRPr="00304A3B">
        <w:rPr>
          <w:rFonts w:ascii="Times New Roman" w:hAnsi="Times New Roman" w:cs="Times New Roman"/>
          <w:b/>
        </w:rPr>
        <w:t>Figure 12.</w:t>
      </w:r>
      <w:proofErr w:type="gramEnd"/>
      <w:r w:rsidRPr="00304A3B">
        <w:rPr>
          <w:rFonts w:ascii="Times New Roman" w:hAnsi="Times New Roman" w:cs="Times New Roman"/>
          <w:b/>
        </w:rPr>
        <w:t xml:space="preserve"> Knowledge Capitals </w:t>
      </w:r>
      <w:r w:rsidR="00422A62">
        <w:rPr>
          <w:rFonts w:ascii="Times New Roman" w:hAnsi="Times New Roman" w:cs="Times New Roman"/>
          <w:b/>
        </w:rPr>
        <w:t>i</w:t>
      </w:r>
      <w:r w:rsidRPr="00304A3B">
        <w:rPr>
          <w:rFonts w:ascii="Times New Roman" w:hAnsi="Times New Roman" w:cs="Times New Roman"/>
          <w:b/>
        </w:rPr>
        <w:t>ndicators</w:t>
      </w:r>
      <w:r w:rsidR="00422A62">
        <w:rPr>
          <w:rFonts w:ascii="Times New Roman" w:hAnsi="Times New Roman" w:cs="Times New Roman"/>
          <w:b/>
        </w:rPr>
        <w:t>, 2015 or most recent year available</w:t>
      </w:r>
    </w:p>
    <w:p w14:paraId="5E53AF96" w14:textId="53F77FD6" w:rsidR="00D95E8A" w:rsidRPr="00304A3B" w:rsidRDefault="00D95E8A" w:rsidP="00126654">
      <w:pPr>
        <w:spacing w:line="240" w:lineRule="auto"/>
        <w:ind w:left="-720"/>
        <w:jc w:val="center"/>
        <w:rPr>
          <w:rFonts w:ascii="Times New Roman" w:hAnsi="Times New Roman" w:cs="Times New Roman"/>
        </w:rPr>
      </w:pPr>
    </w:p>
    <w:p w14:paraId="4C7314E8" w14:textId="73EF68E1" w:rsidR="00D6511E" w:rsidRPr="00304A3B" w:rsidRDefault="00A8624E" w:rsidP="00863DBA">
      <w:pPr>
        <w:spacing w:line="240" w:lineRule="auto"/>
        <w:rPr>
          <w:rFonts w:ascii="Times New Roman" w:hAnsi="Times New Roman" w:cs="Times New Roman"/>
        </w:rPr>
      </w:pPr>
      <w:r w:rsidRPr="00304A3B">
        <w:rPr>
          <w:rFonts w:ascii="Times New Roman" w:hAnsi="Times New Roman" w:cs="Times New Roman"/>
        </w:rPr>
        <w:t>Knowledge Capitals</w:t>
      </w:r>
      <w:r w:rsidR="00841816" w:rsidRPr="00304A3B">
        <w:rPr>
          <w:rFonts w:ascii="Times New Roman" w:hAnsi="Times New Roman" w:cs="Times New Roman"/>
        </w:rPr>
        <w:t xml:space="preserve"> </w:t>
      </w:r>
      <w:r w:rsidR="00771EE3" w:rsidRPr="00304A3B">
        <w:rPr>
          <w:rFonts w:ascii="Times New Roman" w:hAnsi="Times New Roman" w:cs="Times New Roman"/>
        </w:rPr>
        <w:t xml:space="preserve">are the world’s leading knowledge creation centers. They </w:t>
      </w:r>
      <w:r w:rsidR="00841816" w:rsidRPr="00304A3B">
        <w:rPr>
          <w:rFonts w:ascii="Times New Roman" w:hAnsi="Times New Roman" w:cs="Times New Roman"/>
        </w:rPr>
        <w:t>compete in the highest value-added segments of the economy, relying on their significant stock of</w:t>
      </w:r>
      <w:r w:rsidR="00786EE5" w:rsidRPr="00304A3B">
        <w:rPr>
          <w:rFonts w:ascii="Times New Roman" w:hAnsi="Times New Roman" w:cs="Times New Roman"/>
        </w:rPr>
        <w:t xml:space="preserve"> human capital, </w:t>
      </w:r>
      <w:r w:rsidR="00841816" w:rsidRPr="00304A3B">
        <w:rPr>
          <w:rFonts w:ascii="Times New Roman" w:hAnsi="Times New Roman" w:cs="Times New Roman"/>
        </w:rPr>
        <w:t>innovative universities</w:t>
      </w:r>
      <w:r w:rsidR="00FF2395" w:rsidRPr="00304A3B">
        <w:rPr>
          <w:rFonts w:ascii="Times New Roman" w:hAnsi="Times New Roman" w:cs="Times New Roman"/>
        </w:rPr>
        <w:t xml:space="preserve"> and entrepreneurs</w:t>
      </w:r>
      <w:r w:rsidR="00786EE5" w:rsidRPr="00304A3B">
        <w:rPr>
          <w:rFonts w:ascii="Times New Roman" w:hAnsi="Times New Roman" w:cs="Times New Roman"/>
        </w:rPr>
        <w:t>, and relatively sound infrastructure connectivity</w:t>
      </w:r>
      <w:r w:rsidR="00841816" w:rsidRPr="00304A3B">
        <w:rPr>
          <w:rFonts w:ascii="Times New Roman" w:hAnsi="Times New Roman" w:cs="Times New Roman"/>
        </w:rPr>
        <w:t xml:space="preserve">. </w:t>
      </w:r>
    </w:p>
    <w:p w14:paraId="545F038B" w14:textId="34F8D98A" w:rsidR="00D6511E" w:rsidRPr="00304A3B" w:rsidRDefault="009E6E49" w:rsidP="00863DBA">
      <w:pPr>
        <w:spacing w:line="240" w:lineRule="auto"/>
        <w:rPr>
          <w:rFonts w:ascii="Times New Roman" w:hAnsi="Times New Roman" w:cs="Times New Roman"/>
        </w:rPr>
      </w:pPr>
      <w:r w:rsidRPr="00304A3B">
        <w:rPr>
          <w:rFonts w:ascii="Times New Roman" w:hAnsi="Times New Roman" w:cs="Times New Roman"/>
        </w:rPr>
        <w:t xml:space="preserve">These places are supremely well-educated; </w:t>
      </w:r>
      <w:r w:rsidR="00807686" w:rsidRPr="00304A3B">
        <w:rPr>
          <w:rFonts w:ascii="Times New Roman" w:hAnsi="Times New Roman" w:cs="Times New Roman"/>
        </w:rPr>
        <w:t>4</w:t>
      </w:r>
      <w:r w:rsidR="00F84836" w:rsidRPr="00304A3B">
        <w:rPr>
          <w:rFonts w:ascii="Times New Roman" w:hAnsi="Times New Roman" w:cs="Times New Roman"/>
        </w:rPr>
        <w:t>1</w:t>
      </w:r>
      <w:r w:rsidR="00807686" w:rsidRPr="00304A3B">
        <w:rPr>
          <w:rFonts w:ascii="Times New Roman" w:hAnsi="Times New Roman" w:cs="Times New Roman"/>
        </w:rPr>
        <w:t xml:space="preserve"> percent </w:t>
      </w:r>
      <w:r w:rsidR="00417FFD" w:rsidRPr="00304A3B">
        <w:rPr>
          <w:rFonts w:ascii="Times New Roman" w:hAnsi="Times New Roman" w:cs="Times New Roman"/>
        </w:rPr>
        <w:t xml:space="preserve">of </w:t>
      </w:r>
      <w:r w:rsidR="00807686" w:rsidRPr="00304A3B">
        <w:rPr>
          <w:rFonts w:ascii="Times New Roman" w:hAnsi="Times New Roman" w:cs="Times New Roman"/>
        </w:rPr>
        <w:t>the</w:t>
      </w:r>
      <w:r w:rsidR="00F84836" w:rsidRPr="00304A3B">
        <w:rPr>
          <w:rFonts w:ascii="Times New Roman" w:hAnsi="Times New Roman" w:cs="Times New Roman"/>
        </w:rPr>
        <w:t>ir 15-and-over-population</w:t>
      </w:r>
      <w:r w:rsidR="00417FFD" w:rsidRPr="00304A3B">
        <w:rPr>
          <w:rFonts w:ascii="Times New Roman" w:hAnsi="Times New Roman" w:cs="Times New Roman"/>
        </w:rPr>
        <w:t xml:space="preserve"> </w:t>
      </w:r>
      <w:r w:rsidR="00F84836" w:rsidRPr="00304A3B">
        <w:rPr>
          <w:rFonts w:ascii="Times New Roman" w:hAnsi="Times New Roman" w:cs="Times New Roman"/>
        </w:rPr>
        <w:t>has</w:t>
      </w:r>
      <w:r w:rsidR="00417FFD" w:rsidRPr="00304A3B">
        <w:rPr>
          <w:rFonts w:ascii="Times New Roman" w:hAnsi="Times New Roman" w:cs="Times New Roman"/>
        </w:rPr>
        <w:t xml:space="preserve"> obtained a college degree. Many of these are graduates from </w:t>
      </w:r>
      <w:r w:rsidR="00CF70AE" w:rsidRPr="00304A3B">
        <w:rPr>
          <w:rFonts w:ascii="Times New Roman" w:hAnsi="Times New Roman" w:cs="Times New Roman"/>
        </w:rPr>
        <w:t xml:space="preserve">the </w:t>
      </w:r>
      <w:r w:rsidR="00417FFD" w:rsidRPr="00304A3B">
        <w:rPr>
          <w:rFonts w:ascii="Times New Roman" w:hAnsi="Times New Roman" w:cs="Times New Roman"/>
        </w:rPr>
        <w:t>elite research universities that anchor these metro economies distinct position in science</w:t>
      </w:r>
      <w:r w:rsidR="00771EE3" w:rsidRPr="00304A3B">
        <w:rPr>
          <w:rFonts w:ascii="Times New Roman" w:hAnsi="Times New Roman" w:cs="Times New Roman"/>
        </w:rPr>
        <w:t xml:space="preserve"> and technology</w:t>
      </w:r>
      <w:r w:rsidR="00D6511E" w:rsidRPr="00304A3B">
        <w:rPr>
          <w:rFonts w:ascii="Times New Roman" w:hAnsi="Times New Roman" w:cs="Times New Roman"/>
        </w:rPr>
        <w:t xml:space="preserve">. Universities in this </w:t>
      </w:r>
      <w:r w:rsidR="00023B36" w:rsidRPr="00304A3B">
        <w:rPr>
          <w:rFonts w:ascii="Times New Roman" w:hAnsi="Times New Roman" w:cs="Times New Roman"/>
        </w:rPr>
        <w:t>group</w:t>
      </w:r>
      <w:r w:rsidR="00D6511E" w:rsidRPr="00304A3B">
        <w:rPr>
          <w:rFonts w:ascii="Times New Roman" w:hAnsi="Times New Roman" w:cs="Times New Roman"/>
        </w:rPr>
        <w:t xml:space="preserve"> boast the largest share of highly-cited scientific publications. Of the 100 most scientifically impactful universities in the world, 20 are located in these cities. </w:t>
      </w:r>
    </w:p>
    <w:p w14:paraId="1A0822BD" w14:textId="7D565A03" w:rsidR="00D6511E" w:rsidRPr="00304A3B" w:rsidRDefault="00786EE5" w:rsidP="00863DBA">
      <w:pPr>
        <w:spacing w:line="240" w:lineRule="auto"/>
        <w:rPr>
          <w:rFonts w:ascii="Times New Roman" w:hAnsi="Times New Roman" w:cs="Times New Roman"/>
        </w:rPr>
      </w:pPr>
      <w:r w:rsidRPr="00304A3B">
        <w:rPr>
          <w:rFonts w:ascii="Times New Roman" w:hAnsi="Times New Roman" w:cs="Times New Roman"/>
        </w:rPr>
        <w:t>Scientific research tends to translate to new inventions in these regions, which h</w:t>
      </w:r>
      <w:r w:rsidR="00EC48BF" w:rsidRPr="00304A3B">
        <w:rPr>
          <w:rFonts w:ascii="Times New Roman" w:hAnsi="Times New Roman" w:cs="Times New Roman"/>
        </w:rPr>
        <w:t>ave</w:t>
      </w:r>
      <w:r w:rsidRPr="00304A3B">
        <w:rPr>
          <w:rFonts w:ascii="Times New Roman" w:hAnsi="Times New Roman" w:cs="Times New Roman"/>
        </w:rPr>
        <w:t>,</w:t>
      </w:r>
      <w:r w:rsidR="00EC48BF" w:rsidRPr="00304A3B">
        <w:rPr>
          <w:rFonts w:ascii="Times New Roman" w:hAnsi="Times New Roman" w:cs="Times New Roman"/>
        </w:rPr>
        <w:t xml:space="preserve"> the highest average rates of patenting i</w:t>
      </w:r>
      <w:r w:rsidRPr="00304A3B">
        <w:rPr>
          <w:rFonts w:ascii="Times New Roman" w:hAnsi="Times New Roman" w:cs="Times New Roman"/>
        </w:rPr>
        <w:t xml:space="preserve">n the world. </w:t>
      </w:r>
      <w:r w:rsidR="00F84836" w:rsidRPr="00304A3B">
        <w:rPr>
          <w:rFonts w:ascii="Times New Roman" w:hAnsi="Times New Roman" w:cs="Times New Roman"/>
        </w:rPr>
        <w:t xml:space="preserve">With only about </w:t>
      </w:r>
      <w:r w:rsidR="0015723A" w:rsidRPr="00304A3B">
        <w:rPr>
          <w:rFonts w:ascii="Times New Roman" w:hAnsi="Times New Roman" w:cs="Times New Roman"/>
        </w:rPr>
        <w:t xml:space="preserve">1 percent of the world’s population, </w:t>
      </w:r>
      <w:r w:rsidR="00A8624E" w:rsidRPr="00304A3B">
        <w:rPr>
          <w:rFonts w:ascii="Times New Roman" w:hAnsi="Times New Roman" w:cs="Times New Roman"/>
        </w:rPr>
        <w:t>Knowledge Capitals</w:t>
      </w:r>
      <w:r w:rsidR="009E6E49" w:rsidRPr="00304A3B">
        <w:rPr>
          <w:rFonts w:ascii="Times New Roman" w:hAnsi="Times New Roman" w:cs="Times New Roman"/>
        </w:rPr>
        <w:t xml:space="preserve"> generated </w:t>
      </w:r>
      <w:r w:rsidR="00F84836" w:rsidRPr="00304A3B">
        <w:rPr>
          <w:rFonts w:ascii="Times New Roman" w:hAnsi="Times New Roman" w:cs="Times New Roman"/>
        </w:rPr>
        <w:t>16</w:t>
      </w:r>
      <w:r w:rsidR="009E6E49" w:rsidRPr="00304A3B">
        <w:rPr>
          <w:rFonts w:ascii="Times New Roman" w:hAnsi="Times New Roman" w:cs="Times New Roman"/>
        </w:rPr>
        <w:t xml:space="preserve"> percent of global patents</w:t>
      </w:r>
      <w:r w:rsidR="00F84836" w:rsidRPr="00304A3B">
        <w:rPr>
          <w:rFonts w:ascii="Times New Roman" w:hAnsi="Times New Roman" w:cs="Times New Roman"/>
        </w:rPr>
        <w:t xml:space="preserve"> </w:t>
      </w:r>
      <w:r w:rsidR="0015723A" w:rsidRPr="00304A3B">
        <w:rPr>
          <w:rFonts w:ascii="Times New Roman" w:hAnsi="Times New Roman" w:cs="Times New Roman"/>
        </w:rPr>
        <w:t>between 2008 and 2012</w:t>
      </w:r>
      <w:r w:rsidR="00D6511E" w:rsidRPr="00304A3B">
        <w:rPr>
          <w:rFonts w:ascii="Times New Roman" w:hAnsi="Times New Roman" w:cs="Times New Roman"/>
        </w:rPr>
        <w:t xml:space="preserve">, and even higher shares </w:t>
      </w:r>
      <w:r w:rsidR="006F1551">
        <w:rPr>
          <w:rFonts w:ascii="Times New Roman" w:hAnsi="Times New Roman" w:cs="Times New Roman"/>
        </w:rPr>
        <w:t>of patents in</w:t>
      </w:r>
      <w:r w:rsidR="00D6511E" w:rsidRPr="00304A3B">
        <w:rPr>
          <w:rFonts w:ascii="Times New Roman" w:hAnsi="Times New Roman" w:cs="Times New Roman"/>
        </w:rPr>
        <w:t xml:space="preserve"> information technology (22 percent) and life sciences (19 percent)</w:t>
      </w:r>
      <w:r w:rsidR="00023B36" w:rsidRPr="00304A3B">
        <w:rPr>
          <w:rFonts w:ascii="Times New Roman" w:hAnsi="Times New Roman" w:cs="Times New Roman"/>
        </w:rPr>
        <w:t>. These markets launch h</w:t>
      </w:r>
      <w:r w:rsidR="00FF2395" w:rsidRPr="00304A3B">
        <w:rPr>
          <w:rFonts w:ascii="Times New Roman" w:hAnsi="Times New Roman" w:cs="Times New Roman"/>
        </w:rPr>
        <w:t xml:space="preserve">igh-growth companies. </w:t>
      </w:r>
      <w:r w:rsidR="00023B36" w:rsidRPr="00304A3B">
        <w:rPr>
          <w:rFonts w:ascii="Times New Roman" w:hAnsi="Times New Roman" w:cs="Times New Roman"/>
        </w:rPr>
        <w:t>Knowledge Capitals have</w:t>
      </w:r>
      <w:r w:rsidR="00FF2395" w:rsidRPr="00304A3B">
        <w:rPr>
          <w:rFonts w:ascii="Times New Roman" w:hAnsi="Times New Roman" w:cs="Times New Roman"/>
        </w:rPr>
        <w:t xml:space="preserve">, by far, the highest venture capital investment rates per capita in the world, led by San Jose, San Francisco, and Boston. </w:t>
      </w:r>
      <w:r w:rsidR="00965D20" w:rsidRPr="00304A3B">
        <w:rPr>
          <w:rFonts w:ascii="Times New Roman" w:hAnsi="Times New Roman" w:cs="Times New Roman"/>
        </w:rPr>
        <w:t xml:space="preserve">More than half of all </w:t>
      </w:r>
      <w:r w:rsidR="00162906" w:rsidRPr="00304A3B">
        <w:rPr>
          <w:rFonts w:ascii="Times New Roman" w:hAnsi="Times New Roman" w:cs="Times New Roman"/>
        </w:rPr>
        <w:t xml:space="preserve">global </w:t>
      </w:r>
      <w:r w:rsidR="00965D20" w:rsidRPr="00304A3B">
        <w:rPr>
          <w:rFonts w:ascii="Times New Roman" w:hAnsi="Times New Roman" w:cs="Times New Roman"/>
        </w:rPr>
        <w:t xml:space="preserve">venture capital funding flowed to these 19 markets over the past decade. </w:t>
      </w:r>
    </w:p>
    <w:p w14:paraId="1982B92E" w14:textId="3168DB20" w:rsidR="00203710" w:rsidRPr="00304A3B" w:rsidRDefault="00203710" w:rsidP="00203710">
      <w:pPr>
        <w:pStyle w:val="Caption"/>
        <w:keepNext/>
        <w:spacing w:after="0"/>
        <w:rPr>
          <w:rFonts w:ascii="Times New Roman" w:hAnsi="Times New Roman" w:cs="Times New Roman"/>
          <w:color w:val="auto"/>
          <w:sz w:val="22"/>
          <w:szCs w:val="22"/>
        </w:rPr>
      </w:pPr>
      <w:proofErr w:type="gramStart"/>
      <w:r w:rsidRPr="00304A3B">
        <w:rPr>
          <w:rFonts w:ascii="Times New Roman" w:hAnsi="Times New Roman" w:cs="Times New Roman"/>
          <w:color w:val="auto"/>
          <w:sz w:val="22"/>
          <w:szCs w:val="22"/>
        </w:rPr>
        <w:t xml:space="preserve">Figure </w:t>
      </w:r>
      <w:r w:rsidRPr="00304A3B">
        <w:rPr>
          <w:rFonts w:ascii="Times New Roman" w:hAnsi="Times New Roman" w:cs="Times New Roman"/>
          <w:color w:val="auto"/>
          <w:sz w:val="22"/>
          <w:szCs w:val="22"/>
        </w:rPr>
        <w:fldChar w:fldCharType="begin"/>
      </w:r>
      <w:r w:rsidRPr="00304A3B">
        <w:rPr>
          <w:rFonts w:ascii="Times New Roman" w:hAnsi="Times New Roman" w:cs="Times New Roman"/>
          <w:color w:val="auto"/>
          <w:sz w:val="22"/>
          <w:szCs w:val="22"/>
        </w:rPr>
        <w:instrText xml:space="preserve"> SEQ Figure \* ARABIC </w:instrText>
      </w:r>
      <w:r w:rsidRPr="00304A3B">
        <w:rPr>
          <w:rFonts w:ascii="Times New Roman" w:hAnsi="Times New Roman" w:cs="Times New Roman"/>
          <w:color w:val="auto"/>
          <w:sz w:val="22"/>
          <w:szCs w:val="22"/>
        </w:rPr>
        <w:fldChar w:fldCharType="separate"/>
      </w:r>
      <w:r w:rsidR="00417F4D" w:rsidRPr="00304A3B">
        <w:rPr>
          <w:rFonts w:ascii="Times New Roman" w:hAnsi="Times New Roman" w:cs="Times New Roman"/>
          <w:noProof/>
          <w:color w:val="auto"/>
          <w:sz w:val="22"/>
          <w:szCs w:val="22"/>
        </w:rPr>
        <w:t>1</w:t>
      </w:r>
      <w:r w:rsidRPr="00304A3B">
        <w:rPr>
          <w:rFonts w:ascii="Times New Roman" w:hAnsi="Times New Roman" w:cs="Times New Roman"/>
          <w:color w:val="auto"/>
          <w:sz w:val="22"/>
          <w:szCs w:val="22"/>
        </w:rPr>
        <w:fldChar w:fldCharType="end"/>
      </w:r>
      <w:r w:rsidR="00E40B21" w:rsidRPr="00304A3B">
        <w:rPr>
          <w:rFonts w:ascii="Times New Roman" w:hAnsi="Times New Roman" w:cs="Times New Roman"/>
          <w:color w:val="auto"/>
          <w:sz w:val="22"/>
          <w:szCs w:val="22"/>
        </w:rPr>
        <w:t>3</w:t>
      </w:r>
      <w:r w:rsidRPr="00304A3B">
        <w:rPr>
          <w:rFonts w:ascii="Times New Roman" w:hAnsi="Times New Roman" w:cs="Times New Roman"/>
          <w:color w:val="auto"/>
          <w:sz w:val="22"/>
          <w:szCs w:val="22"/>
        </w:rPr>
        <w:t>.</w:t>
      </w:r>
      <w:proofErr w:type="gramEnd"/>
      <w:r w:rsidRPr="00304A3B">
        <w:rPr>
          <w:rFonts w:ascii="Times New Roman" w:hAnsi="Times New Roman" w:cs="Times New Roman"/>
          <w:color w:val="auto"/>
          <w:sz w:val="22"/>
          <w:szCs w:val="22"/>
        </w:rPr>
        <w:t xml:space="preserve"> </w:t>
      </w:r>
      <w:r w:rsidR="00B22D8B" w:rsidRPr="00304A3B">
        <w:rPr>
          <w:rFonts w:ascii="Times New Roman" w:hAnsi="Times New Roman" w:cs="Times New Roman"/>
          <w:color w:val="auto"/>
          <w:sz w:val="22"/>
          <w:szCs w:val="22"/>
        </w:rPr>
        <w:t xml:space="preserve">Global Share of </w:t>
      </w:r>
      <w:r w:rsidR="00422A62">
        <w:rPr>
          <w:rFonts w:ascii="Times New Roman" w:hAnsi="Times New Roman" w:cs="Times New Roman"/>
          <w:color w:val="auto"/>
          <w:sz w:val="22"/>
          <w:szCs w:val="22"/>
        </w:rPr>
        <w:t>i</w:t>
      </w:r>
      <w:r w:rsidR="00B22D8B" w:rsidRPr="00304A3B">
        <w:rPr>
          <w:rFonts w:ascii="Times New Roman" w:hAnsi="Times New Roman" w:cs="Times New Roman"/>
          <w:color w:val="auto"/>
          <w:sz w:val="22"/>
          <w:szCs w:val="22"/>
        </w:rPr>
        <w:t xml:space="preserve">nnovation </w:t>
      </w:r>
      <w:r w:rsidR="00422A62">
        <w:rPr>
          <w:rFonts w:ascii="Times New Roman" w:hAnsi="Times New Roman" w:cs="Times New Roman"/>
          <w:color w:val="auto"/>
          <w:sz w:val="22"/>
          <w:szCs w:val="22"/>
        </w:rPr>
        <w:t>a</w:t>
      </w:r>
      <w:r w:rsidR="00B22D8B" w:rsidRPr="00304A3B">
        <w:rPr>
          <w:rFonts w:ascii="Times New Roman" w:hAnsi="Times New Roman" w:cs="Times New Roman"/>
          <w:color w:val="auto"/>
          <w:sz w:val="22"/>
          <w:szCs w:val="22"/>
        </w:rPr>
        <w:t>ssets</w:t>
      </w:r>
      <w:r w:rsidR="00422A62">
        <w:rPr>
          <w:rFonts w:ascii="Times New Roman" w:hAnsi="Times New Roman" w:cs="Times New Roman"/>
          <w:color w:val="auto"/>
          <w:sz w:val="22"/>
          <w:szCs w:val="22"/>
        </w:rPr>
        <w:t xml:space="preserve"> in </w:t>
      </w:r>
      <w:r w:rsidR="00B22D8B" w:rsidRPr="00304A3B">
        <w:rPr>
          <w:rFonts w:ascii="Times New Roman" w:hAnsi="Times New Roman" w:cs="Times New Roman"/>
          <w:color w:val="auto"/>
          <w:sz w:val="22"/>
          <w:szCs w:val="22"/>
        </w:rPr>
        <w:t xml:space="preserve">Knowledge Capital </w:t>
      </w:r>
      <w:r w:rsidR="00422A62">
        <w:rPr>
          <w:rFonts w:ascii="Times New Roman" w:hAnsi="Times New Roman" w:cs="Times New Roman"/>
          <w:color w:val="auto"/>
          <w:sz w:val="22"/>
          <w:szCs w:val="22"/>
        </w:rPr>
        <w:t>m</w:t>
      </w:r>
      <w:r w:rsidR="00B22D8B" w:rsidRPr="00304A3B">
        <w:rPr>
          <w:rFonts w:ascii="Times New Roman" w:hAnsi="Times New Roman" w:cs="Times New Roman"/>
          <w:color w:val="auto"/>
          <w:sz w:val="22"/>
          <w:szCs w:val="22"/>
        </w:rPr>
        <w:t>etro</w:t>
      </w:r>
      <w:r w:rsidR="00422A62">
        <w:rPr>
          <w:rFonts w:ascii="Times New Roman" w:hAnsi="Times New Roman" w:cs="Times New Roman"/>
          <w:color w:val="auto"/>
          <w:sz w:val="22"/>
          <w:szCs w:val="22"/>
        </w:rPr>
        <w:t>s, 2015 or most recent year available</w:t>
      </w:r>
    </w:p>
    <w:p w14:paraId="2071A935" w14:textId="58F019BF" w:rsidR="00203710" w:rsidRPr="00304A3B" w:rsidRDefault="00203710" w:rsidP="00863DBA">
      <w:pPr>
        <w:spacing w:line="240" w:lineRule="auto"/>
        <w:rPr>
          <w:rFonts w:ascii="Times New Roman" w:hAnsi="Times New Roman" w:cs="Times New Roman"/>
        </w:rPr>
      </w:pPr>
    </w:p>
    <w:p w14:paraId="4FAC9A87" w14:textId="18D48E5B" w:rsidR="00542C7B" w:rsidRPr="00304A3B" w:rsidRDefault="00786EE5" w:rsidP="00863DBA">
      <w:pPr>
        <w:spacing w:line="240" w:lineRule="auto"/>
        <w:rPr>
          <w:rFonts w:ascii="Times New Roman" w:hAnsi="Times New Roman" w:cs="Times New Roman"/>
        </w:rPr>
      </w:pPr>
      <w:r w:rsidRPr="00304A3B">
        <w:rPr>
          <w:rFonts w:ascii="Times New Roman" w:hAnsi="Times New Roman" w:cs="Times New Roman"/>
        </w:rPr>
        <w:t xml:space="preserve">Finally, controlling for their population size, these metro economies have the greatest volume of aviation passengers in the world, signifying the substantial </w:t>
      </w:r>
      <w:r w:rsidR="009E6E49" w:rsidRPr="00304A3B">
        <w:rPr>
          <w:rFonts w:ascii="Times New Roman" w:hAnsi="Times New Roman" w:cs="Times New Roman"/>
        </w:rPr>
        <w:t>flows</w:t>
      </w:r>
      <w:r w:rsidRPr="00304A3B">
        <w:rPr>
          <w:rFonts w:ascii="Times New Roman" w:hAnsi="Times New Roman" w:cs="Times New Roman"/>
        </w:rPr>
        <w:t xml:space="preserve"> of business and leisur</w:t>
      </w:r>
      <w:r w:rsidR="009E6E49" w:rsidRPr="00304A3B">
        <w:rPr>
          <w:rFonts w:ascii="Times New Roman" w:hAnsi="Times New Roman" w:cs="Times New Roman"/>
        </w:rPr>
        <w:t>e travelers flocking to these places</w:t>
      </w:r>
      <w:r w:rsidRPr="00304A3B">
        <w:rPr>
          <w:rFonts w:ascii="Times New Roman" w:hAnsi="Times New Roman" w:cs="Times New Roman"/>
        </w:rPr>
        <w:t>.</w:t>
      </w:r>
      <w:r w:rsidR="009E1442" w:rsidRPr="00304A3B">
        <w:rPr>
          <w:rFonts w:ascii="Times New Roman" w:hAnsi="Times New Roman" w:cs="Times New Roman"/>
        </w:rPr>
        <w:t xml:space="preserve"> However, f</w:t>
      </w:r>
      <w:r w:rsidR="00F46B51" w:rsidRPr="00304A3B">
        <w:rPr>
          <w:rFonts w:ascii="Times New Roman" w:hAnsi="Times New Roman" w:cs="Times New Roman"/>
        </w:rPr>
        <w:t>oreign direct investment inflows are not as substantial</w:t>
      </w:r>
      <w:r w:rsidR="009E1442" w:rsidRPr="00304A3B">
        <w:rPr>
          <w:rFonts w:ascii="Times New Roman" w:hAnsi="Times New Roman" w:cs="Times New Roman"/>
        </w:rPr>
        <w:t xml:space="preserve"> </w:t>
      </w:r>
      <w:r w:rsidR="00F46B51" w:rsidRPr="00304A3B">
        <w:rPr>
          <w:rFonts w:ascii="Times New Roman" w:hAnsi="Times New Roman" w:cs="Times New Roman"/>
        </w:rPr>
        <w:t xml:space="preserve">as </w:t>
      </w:r>
      <w:r w:rsidR="009E1442" w:rsidRPr="00304A3B">
        <w:rPr>
          <w:rFonts w:ascii="Times New Roman" w:hAnsi="Times New Roman" w:cs="Times New Roman"/>
        </w:rPr>
        <w:t xml:space="preserve">other </w:t>
      </w:r>
      <w:r w:rsidR="00023B36" w:rsidRPr="00304A3B">
        <w:rPr>
          <w:rFonts w:ascii="Times New Roman" w:hAnsi="Times New Roman" w:cs="Times New Roman"/>
        </w:rPr>
        <w:t>groupings</w:t>
      </w:r>
      <w:r w:rsidR="009E1442" w:rsidRPr="00304A3B">
        <w:rPr>
          <w:rFonts w:ascii="Times New Roman" w:hAnsi="Times New Roman" w:cs="Times New Roman"/>
        </w:rPr>
        <w:t xml:space="preserve">, revealing that, for all their assets, many of these mid-sized metros must proactively </w:t>
      </w:r>
      <w:r w:rsidR="00F94FF4" w:rsidRPr="00304A3B">
        <w:rPr>
          <w:rFonts w:ascii="Times New Roman" w:hAnsi="Times New Roman" w:cs="Times New Roman"/>
        </w:rPr>
        <w:t>assert their visibility</w:t>
      </w:r>
      <w:r w:rsidR="009E1442" w:rsidRPr="00304A3B">
        <w:rPr>
          <w:rFonts w:ascii="Times New Roman" w:hAnsi="Times New Roman" w:cs="Times New Roman"/>
        </w:rPr>
        <w:t xml:space="preserve"> in the global marketplace.</w:t>
      </w:r>
    </w:p>
    <w:p w14:paraId="5FDCFCD7" w14:textId="28274F76" w:rsidR="00D6511E" w:rsidRPr="00304A3B" w:rsidRDefault="00A8624E" w:rsidP="00D6511E">
      <w:pPr>
        <w:spacing w:line="240" w:lineRule="auto"/>
        <w:rPr>
          <w:rFonts w:ascii="Times New Roman" w:hAnsi="Times New Roman" w:cs="Times New Roman"/>
        </w:rPr>
      </w:pPr>
      <w:r w:rsidRPr="00304A3B">
        <w:rPr>
          <w:rFonts w:ascii="Times New Roman" w:hAnsi="Times New Roman" w:cs="Times New Roman"/>
        </w:rPr>
        <w:t>Knowledge Capitals</w:t>
      </w:r>
      <w:r w:rsidR="00D6511E" w:rsidRPr="00304A3B">
        <w:rPr>
          <w:rFonts w:ascii="Times New Roman" w:hAnsi="Times New Roman" w:cs="Times New Roman"/>
        </w:rPr>
        <w:t xml:space="preserve"> overwhelmingly are located in the United States. All but two (Stockholm and Zurich) are U.S. cities, including well-known coastal innovation hubs like Boston, San Francisco, San Jose, and Seattle. But it also includes metro economies in the Midwest (Chicago, Minneapolis-Saint Paul) and South (Atlanta, Austin, Dallas, Houston)</w:t>
      </w:r>
      <w:r w:rsidR="00162906" w:rsidRPr="00304A3B">
        <w:rPr>
          <w:rFonts w:ascii="Times New Roman" w:hAnsi="Times New Roman" w:cs="Times New Roman"/>
        </w:rPr>
        <w:t>,</w:t>
      </w:r>
      <w:r w:rsidR="00D6511E" w:rsidRPr="00304A3B">
        <w:rPr>
          <w:rFonts w:ascii="Times New Roman" w:hAnsi="Times New Roman" w:cs="Times New Roman"/>
        </w:rPr>
        <w:t xml:space="preserve"> which now tend to compete in technology-intensive advanced industries across both manufacturing and services.</w:t>
      </w:r>
      <w:r w:rsidR="00D6511E" w:rsidRPr="00304A3B">
        <w:rPr>
          <w:rStyle w:val="EndnoteReference"/>
          <w:rFonts w:ascii="Times New Roman" w:hAnsi="Times New Roman" w:cs="Times New Roman"/>
        </w:rPr>
        <w:endnoteReference w:id="66"/>
      </w:r>
      <w:r w:rsidR="00D6511E" w:rsidRPr="00304A3B">
        <w:rPr>
          <w:rFonts w:ascii="Times New Roman" w:hAnsi="Times New Roman" w:cs="Times New Roman"/>
        </w:rPr>
        <w:t xml:space="preserve"> Stockholm and Zurich represent two of Europe’s wealthiest and most productive economies, specializing in professional, scientific, and technical services, finance, and information technology. Overall, output per worker in these metro areas is 9 percent higher than the next most productive </w:t>
      </w:r>
      <w:r w:rsidR="00023B36" w:rsidRPr="00304A3B">
        <w:rPr>
          <w:rFonts w:ascii="Times New Roman" w:hAnsi="Times New Roman" w:cs="Times New Roman"/>
        </w:rPr>
        <w:t>metro grouping</w:t>
      </w:r>
      <w:r w:rsidR="00D6511E" w:rsidRPr="00304A3B">
        <w:rPr>
          <w:rFonts w:ascii="Times New Roman" w:hAnsi="Times New Roman" w:cs="Times New Roman"/>
        </w:rPr>
        <w:t xml:space="preserve">. </w:t>
      </w:r>
    </w:p>
    <w:p w14:paraId="44221E17" w14:textId="475CAAEE" w:rsidR="00786EE5" w:rsidRPr="00304A3B" w:rsidRDefault="00A8624E" w:rsidP="00863DBA">
      <w:pPr>
        <w:spacing w:line="240" w:lineRule="auto"/>
        <w:rPr>
          <w:rFonts w:ascii="Times New Roman" w:hAnsi="Times New Roman" w:cs="Times New Roman"/>
        </w:rPr>
      </w:pPr>
      <w:r w:rsidRPr="00304A3B">
        <w:rPr>
          <w:rFonts w:ascii="Times New Roman" w:hAnsi="Times New Roman" w:cs="Times New Roman"/>
        </w:rPr>
        <w:lastRenderedPageBreak/>
        <w:t>Knowledge Capitals</w:t>
      </w:r>
      <w:r w:rsidR="00064156" w:rsidRPr="00304A3B">
        <w:rPr>
          <w:rFonts w:ascii="Times New Roman" w:hAnsi="Times New Roman" w:cs="Times New Roman"/>
        </w:rPr>
        <w:t xml:space="preserve"> are not only more productive than the rest of their advanced economy peers, the gap is widening. </w:t>
      </w:r>
      <w:r w:rsidR="00965D20" w:rsidRPr="00304A3B">
        <w:rPr>
          <w:rFonts w:ascii="Times New Roman" w:hAnsi="Times New Roman" w:cs="Times New Roman"/>
        </w:rPr>
        <w:t xml:space="preserve">Between 2000 and 2015, annual GDP per capita and GDP per worker growth averaged 0.9 and 1.4 percent, respectively, </w:t>
      </w:r>
      <w:r w:rsidR="006F1551">
        <w:rPr>
          <w:rFonts w:ascii="Times New Roman" w:hAnsi="Times New Roman" w:cs="Times New Roman"/>
        </w:rPr>
        <w:t>in Knowledge Capitals</w:t>
      </w:r>
      <w:r w:rsidR="00965D20" w:rsidRPr="00304A3B">
        <w:rPr>
          <w:rFonts w:ascii="Times New Roman" w:hAnsi="Times New Roman" w:cs="Times New Roman"/>
        </w:rPr>
        <w:t xml:space="preserve">. </w:t>
      </w:r>
      <w:r w:rsidR="008777D7" w:rsidRPr="00304A3B">
        <w:rPr>
          <w:rFonts w:ascii="Times New Roman" w:hAnsi="Times New Roman" w:cs="Times New Roman"/>
        </w:rPr>
        <w:t xml:space="preserve">This is by no means a blistering pace, but these </w:t>
      </w:r>
      <w:r w:rsidR="00D6511E" w:rsidRPr="00304A3B">
        <w:rPr>
          <w:rFonts w:ascii="Times New Roman" w:hAnsi="Times New Roman" w:cs="Times New Roman"/>
        </w:rPr>
        <w:t>growth rates</w:t>
      </w:r>
      <w:r w:rsidR="008777D7" w:rsidRPr="00304A3B">
        <w:rPr>
          <w:rFonts w:ascii="Times New Roman" w:hAnsi="Times New Roman" w:cs="Times New Roman"/>
        </w:rPr>
        <w:t xml:space="preserve"> are </w:t>
      </w:r>
      <w:r w:rsidR="00965D20" w:rsidRPr="00304A3B">
        <w:rPr>
          <w:rFonts w:ascii="Times New Roman" w:hAnsi="Times New Roman" w:cs="Times New Roman"/>
        </w:rPr>
        <w:t xml:space="preserve">37 percent and 69 percent faster, respectively, </w:t>
      </w:r>
      <w:proofErr w:type="gramStart"/>
      <w:r w:rsidR="00965D20" w:rsidRPr="00304A3B">
        <w:rPr>
          <w:rFonts w:ascii="Times New Roman" w:hAnsi="Times New Roman" w:cs="Times New Roman"/>
        </w:rPr>
        <w:t>then</w:t>
      </w:r>
      <w:proofErr w:type="gramEnd"/>
      <w:r w:rsidR="00965D20" w:rsidRPr="00304A3B">
        <w:rPr>
          <w:rFonts w:ascii="Times New Roman" w:hAnsi="Times New Roman" w:cs="Times New Roman"/>
        </w:rPr>
        <w:t xml:space="preserve"> average growth rates across the ot</w:t>
      </w:r>
      <w:r w:rsidR="00023B36" w:rsidRPr="00304A3B">
        <w:rPr>
          <w:rFonts w:ascii="Times New Roman" w:hAnsi="Times New Roman" w:cs="Times New Roman"/>
        </w:rPr>
        <w:t xml:space="preserve">her three </w:t>
      </w:r>
      <w:r w:rsidR="00C052B4" w:rsidRPr="00304A3B">
        <w:rPr>
          <w:rFonts w:ascii="Times New Roman" w:hAnsi="Times New Roman" w:cs="Times New Roman"/>
        </w:rPr>
        <w:t>developed</w:t>
      </w:r>
      <w:r w:rsidR="00023B36" w:rsidRPr="00304A3B">
        <w:rPr>
          <w:rFonts w:ascii="Times New Roman" w:hAnsi="Times New Roman" w:cs="Times New Roman"/>
        </w:rPr>
        <w:t xml:space="preserve"> economy groupings</w:t>
      </w:r>
      <w:r w:rsidR="00965D20" w:rsidRPr="00304A3B">
        <w:rPr>
          <w:rFonts w:ascii="Times New Roman" w:hAnsi="Times New Roman" w:cs="Times New Roman"/>
        </w:rPr>
        <w:t xml:space="preserve">. </w:t>
      </w:r>
    </w:p>
    <w:p w14:paraId="09D1DDFA" w14:textId="3997440E" w:rsidR="00162906" w:rsidRPr="00304A3B" w:rsidRDefault="00222EB4" w:rsidP="006168B6">
      <w:pPr>
        <w:spacing w:line="240" w:lineRule="auto"/>
        <w:rPr>
          <w:rFonts w:ascii="Times New Roman" w:hAnsi="Times New Roman" w:cs="Times New Roman"/>
          <w:b/>
        </w:rPr>
      </w:pPr>
      <w:r w:rsidRPr="00304A3B">
        <w:rPr>
          <w:rFonts w:ascii="Times New Roman" w:hAnsi="Times New Roman" w:cs="Times New Roman"/>
          <w:b/>
        </w:rPr>
        <w:t xml:space="preserve">American </w:t>
      </w:r>
      <w:r w:rsidR="0070286A" w:rsidRPr="00304A3B">
        <w:rPr>
          <w:rFonts w:ascii="Times New Roman" w:hAnsi="Times New Roman" w:cs="Times New Roman"/>
          <w:b/>
        </w:rPr>
        <w:t>Middleweights</w:t>
      </w:r>
    </w:p>
    <w:p w14:paraId="6A7DE365" w14:textId="51A4442F" w:rsidR="006168B6" w:rsidRDefault="008F183F" w:rsidP="006168B6">
      <w:pPr>
        <w:spacing w:line="240" w:lineRule="auto"/>
        <w:rPr>
          <w:rFonts w:ascii="Times New Roman" w:hAnsi="Times New Roman" w:cs="Times New Roman"/>
        </w:rPr>
      </w:pPr>
      <w:r w:rsidRPr="00304A3B">
        <w:rPr>
          <w:rFonts w:ascii="Times New Roman" w:hAnsi="Times New Roman" w:cs="Times New Roman"/>
        </w:rPr>
        <w:t>Sixteen cities form</w:t>
      </w:r>
      <w:r w:rsidR="006168B6" w:rsidRPr="00304A3B">
        <w:rPr>
          <w:rFonts w:ascii="Times New Roman" w:hAnsi="Times New Roman" w:cs="Times New Roman"/>
        </w:rPr>
        <w:t xml:space="preserve"> the </w:t>
      </w:r>
      <w:r w:rsidR="00896000" w:rsidRPr="00304A3B">
        <w:rPr>
          <w:rFonts w:ascii="Times New Roman" w:hAnsi="Times New Roman" w:cs="Times New Roman"/>
          <w:b/>
        </w:rPr>
        <w:t>American Middleweights</w:t>
      </w:r>
      <w:r w:rsidR="006168B6" w:rsidRPr="00304A3B">
        <w:rPr>
          <w:rFonts w:ascii="Times New Roman" w:hAnsi="Times New Roman" w:cs="Times New Roman"/>
        </w:rPr>
        <w:t xml:space="preserve">. </w:t>
      </w:r>
      <w:r w:rsidRPr="00304A3B">
        <w:rPr>
          <w:rFonts w:ascii="Times New Roman" w:hAnsi="Times New Roman" w:cs="Times New Roman"/>
        </w:rPr>
        <w:t>M</w:t>
      </w:r>
      <w:r w:rsidR="006168B6" w:rsidRPr="00304A3B">
        <w:rPr>
          <w:rFonts w:ascii="Times New Roman" w:hAnsi="Times New Roman" w:cs="Times New Roman"/>
        </w:rPr>
        <w:t>etropolitan areas in this group are almost evenly divided betwee</w:t>
      </w:r>
      <w:r w:rsidR="00162906" w:rsidRPr="00304A3B">
        <w:rPr>
          <w:rFonts w:ascii="Times New Roman" w:hAnsi="Times New Roman" w:cs="Times New Roman"/>
        </w:rPr>
        <w:t>n</w:t>
      </w:r>
      <w:r w:rsidR="006168B6" w:rsidRPr="00304A3B">
        <w:rPr>
          <w:rFonts w:ascii="Times New Roman" w:hAnsi="Times New Roman" w:cs="Times New Roman"/>
        </w:rPr>
        <w:t xml:space="preserve"> </w:t>
      </w:r>
      <w:r w:rsidR="00A676D9" w:rsidRPr="00304A3B">
        <w:rPr>
          <w:rFonts w:ascii="Times New Roman" w:hAnsi="Times New Roman" w:cs="Times New Roman"/>
        </w:rPr>
        <w:t>mid-sized production</w:t>
      </w:r>
      <w:r w:rsidR="006168B6" w:rsidRPr="00304A3B">
        <w:rPr>
          <w:rFonts w:ascii="Times New Roman" w:hAnsi="Times New Roman" w:cs="Times New Roman"/>
        </w:rPr>
        <w:t xml:space="preserve"> centers </w:t>
      </w:r>
      <w:r w:rsidR="007B4F1E" w:rsidRPr="00304A3B">
        <w:rPr>
          <w:rFonts w:ascii="Times New Roman" w:hAnsi="Times New Roman" w:cs="Times New Roman"/>
        </w:rPr>
        <w:t>in America’s north and east</w:t>
      </w:r>
      <w:r w:rsidR="00162906" w:rsidRPr="00304A3B">
        <w:rPr>
          <w:rFonts w:ascii="Times New Roman" w:hAnsi="Times New Roman" w:cs="Times New Roman"/>
        </w:rPr>
        <w:t xml:space="preserve"> </w:t>
      </w:r>
      <w:r w:rsidR="006168B6" w:rsidRPr="00304A3B">
        <w:rPr>
          <w:rFonts w:ascii="Times New Roman" w:hAnsi="Times New Roman" w:cs="Times New Roman"/>
        </w:rPr>
        <w:t>(Cincinnati, Clev</w:t>
      </w:r>
      <w:r w:rsidR="00F724F3" w:rsidRPr="00304A3B">
        <w:rPr>
          <w:rFonts w:ascii="Times New Roman" w:hAnsi="Times New Roman" w:cs="Times New Roman"/>
        </w:rPr>
        <w:t xml:space="preserve">eland, Pittsburgh, Indianapolis, </w:t>
      </w:r>
      <w:r w:rsidR="006168B6" w:rsidRPr="00304A3B">
        <w:rPr>
          <w:rFonts w:ascii="Times New Roman" w:hAnsi="Times New Roman" w:cs="Times New Roman"/>
        </w:rPr>
        <w:t>Detroit) and southern cities</w:t>
      </w:r>
      <w:r w:rsidR="00896000" w:rsidRPr="00304A3B">
        <w:rPr>
          <w:rFonts w:ascii="Times New Roman" w:hAnsi="Times New Roman" w:cs="Times New Roman"/>
        </w:rPr>
        <w:t xml:space="preserve"> that have experienced significant population growth</w:t>
      </w:r>
      <w:r w:rsidR="006168B6" w:rsidRPr="00304A3B">
        <w:rPr>
          <w:rFonts w:ascii="Times New Roman" w:hAnsi="Times New Roman" w:cs="Times New Roman"/>
        </w:rPr>
        <w:t xml:space="preserve"> (Miami, Phoenix, Orland</w:t>
      </w:r>
      <w:r w:rsidR="00F334E8" w:rsidRPr="00304A3B">
        <w:rPr>
          <w:rFonts w:ascii="Times New Roman" w:hAnsi="Times New Roman" w:cs="Times New Roman"/>
        </w:rPr>
        <w:t>o, St. Louis, Tampa, Sacramento</w:t>
      </w:r>
      <w:r w:rsidR="006168B6" w:rsidRPr="00304A3B">
        <w:rPr>
          <w:rFonts w:ascii="Times New Roman" w:hAnsi="Times New Roman" w:cs="Times New Roman"/>
        </w:rPr>
        <w:t xml:space="preserve">). The average metropolitan area in this group has 3 million inhabitants, </w:t>
      </w:r>
      <w:r w:rsidR="00162906" w:rsidRPr="00304A3B">
        <w:rPr>
          <w:rFonts w:ascii="Times New Roman" w:hAnsi="Times New Roman" w:cs="Times New Roman"/>
        </w:rPr>
        <w:t>generates</w:t>
      </w:r>
      <w:r w:rsidR="006168B6" w:rsidRPr="00304A3B">
        <w:rPr>
          <w:rFonts w:ascii="Times New Roman" w:hAnsi="Times New Roman" w:cs="Times New Roman"/>
        </w:rPr>
        <w:t xml:space="preserve"> $1</w:t>
      </w:r>
      <w:r w:rsidR="00C706CB" w:rsidRPr="00304A3B">
        <w:rPr>
          <w:rFonts w:ascii="Times New Roman" w:hAnsi="Times New Roman" w:cs="Times New Roman"/>
        </w:rPr>
        <w:t>49</w:t>
      </w:r>
      <w:r w:rsidR="00575597" w:rsidRPr="00304A3B">
        <w:rPr>
          <w:rFonts w:ascii="Times New Roman" w:hAnsi="Times New Roman" w:cs="Times New Roman"/>
        </w:rPr>
        <w:t xml:space="preserve"> billion</w:t>
      </w:r>
      <w:r w:rsidR="006168B6" w:rsidRPr="00304A3B">
        <w:rPr>
          <w:rFonts w:ascii="Times New Roman" w:hAnsi="Times New Roman" w:cs="Times New Roman"/>
        </w:rPr>
        <w:t xml:space="preserve"> </w:t>
      </w:r>
      <w:r w:rsidR="00162906" w:rsidRPr="00304A3B">
        <w:rPr>
          <w:rFonts w:ascii="Times New Roman" w:hAnsi="Times New Roman" w:cs="Times New Roman"/>
        </w:rPr>
        <w:t xml:space="preserve">in </w:t>
      </w:r>
      <w:r w:rsidR="00C706CB" w:rsidRPr="00304A3B">
        <w:rPr>
          <w:rFonts w:ascii="Times New Roman" w:hAnsi="Times New Roman" w:cs="Times New Roman"/>
        </w:rPr>
        <w:t xml:space="preserve">nominal </w:t>
      </w:r>
      <w:r w:rsidR="00162906" w:rsidRPr="00304A3B">
        <w:rPr>
          <w:rFonts w:ascii="Times New Roman" w:hAnsi="Times New Roman" w:cs="Times New Roman"/>
        </w:rPr>
        <w:t>output, and has a</w:t>
      </w:r>
      <w:r w:rsidR="00C706CB" w:rsidRPr="00304A3B">
        <w:rPr>
          <w:rFonts w:ascii="Times New Roman" w:hAnsi="Times New Roman" w:cs="Times New Roman"/>
        </w:rPr>
        <w:t xml:space="preserve"> nominal</w:t>
      </w:r>
      <w:r w:rsidR="00162906" w:rsidRPr="00304A3B">
        <w:rPr>
          <w:rFonts w:ascii="Times New Roman" w:hAnsi="Times New Roman" w:cs="Times New Roman"/>
        </w:rPr>
        <w:t xml:space="preserve"> GDP</w:t>
      </w:r>
      <w:r w:rsidR="00C706CB" w:rsidRPr="00304A3B">
        <w:rPr>
          <w:rFonts w:ascii="Times New Roman" w:hAnsi="Times New Roman" w:cs="Times New Roman"/>
        </w:rPr>
        <w:t xml:space="preserve"> per capita of $52</w:t>
      </w:r>
      <w:r w:rsidR="006168B6" w:rsidRPr="00304A3B">
        <w:rPr>
          <w:rFonts w:ascii="Times New Roman" w:hAnsi="Times New Roman" w:cs="Times New Roman"/>
        </w:rPr>
        <w:t>,000.</w:t>
      </w:r>
    </w:p>
    <w:p w14:paraId="14718B46" w14:textId="77777777" w:rsidR="005044D4" w:rsidRDefault="005044D4" w:rsidP="006168B6">
      <w:pPr>
        <w:spacing w:line="240" w:lineRule="auto"/>
        <w:rPr>
          <w:rFonts w:ascii="Times New Roman" w:hAnsi="Times New Roman" w:cs="Times New Roman"/>
        </w:rPr>
      </w:pPr>
    </w:p>
    <w:p w14:paraId="0E81BD86" w14:textId="64962A77" w:rsidR="005044D4" w:rsidRPr="00304A3B" w:rsidRDefault="005044D4" w:rsidP="005044D4">
      <w:pPr>
        <w:spacing w:line="240" w:lineRule="auto"/>
        <w:rPr>
          <w:rFonts w:ascii="Times New Roman" w:hAnsi="Times New Roman" w:cs="Times New Roman"/>
          <w:b/>
        </w:rPr>
      </w:pPr>
      <w:proofErr w:type="gramStart"/>
      <w:r>
        <w:rPr>
          <w:rFonts w:ascii="Times New Roman" w:hAnsi="Times New Roman" w:cs="Times New Roman"/>
          <w:b/>
        </w:rPr>
        <w:t>Map 7</w:t>
      </w:r>
      <w:r w:rsidRPr="00304A3B">
        <w:rPr>
          <w:rFonts w:ascii="Times New Roman" w:hAnsi="Times New Roman" w:cs="Times New Roman"/>
          <w:b/>
        </w:rPr>
        <w:t>.</w:t>
      </w:r>
      <w:proofErr w:type="gramEnd"/>
      <w:r w:rsidRPr="00304A3B">
        <w:rPr>
          <w:rFonts w:ascii="Times New Roman" w:hAnsi="Times New Roman" w:cs="Times New Roman"/>
          <w:b/>
        </w:rPr>
        <w:t xml:space="preserve"> American Middleweights</w:t>
      </w:r>
      <w:r>
        <w:rPr>
          <w:rFonts w:ascii="Times New Roman" w:hAnsi="Times New Roman" w:cs="Times New Roman"/>
          <w:b/>
        </w:rPr>
        <w:t>, 2015</w:t>
      </w:r>
    </w:p>
    <w:p w14:paraId="68974E29" w14:textId="0E188889" w:rsidR="00D95E8A" w:rsidRPr="00304A3B" w:rsidRDefault="00D95E8A" w:rsidP="00D95E8A">
      <w:pPr>
        <w:spacing w:line="240" w:lineRule="auto"/>
        <w:jc w:val="center"/>
        <w:rPr>
          <w:rFonts w:ascii="Times New Roman" w:hAnsi="Times New Roman" w:cs="Times New Roman"/>
          <w:b/>
        </w:rPr>
      </w:pPr>
    </w:p>
    <w:p w14:paraId="35BC0DE8" w14:textId="1922A5CF" w:rsidR="00190C84" w:rsidRPr="00304A3B" w:rsidRDefault="0069676F" w:rsidP="00D95E8A">
      <w:pPr>
        <w:spacing w:line="240" w:lineRule="auto"/>
        <w:rPr>
          <w:rFonts w:ascii="Times New Roman" w:hAnsi="Times New Roman" w:cs="Times New Roman"/>
          <w:b/>
        </w:rPr>
      </w:pPr>
      <w:proofErr w:type="gramStart"/>
      <w:r w:rsidRPr="00304A3B">
        <w:rPr>
          <w:rFonts w:ascii="Times New Roman" w:hAnsi="Times New Roman" w:cs="Times New Roman"/>
          <w:b/>
        </w:rPr>
        <w:t xml:space="preserve">Table </w:t>
      </w:r>
      <w:r w:rsidR="005E680A" w:rsidRPr="00304A3B">
        <w:rPr>
          <w:rFonts w:ascii="Times New Roman" w:hAnsi="Times New Roman" w:cs="Times New Roman"/>
          <w:b/>
        </w:rPr>
        <w:t>8</w:t>
      </w:r>
      <w:r w:rsidRPr="00304A3B">
        <w:rPr>
          <w:rFonts w:ascii="Times New Roman" w:hAnsi="Times New Roman" w:cs="Times New Roman"/>
          <w:b/>
        </w:rPr>
        <w:t>.</w:t>
      </w:r>
      <w:proofErr w:type="gramEnd"/>
      <w:r w:rsidRPr="00304A3B">
        <w:rPr>
          <w:rFonts w:ascii="Times New Roman" w:hAnsi="Times New Roman" w:cs="Times New Roman"/>
          <w:b/>
        </w:rPr>
        <w:t xml:space="preserve"> American Middleweights </w:t>
      </w:r>
      <w:r w:rsidR="00422A62">
        <w:rPr>
          <w:rFonts w:ascii="Times New Roman" w:hAnsi="Times New Roman" w:cs="Times New Roman"/>
          <w:b/>
        </w:rPr>
        <w:t>economic indicators, 2015</w:t>
      </w:r>
    </w:p>
    <w:p w14:paraId="150E45FD" w14:textId="77777777" w:rsidR="0069676F" w:rsidRPr="00304A3B" w:rsidRDefault="0069676F" w:rsidP="00D95E8A">
      <w:pPr>
        <w:spacing w:line="240" w:lineRule="auto"/>
        <w:rPr>
          <w:rFonts w:ascii="Times New Roman" w:hAnsi="Times New Roman" w:cs="Times New Roman"/>
          <w:b/>
        </w:rPr>
      </w:pPr>
    </w:p>
    <w:p w14:paraId="0F9E6D9D" w14:textId="0538C299" w:rsidR="00D95E8A" w:rsidRPr="00304A3B" w:rsidRDefault="00D0481E" w:rsidP="00D95E8A">
      <w:pPr>
        <w:spacing w:line="240" w:lineRule="auto"/>
        <w:rPr>
          <w:rFonts w:ascii="Times New Roman" w:hAnsi="Times New Roman" w:cs="Times New Roman"/>
          <w:b/>
        </w:rPr>
      </w:pPr>
      <w:proofErr w:type="gramStart"/>
      <w:r>
        <w:rPr>
          <w:rFonts w:ascii="Times New Roman" w:hAnsi="Times New Roman" w:cs="Times New Roman"/>
          <w:b/>
        </w:rPr>
        <w:t>Figure 14</w:t>
      </w:r>
      <w:r w:rsidR="00D95E8A" w:rsidRPr="00304A3B">
        <w:rPr>
          <w:rFonts w:ascii="Times New Roman" w:hAnsi="Times New Roman" w:cs="Times New Roman"/>
          <w:b/>
        </w:rPr>
        <w:t>.</w:t>
      </w:r>
      <w:proofErr w:type="gramEnd"/>
      <w:r w:rsidR="00D95E8A" w:rsidRPr="00304A3B">
        <w:rPr>
          <w:rFonts w:ascii="Times New Roman" w:hAnsi="Times New Roman" w:cs="Times New Roman"/>
          <w:b/>
        </w:rPr>
        <w:t xml:space="preserve"> American Middleweights </w:t>
      </w:r>
      <w:r w:rsidR="00422A62">
        <w:rPr>
          <w:rFonts w:ascii="Times New Roman" w:hAnsi="Times New Roman" w:cs="Times New Roman"/>
          <w:b/>
        </w:rPr>
        <w:t>i</w:t>
      </w:r>
      <w:r w:rsidR="00D95E8A" w:rsidRPr="00304A3B">
        <w:rPr>
          <w:rFonts w:ascii="Times New Roman" w:hAnsi="Times New Roman" w:cs="Times New Roman"/>
          <w:b/>
        </w:rPr>
        <w:t>ndicators</w:t>
      </w:r>
      <w:r w:rsidR="00422A62">
        <w:rPr>
          <w:rFonts w:ascii="Times New Roman" w:hAnsi="Times New Roman" w:cs="Times New Roman"/>
          <w:b/>
        </w:rPr>
        <w:t>, 2015 or most recent year available</w:t>
      </w:r>
    </w:p>
    <w:p w14:paraId="60D71ACD" w14:textId="5E3AA292" w:rsidR="00D95E8A" w:rsidRPr="00304A3B" w:rsidRDefault="00D95E8A" w:rsidP="00E40B21">
      <w:pPr>
        <w:spacing w:line="240" w:lineRule="auto"/>
        <w:ind w:left="-720"/>
        <w:jc w:val="center"/>
        <w:rPr>
          <w:rFonts w:ascii="Times New Roman" w:hAnsi="Times New Roman" w:cs="Times New Roman"/>
        </w:rPr>
      </w:pPr>
    </w:p>
    <w:p w14:paraId="192D4F3B" w14:textId="6ECD3430" w:rsidR="00A145E7" w:rsidRDefault="00F334E8" w:rsidP="00A145E7">
      <w:pPr>
        <w:spacing w:line="240" w:lineRule="auto"/>
        <w:rPr>
          <w:rFonts w:ascii="Times New Roman" w:hAnsi="Times New Roman" w:cs="Times New Roman"/>
        </w:rPr>
      </w:pPr>
      <w:r w:rsidRPr="00304A3B">
        <w:rPr>
          <w:rFonts w:ascii="Times New Roman" w:hAnsi="Times New Roman" w:cs="Times New Roman"/>
        </w:rPr>
        <w:t>O</w:t>
      </w:r>
      <w:r w:rsidR="007029F7" w:rsidRPr="00304A3B">
        <w:rPr>
          <w:rFonts w:ascii="Times New Roman" w:hAnsi="Times New Roman" w:cs="Times New Roman"/>
        </w:rPr>
        <w:t xml:space="preserve">verall output (1.6 percent), GDP per capita (0.4 percent) and employment (0.7 percent) growth has lagged most other </w:t>
      </w:r>
      <w:r w:rsidR="00023B36" w:rsidRPr="00304A3B">
        <w:rPr>
          <w:rFonts w:ascii="Times New Roman" w:hAnsi="Times New Roman" w:cs="Times New Roman"/>
        </w:rPr>
        <w:t>metro groupings</w:t>
      </w:r>
      <w:r w:rsidR="007029F7" w:rsidRPr="00304A3B">
        <w:rPr>
          <w:rFonts w:ascii="Times New Roman" w:hAnsi="Times New Roman" w:cs="Times New Roman"/>
        </w:rPr>
        <w:t xml:space="preserve"> between 2000 and 2015.</w:t>
      </w:r>
      <w:r w:rsidR="00CC59AB" w:rsidRPr="00304A3B">
        <w:rPr>
          <w:rFonts w:ascii="Times New Roman" w:hAnsi="Times New Roman" w:cs="Times New Roman"/>
        </w:rPr>
        <w:t xml:space="preserve"> </w:t>
      </w:r>
      <w:r w:rsidR="00C052B4" w:rsidRPr="00304A3B">
        <w:rPr>
          <w:rFonts w:ascii="Times New Roman" w:hAnsi="Times New Roman" w:cs="Times New Roman"/>
        </w:rPr>
        <w:t xml:space="preserve">Lower growth may result partly from </w:t>
      </w:r>
      <w:r w:rsidR="00EC5CBA" w:rsidRPr="00304A3B">
        <w:rPr>
          <w:rFonts w:ascii="Times New Roman" w:hAnsi="Times New Roman" w:cs="Times New Roman"/>
        </w:rPr>
        <w:t xml:space="preserve">the high concentration of non-traded clusters in their economies. </w:t>
      </w:r>
      <w:r w:rsidR="00C62309" w:rsidRPr="00304A3B">
        <w:rPr>
          <w:rFonts w:ascii="Times New Roman" w:hAnsi="Times New Roman" w:cs="Times New Roman"/>
        </w:rPr>
        <w:t xml:space="preserve">American </w:t>
      </w:r>
      <w:r w:rsidR="00896000" w:rsidRPr="00304A3B">
        <w:rPr>
          <w:rFonts w:ascii="Times New Roman" w:hAnsi="Times New Roman" w:cs="Times New Roman"/>
        </w:rPr>
        <w:t>Middleweights have</w:t>
      </w:r>
      <w:r w:rsidR="00C62309" w:rsidRPr="00304A3B">
        <w:rPr>
          <w:rFonts w:ascii="Times New Roman" w:hAnsi="Times New Roman" w:cs="Times New Roman"/>
        </w:rPr>
        <w:t xml:space="preserve"> the highest </w:t>
      </w:r>
      <w:r w:rsidR="00A33C17" w:rsidRPr="00304A3B">
        <w:rPr>
          <w:rFonts w:ascii="Times New Roman" w:hAnsi="Times New Roman" w:cs="Times New Roman"/>
        </w:rPr>
        <w:t xml:space="preserve">concentration of </w:t>
      </w:r>
      <w:r w:rsidR="00C62309" w:rsidRPr="00304A3B">
        <w:rPr>
          <w:rFonts w:ascii="Times New Roman" w:hAnsi="Times New Roman" w:cs="Times New Roman"/>
        </w:rPr>
        <w:t>local services</w:t>
      </w:r>
      <w:r w:rsidR="00A33C17" w:rsidRPr="00304A3B">
        <w:rPr>
          <w:rFonts w:ascii="Times New Roman" w:hAnsi="Times New Roman" w:cs="Times New Roman"/>
        </w:rPr>
        <w:t xml:space="preserve"> (health care, real state, education, </w:t>
      </w:r>
      <w:r w:rsidR="00EC5CBA" w:rsidRPr="00304A3B">
        <w:rPr>
          <w:rFonts w:ascii="Times New Roman" w:hAnsi="Times New Roman" w:cs="Times New Roman"/>
        </w:rPr>
        <w:t>and public</w:t>
      </w:r>
      <w:r w:rsidR="00A33C17" w:rsidRPr="00304A3B">
        <w:rPr>
          <w:rFonts w:ascii="Times New Roman" w:hAnsi="Times New Roman" w:cs="Times New Roman"/>
        </w:rPr>
        <w:t xml:space="preserve"> service</w:t>
      </w:r>
      <w:r w:rsidRPr="00304A3B">
        <w:rPr>
          <w:rFonts w:ascii="Times New Roman" w:hAnsi="Times New Roman" w:cs="Times New Roman"/>
        </w:rPr>
        <w:t>s</w:t>
      </w:r>
      <w:r w:rsidR="00023B36" w:rsidRPr="00304A3B">
        <w:rPr>
          <w:rFonts w:ascii="Times New Roman" w:hAnsi="Times New Roman" w:cs="Times New Roman"/>
        </w:rPr>
        <w:t>)</w:t>
      </w:r>
      <w:r w:rsidR="00EC5CBA" w:rsidRPr="00304A3B">
        <w:rPr>
          <w:rFonts w:ascii="Times New Roman" w:hAnsi="Times New Roman" w:cs="Times New Roman"/>
        </w:rPr>
        <w:t xml:space="preserve">, accounting for </w:t>
      </w:r>
      <w:r w:rsidR="00A33C17" w:rsidRPr="00304A3B">
        <w:rPr>
          <w:rFonts w:ascii="Times New Roman" w:hAnsi="Times New Roman" w:cs="Times New Roman"/>
        </w:rPr>
        <w:t>27 percent of output and 42 percent of employment.</w:t>
      </w:r>
      <w:r w:rsidR="00FC1B3B" w:rsidRPr="00304A3B">
        <w:rPr>
          <w:rFonts w:ascii="Times New Roman" w:hAnsi="Times New Roman" w:cs="Times New Roman"/>
        </w:rPr>
        <w:t xml:space="preserve"> Moreover, their tradable industries tend to be less productive than national averages. </w:t>
      </w:r>
      <w:r w:rsidR="00A145E7" w:rsidRPr="00304A3B">
        <w:rPr>
          <w:rFonts w:ascii="Times New Roman" w:hAnsi="Times New Roman" w:cs="Times New Roman"/>
        </w:rPr>
        <w:t xml:space="preserve">While many on the cities in this group are still finding their global niche, they do all maintain at least one globally-relevant export sector. </w:t>
      </w:r>
      <w:r w:rsidR="006F1551">
        <w:rPr>
          <w:rFonts w:ascii="Times New Roman" w:hAnsi="Times New Roman" w:cs="Times New Roman"/>
        </w:rPr>
        <w:t xml:space="preserve">For instance, Charlotte, </w:t>
      </w:r>
      <w:r w:rsidR="00733A20">
        <w:rPr>
          <w:rFonts w:ascii="Times New Roman" w:hAnsi="Times New Roman" w:cs="Times New Roman"/>
        </w:rPr>
        <w:t xml:space="preserve">Detroit, </w:t>
      </w:r>
      <w:r w:rsidR="006F1551">
        <w:rPr>
          <w:rFonts w:ascii="Times New Roman" w:hAnsi="Times New Roman" w:cs="Times New Roman"/>
        </w:rPr>
        <w:t>and Phoenix</w:t>
      </w:r>
      <w:r w:rsidR="00B15274">
        <w:rPr>
          <w:rFonts w:ascii="Times New Roman" w:hAnsi="Times New Roman" w:cs="Times New Roman"/>
        </w:rPr>
        <w:t xml:space="preserve"> </w:t>
      </w:r>
      <w:r w:rsidR="006F1551">
        <w:rPr>
          <w:rFonts w:ascii="Times New Roman" w:hAnsi="Times New Roman" w:cs="Times New Roman"/>
        </w:rPr>
        <w:t xml:space="preserve">are among the leading metro exporters of engine and power equipment, </w:t>
      </w:r>
      <w:r w:rsidR="00B15274">
        <w:rPr>
          <w:rFonts w:ascii="Times New Roman" w:hAnsi="Times New Roman" w:cs="Times New Roman"/>
        </w:rPr>
        <w:t>motor vehicles, and</w:t>
      </w:r>
      <w:r w:rsidR="006F1551">
        <w:rPr>
          <w:rFonts w:ascii="Times New Roman" w:hAnsi="Times New Roman" w:cs="Times New Roman"/>
        </w:rPr>
        <w:t xml:space="preserve"> semiconductors, respectively</w:t>
      </w:r>
      <w:r w:rsidR="00B15274">
        <w:rPr>
          <w:rFonts w:ascii="Times New Roman" w:hAnsi="Times New Roman" w:cs="Times New Roman"/>
        </w:rPr>
        <w:t xml:space="preserve">. </w:t>
      </w:r>
      <w:r w:rsidR="006F1551">
        <w:rPr>
          <w:rFonts w:ascii="Times New Roman" w:hAnsi="Times New Roman" w:cs="Times New Roman"/>
        </w:rPr>
        <w:t>A</w:t>
      </w:r>
      <w:r w:rsidR="00A145E7" w:rsidRPr="00304A3B">
        <w:rPr>
          <w:rFonts w:ascii="Times New Roman" w:hAnsi="Times New Roman" w:cs="Times New Roman"/>
        </w:rPr>
        <w:t>s a group, American Middleweights increased their exports by 1.9 percent per year between 2008 and 2014</w:t>
      </w:r>
      <w:r w:rsidR="00DB391F">
        <w:rPr>
          <w:rFonts w:ascii="Times New Roman" w:hAnsi="Times New Roman" w:cs="Times New Roman"/>
        </w:rPr>
        <w:t>, slightly below the national average of 2.4 percent in the same period</w:t>
      </w:r>
      <w:r w:rsidR="00A145E7" w:rsidRPr="00304A3B">
        <w:rPr>
          <w:rFonts w:ascii="Times New Roman" w:hAnsi="Times New Roman" w:cs="Times New Roman"/>
        </w:rPr>
        <w:t>.</w:t>
      </w:r>
      <w:r w:rsidR="00A145E7" w:rsidRPr="00304A3B">
        <w:rPr>
          <w:rStyle w:val="EndnoteReference"/>
          <w:rFonts w:ascii="Times New Roman" w:hAnsi="Times New Roman" w:cs="Times New Roman"/>
        </w:rPr>
        <w:endnoteReference w:id="67"/>
      </w:r>
      <w:r w:rsidR="00A145E7" w:rsidRPr="00304A3B">
        <w:rPr>
          <w:rFonts w:ascii="Times New Roman" w:hAnsi="Times New Roman" w:cs="Times New Roman"/>
        </w:rPr>
        <w:t xml:space="preserve"> </w:t>
      </w:r>
    </w:p>
    <w:p w14:paraId="326CB593" w14:textId="77777777" w:rsidR="00D0481E" w:rsidRDefault="00D0481E" w:rsidP="00A145E7">
      <w:pPr>
        <w:spacing w:line="240" w:lineRule="auto"/>
        <w:rPr>
          <w:rFonts w:ascii="Times New Roman" w:hAnsi="Times New Roman" w:cs="Times New Roman"/>
        </w:rPr>
      </w:pPr>
    </w:p>
    <w:tbl>
      <w:tblPr>
        <w:tblStyle w:val="TableGrid"/>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5310"/>
      </w:tblGrid>
      <w:tr w:rsidR="00304A3B" w:rsidRPr="00304A3B" w14:paraId="7DB6AC06" w14:textId="77777777" w:rsidTr="00253362">
        <w:tc>
          <w:tcPr>
            <w:tcW w:w="4788" w:type="dxa"/>
          </w:tcPr>
          <w:p w14:paraId="53BC0B6F" w14:textId="13DD436B" w:rsidR="00253362" w:rsidRPr="00304A3B" w:rsidRDefault="00D95E8A" w:rsidP="00253362">
            <w:pPr>
              <w:rPr>
                <w:rFonts w:ascii="Times New Roman" w:hAnsi="Times New Roman" w:cs="Times New Roman"/>
                <w:b/>
              </w:rPr>
            </w:pPr>
            <w:r w:rsidRPr="00304A3B">
              <w:rPr>
                <w:rFonts w:ascii="Times New Roman" w:hAnsi="Times New Roman" w:cs="Times New Roman"/>
                <w:b/>
              </w:rPr>
              <w:t>Figure 1</w:t>
            </w:r>
            <w:r w:rsidR="00D0481E">
              <w:rPr>
                <w:rFonts w:ascii="Times New Roman" w:hAnsi="Times New Roman" w:cs="Times New Roman"/>
                <w:b/>
              </w:rPr>
              <w:t>5a</w:t>
            </w:r>
            <w:r w:rsidR="00253362" w:rsidRPr="00304A3B">
              <w:rPr>
                <w:rFonts w:ascii="Times New Roman" w:hAnsi="Times New Roman" w:cs="Times New Roman"/>
                <w:b/>
              </w:rPr>
              <w:t xml:space="preserve">: </w:t>
            </w:r>
            <w:r w:rsidR="00D0481E" w:rsidRPr="00D0481E">
              <w:rPr>
                <w:rFonts w:ascii="Times New Roman" w:hAnsi="Times New Roman" w:cs="Times New Roman"/>
                <w:b/>
              </w:rPr>
              <w:t>Share of output in traded sectors in metropolitan groups, 2015</w:t>
            </w:r>
          </w:p>
          <w:p w14:paraId="7571C68E" w14:textId="77777777" w:rsidR="00253362" w:rsidRPr="00304A3B" w:rsidRDefault="00253362" w:rsidP="00CC59AB">
            <w:pPr>
              <w:rPr>
                <w:rFonts w:ascii="Times New Roman" w:hAnsi="Times New Roman" w:cs="Times New Roman"/>
                <w:b/>
              </w:rPr>
            </w:pPr>
          </w:p>
        </w:tc>
        <w:tc>
          <w:tcPr>
            <w:tcW w:w="5310" w:type="dxa"/>
          </w:tcPr>
          <w:p w14:paraId="128C29AE" w14:textId="0677866D" w:rsidR="00253362" w:rsidRPr="00304A3B" w:rsidRDefault="00253362" w:rsidP="00253362">
            <w:pPr>
              <w:rPr>
                <w:rFonts w:ascii="Times New Roman" w:hAnsi="Times New Roman" w:cs="Times New Roman"/>
                <w:b/>
              </w:rPr>
            </w:pPr>
            <w:r w:rsidRPr="00304A3B">
              <w:rPr>
                <w:rFonts w:ascii="Times New Roman" w:hAnsi="Times New Roman" w:cs="Times New Roman"/>
                <w:b/>
              </w:rPr>
              <w:t xml:space="preserve">Figure </w:t>
            </w:r>
            <w:r w:rsidR="005D2FE0" w:rsidRPr="00304A3B">
              <w:rPr>
                <w:rFonts w:ascii="Times New Roman" w:hAnsi="Times New Roman" w:cs="Times New Roman"/>
                <w:b/>
              </w:rPr>
              <w:t>1</w:t>
            </w:r>
            <w:r w:rsidR="00E40B21" w:rsidRPr="00304A3B">
              <w:rPr>
                <w:rFonts w:ascii="Times New Roman" w:hAnsi="Times New Roman" w:cs="Times New Roman"/>
                <w:b/>
              </w:rPr>
              <w:t>5</w:t>
            </w:r>
            <w:r w:rsidR="00D0481E">
              <w:rPr>
                <w:rFonts w:ascii="Times New Roman" w:hAnsi="Times New Roman" w:cs="Times New Roman"/>
                <w:b/>
              </w:rPr>
              <w:t>b</w:t>
            </w:r>
            <w:r w:rsidRPr="00304A3B">
              <w:rPr>
                <w:rFonts w:ascii="Times New Roman" w:hAnsi="Times New Roman" w:cs="Times New Roman"/>
                <w:b/>
              </w:rPr>
              <w:t xml:space="preserve">: </w:t>
            </w:r>
            <w:r w:rsidR="00D0481E" w:rsidRPr="00D0481E">
              <w:rPr>
                <w:rFonts w:ascii="Times New Roman" w:hAnsi="Times New Roman" w:cs="Times New Roman"/>
                <w:b/>
              </w:rPr>
              <w:t>Share of output in local services  in metropolitan groups, 2015</w:t>
            </w:r>
          </w:p>
          <w:p w14:paraId="28DB3CC2" w14:textId="77777777" w:rsidR="00253362" w:rsidRPr="00304A3B" w:rsidRDefault="00253362" w:rsidP="00CC59AB">
            <w:pPr>
              <w:rPr>
                <w:rFonts w:ascii="Times New Roman" w:hAnsi="Times New Roman" w:cs="Times New Roman"/>
                <w:b/>
              </w:rPr>
            </w:pPr>
          </w:p>
        </w:tc>
      </w:tr>
      <w:tr w:rsidR="00304A3B" w:rsidRPr="00304A3B" w14:paraId="249DBBEE" w14:textId="77777777" w:rsidTr="00142F9D">
        <w:tc>
          <w:tcPr>
            <w:tcW w:w="4788" w:type="dxa"/>
          </w:tcPr>
          <w:p w14:paraId="63F2624E" w14:textId="5071B37D" w:rsidR="00253362" w:rsidRPr="00304A3B" w:rsidRDefault="00253362" w:rsidP="00CC59AB">
            <w:pPr>
              <w:rPr>
                <w:rFonts w:ascii="Times New Roman" w:hAnsi="Times New Roman" w:cs="Times New Roman"/>
              </w:rPr>
            </w:pPr>
          </w:p>
        </w:tc>
        <w:tc>
          <w:tcPr>
            <w:tcW w:w="5310" w:type="dxa"/>
          </w:tcPr>
          <w:p w14:paraId="64B23B67" w14:textId="34FF9369" w:rsidR="00253362" w:rsidRPr="00304A3B" w:rsidRDefault="00253362" w:rsidP="00CC59AB">
            <w:pPr>
              <w:rPr>
                <w:rFonts w:ascii="Times New Roman" w:hAnsi="Times New Roman" w:cs="Times New Roman"/>
              </w:rPr>
            </w:pPr>
          </w:p>
        </w:tc>
      </w:tr>
    </w:tbl>
    <w:p w14:paraId="1D8839FA" w14:textId="2169D141" w:rsidR="00BD69D4" w:rsidRPr="00304A3B" w:rsidRDefault="003E678B" w:rsidP="007029F7">
      <w:pPr>
        <w:spacing w:line="240" w:lineRule="auto"/>
        <w:rPr>
          <w:rFonts w:ascii="Times New Roman" w:hAnsi="Times New Roman" w:cs="Times New Roman"/>
        </w:rPr>
      </w:pPr>
      <w:r w:rsidRPr="00304A3B">
        <w:rPr>
          <w:rFonts w:ascii="Times New Roman" w:hAnsi="Times New Roman" w:cs="Times New Roman"/>
        </w:rPr>
        <w:t xml:space="preserve">The prevalence of the local services accentuated the impact </w:t>
      </w:r>
      <w:r w:rsidR="008C0BCE" w:rsidRPr="00304A3B">
        <w:rPr>
          <w:rFonts w:ascii="Times New Roman" w:hAnsi="Times New Roman" w:cs="Times New Roman"/>
        </w:rPr>
        <w:t xml:space="preserve">of the 2008 </w:t>
      </w:r>
      <w:r w:rsidRPr="00304A3B">
        <w:rPr>
          <w:rFonts w:ascii="Times New Roman" w:hAnsi="Times New Roman" w:cs="Times New Roman"/>
        </w:rPr>
        <w:t xml:space="preserve">economic </w:t>
      </w:r>
      <w:r w:rsidR="00253362" w:rsidRPr="00304A3B">
        <w:rPr>
          <w:rFonts w:ascii="Times New Roman" w:hAnsi="Times New Roman" w:cs="Times New Roman"/>
        </w:rPr>
        <w:t xml:space="preserve">and financial </w:t>
      </w:r>
      <w:r w:rsidRPr="00304A3B">
        <w:rPr>
          <w:rFonts w:ascii="Times New Roman" w:hAnsi="Times New Roman" w:cs="Times New Roman"/>
        </w:rPr>
        <w:t>crisis, particularly in Sunbelt cities which relied heavily in construction and real estate development to power economic growth.</w:t>
      </w:r>
      <w:r w:rsidR="00253362" w:rsidRPr="00304A3B">
        <w:rPr>
          <w:rStyle w:val="EndnoteReference"/>
          <w:rFonts w:ascii="Times New Roman" w:hAnsi="Times New Roman" w:cs="Times New Roman"/>
        </w:rPr>
        <w:endnoteReference w:id="68"/>
      </w:r>
      <w:r w:rsidRPr="00304A3B">
        <w:rPr>
          <w:rFonts w:ascii="Times New Roman" w:hAnsi="Times New Roman" w:cs="Times New Roman"/>
        </w:rPr>
        <w:t xml:space="preserve"> </w:t>
      </w:r>
      <w:r w:rsidR="00253362" w:rsidRPr="00304A3B">
        <w:rPr>
          <w:rFonts w:ascii="Times New Roman" w:hAnsi="Times New Roman" w:cs="Times New Roman"/>
        </w:rPr>
        <w:t xml:space="preserve">Between </w:t>
      </w:r>
      <w:r w:rsidRPr="00304A3B">
        <w:rPr>
          <w:rFonts w:ascii="Times New Roman" w:hAnsi="Times New Roman" w:cs="Times New Roman"/>
        </w:rPr>
        <w:t>2008 and 2010</w:t>
      </w:r>
      <w:r w:rsidR="00BD69D4" w:rsidRPr="00304A3B">
        <w:rPr>
          <w:rFonts w:ascii="Times New Roman" w:hAnsi="Times New Roman" w:cs="Times New Roman"/>
        </w:rPr>
        <w:t xml:space="preserve"> the construction sector shrank 11 percent </w:t>
      </w:r>
      <w:r w:rsidR="008C0BCE" w:rsidRPr="00304A3B">
        <w:rPr>
          <w:rFonts w:ascii="Times New Roman" w:hAnsi="Times New Roman" w:cs="Times New Roman"/>
        </w:rPr>
        <w:t>per year</w:t>
      </w:r>
      <w:r w:rsidR="00BD69D4" w:rsidRPr="00304A3B">
        <w:rPr>
          <w:rFonts w:ascii="Times New Roman" w:hAnsi="Times New Roman" w:cs="Times New Roman"/>
        </w:rPr>
        <w:t xml:space="preserve">, the highest drop among all the </w:t>
      </w:r>
      <w:r w:rsidR="009B01DC" w:rsidRPr="00304A3B">
        <w:rPr>
          <w:rFonts w:ascii="Times New Roman" w:hAnsi="Times New Roman" w:cs="Times New Roman"/>
        </w:rPr>
        <w:t>groups</w:t>
      </w:r>
      <w:r w:rsidR="0062310C" w:rsidRPr="00304A3B">
        <w:rPr>
          <w:rFonts w:ascii="Times New Roman" w:hAnsi="Times New Roman" w:cs="Times New Roman"/>
        </w:rPr>
        <w:t xml:space="preserve">, </w:t>
      </w:r>
      <w:r w:rsidR="008C0BCE" w:rsidRPr="00304A3B">
        <w:rPr>
          <w:rFonts w:ascii="Times New Roman" w:hAnsi="Times New Roman" w:cs="Times New Roman"/>
        </w:rPr>
        <w:t xml:space="preserve">while </w:t>
      </w:r>
      <w:r w:rsidR="0062310C" w:rsidRPr="00304A3B">
        <w:rPr>
          <w:rFonts w:ascii="Times New Roman" w:hAnsi="Times New Roman" w:cs="Times New Roman"/>
        </w:rPr>
        <w:t>the average home lost 29 percent of its value</w:t>
      </w:r>
      <w:r w:rsidR="008C0BCE" w:rsidRPr="00304A3B">
        <w:rPr>
          <w:rFonts w:ascii="Times New Roman" w:hAnsi="Times New Roman" w:cs="Times New Roman"/>
        </w:rPr>
        <w:t xml:space="preserve"> between 2008 and 2012</w:t>
      </w:r>
      <w:r w:rsidR="0062310C" w:rsidRPr="00304A3B">
        <w:rPr>
          <w:rFonts w:ascii="Times New Roman" w:hAnsi="Times New Roman" w:cs="Times New Roman"/>
        </w:rPr>
        <w:t>.</w:t>
      </w:r>
      <w:r w:rsidR="0062310C" w:rsidRPr="00304A3B">
        <w:rPr>
          <w:rStyle w:val="EndnoteReference"/>
          <w:rFonts w:ascii="Times New Roman" w:hAnsi="Times New Roman" w:cs="Times New Roman"/>
        </w:rPr>
        <w:endnoteReference w:id="69"/>
      </w:r>
      <w:r w:rsidR="0062310C" w:rsidRPr="00304A3B">
        <w:rPr>
          <w:rFonts w:ascii="Times New Roman" w:hAnsi="Times New Roman" w:cs="Times New Roman"/>
        </w:rPr>
        <w:t xml:space="preserve"> </w:t>
      </w:r>
      <w:r w:rsidR="00F334E8" w:rsidRPr="00304A3B">
        <w:rPr>
          <w:rFonts w:ascii="Times New Roman" w:hAnsi="Times New Roman" w:cs="Times New Roman"/>
        </w:rPr>
        <w:t>C</w:t>
      </w:r>
      <w:r w:rsidR="0062310C" w:rsidRPr="00304A3B">
        <w:rPr>
          <w:rFonts w:ascii="Times New Roman" w:hAnsi="Times New Roman" w:cs="Times New Roman"/>
        </w:rPr>
        <w:t xml:space="preserve">ities like </w:t>
      </w:r>
      <w:r w:rsidR="00F334E8" w:rsidRPr="00304A3B">
        <w:rPr>
          <w:rFonts w:ascii="Times New Roman" w:hAnsi="Times New Roman" w:cs="Times New Roman"/>
        </w:rPr>
        <w:t xml:space="preserve">Detroit, </w:t>
      </w:r>
      <w:r w:rsidR="0062310C" w:rsidRPr="00304A3B">
        <w:rPr>
          <w:rFonts w:ascii="Times New Roman" w:hAnsi="Times New Roman" w:cs="Times New Roman"/>
        </w:rPr>
        <w:t xml:space="preserve">Miami, </w:t>
      </w:r>
      <w:r w:rsidR="00F334E8" w:rsidRPr="00304A3B">
        <w:rPr>
          <w:rFonts w:ascii="Times New Roman" w:hAnsi="Times New Roman" w:cs="Times New Roman"/>
        </w:rPr>
        <w:t>Orlando, and</w:t>
      </w:r>
      <w:r w:rsidR="00AF4620" w:rsidRPr="00304A3B">
        <w:rPr>
          <w:rFonts w:ascii="Times New Roman" w:hAnsi="Times New Roman" w:cs="Times New Roman"/>
        </w:rPr>
        <w:t xml:space="preserve"> Phoenix</w:t>
      </w:r>
      <w:r w:rsidR="00F334E8" w:rsidRPr="00304A3B">
        <w:rPr>
          <w:rFonts w:ascii="Times New Roman" w:hAnsi="Times New Roman" w:cs="Times New Roman"/>
        </w:rPr>
        <w:t xml:space="preserve"> saw home price declines of more</w:t>
      </w:r>
      <w:r w:rsidR="00AF4620" w:rsidRPr="00304A3B">
        <w:rPr>
          <w:rFonts w:ascii="Times New Roman" w:hAnsi="Times New Roman" w:cs="Times New Roman"/>
        </w:rPr>
        <w:t xml:space="preserve"> than 30 percent.</w:t>
      </w:r>
    </w:p>
    <w:p w14:paraId="71546517" w14:textId="3413FD7A" w:rsidR="00575597" w:rsidRPr="00304A3B" w:rsidRDefault="00F334E8" w:rsidP="006168B6">
      <w:pPr>
        <w:spacing w:line="240" w:lineRule="auto"/>
        <w:rPr>
          <w:rFonts w:ascii="Times New Roman" w:hAnsi="Times New Roman" w:cs="Times New Roman"/>
        </w:rPr>
      </w:pPr>
      <w:proofErr w:type="gramStart"/>
      <w:r w:rsidRPr="00304A3B">
        <w:rPr>
          <w:rFonts w:ascii="Times New Roman" w:hAnsi="Times New Roman" w:cs="Times New Roman"/>
        </w:rPr>
        <w:lastRenderedPageBreak/>
        <w:t>At the same time, the manufacturing sector—</w:t>
      </w:r>
      <w:r w:rsidR="003E678B" w:rsidRPr="00304A3B">
        <w:rPr>
          <w:rFonts w:ascii="Times New Roman" w:hAnsi="Times New Roman" w:cs="Times New Roman"/>
        </w:rPr>
        <w:t xml:space="preserve">once the engine of </w:t>
      </w:r>
      <w:r w:rsidRPr="00304A3B">
        <w:rPr>
          <w:rFonts w:ascii="Times New Roman" w:hAnsi="Times New Roman" w:cs="Times New Roman"/>
        </w:rPr>
        <w:t xml:space="preserve">export-led </w:t>
      </w:r>
      <w:r w:rsidR="003E678B" w:rsidRPr="00304A3B">
        <w:rPr>
          <w:rFonts w:ascii="Times New Roman" w:hAnsi="Times New Roman" w:cs="Times New Roman"/>
        </w:rPr>
        <w:t xml:space="preserve">growth </w:t>
      </w:r>
      <w:r w:rsidRPr="00304A3B">
        <w:rPr>
          <w:rFonts w:ascii="Times New Roman" w:hAnsi="Times New Roman" w:cs="Times New Roman"/>
        </w:rPr>
        <w:t xml:space="preserve">in </w:t>
      </w:r>
      <w:r w:rsidR="003E678B" w:rsidRPr="00304A3B">
        <w:rPr>
          <w:rFonts w:ascii="Times New Roman" w:hAnsi="Times New Roman" w:cs="Times New Roman"/>
        </w:rPr>
        <w:t xml:space="preserve">places like </w:t>
      </w:r>
      <w:r w:rsidR="00C83DF3" w:rsidRPr="00304A3B">
        <w:rPr>
          <w:rFonts w:ascii="Times New Roman" w:hAnsi="Times New Roman" w:cs="Times New Roman"/>
        </w:rPr>
        <w:t xml:space="preserve">Cleveland, </w:t>
      </w:r>
      <w:r w:rsidRPr="00304A3B">
        <w:rPr>
          <w:rFonts w:ascii="Times New Roman" w:hAnsi="Times New Roman" w:cs="Times New Roman"/>
        </w:rPr>
        <w:t xml:space="preserve">Detroit and </w:t>
      </w:r>
      <w:r w:rsidR="00BA4CFF" w:rsidRPr="00304A3B">
        <w:rPr>
          <w:rFonts w:ascii="Times New Roman" w:hAnsi="Times New Roman" w:cs="Times New Roman"/>
        </w:rPr>
        <w:t>Saint Louis</w:t>
      </w:r>
      <w:r w:rsidRPr="00304A3B">
        <w:rPr>
          <w:rFonts w:ascii="Times New Roman" w:hAnsi="Times New Roman" w:cs="Times New Roman"/>
        </w:rPr>
        <w:t>—</w:t>
      </w:r>
      <w:r w:rsidR="003E678B" w:rsidRPr="00304A3B">
        <w:rPr>
          <w:rFonts w:ascii="Times New Roman" w:hAnsi="Times New Roman" w:cs="Times New Roman"/>
        </w:rPr>
        <w:t>has seen its share of ou</w:t>
      </w:r>
      <w:r w:rsidR="0062310C" w:rsidRPr="00304A3B">
        <w:rPr>
          <w:rFonts w:ascii="Times New Roman" w:hAnsi="Times New Roman" w:cs="Times New Roman"/>
        </w:rPr>
        <w:t>t</w:t>
      </w:r>
      <w:r w:rsidR="003E678B" w:rsidRPr="00304A3B">
        <w:rPr>
          <w:rFonts w:ascii="Times New Roman" w:hAnsi="Times New Roman" w:cs="Times New Roman"/>
        </w:rPr>
        <w:t>put and employment decline relatively to other sectors of the economy.</w:t>
      </w:r>
      <w:proofErr w:type="gramEnd"/>
      <w:r w:rsidR="00A33C17" w:rsidRPr="00304A3B">
        <w:rPr>
          <w:rStyle w:val="EndnoteReference"/>
          <w:rFonts w:ascii="Times New Roman" w:hAnsi="Times New Roman" w:cs="Times New Roman"/>
        </w:rPr>
        <w:endnoteReference w:id="70"/>
      </w:r>
      <w:r w:rsidR="00A33C17" w:rsidRPr="00304A3B">
        <w:rPr>
          <w:rFonts w:ascii="Times New Roman" w:hAnsi="Times New Roman" w:cs="Times New Roman"/>
        </w:rPr>
        <w:t xml:space="preserve"> </w:t>
      </w:r>
      <w:r w:rsidRPr="00304A3B">
        <w:rPr>
          <w:rFonts w:ascii="Times New Roman" w:hAnsi="Times New Roman" w:cs="Times New Roman"/>
        </w:rPr>
        <w:t>Due to automation</w:t>
      </w:r>
      <w:r w:rsidR="003E678B" w:rsidRPr="00304A3B">
        <w:rPr>
          <w:rFonts w:ascii="Times New Roman" w:hAnsi="Times New Roman" w:cs="Times New Roman"/>
        </w:rPr>
        <w:t xml:space="preserve"> and strong competition from abroad</w:t>
      </w:r>
      <w:r w:rsidRPr="00304A3B">
        <w:rPr>
          <w:rFonts w:ascii="Times New Roman" w:hAnsi="Times New Roman" w:cs="Times New Roman"/>
        </w:rPr>
        <w:t xml:space="preserve">, manufacturing employment declined 2.1 percent annually since 2000. Today, manufacturing </w:t>
      </w:r>
      <w:r w:rsidR="003E678B" w:rsidRPr="00304A3B">
        <w:rPr>
          <w:rFonts w:ascii="Times New Roman" w:hAnsi="Times New Roman" w:cs="Times New Roman"/>
        </w:rPr>
        <w:t xml:space="preserve">accounts only for 7 percent of </w:t>
      </w:r>
      <w:r w:rsidRPr="00304A3B">
        <w:rPr>
          <w:rFonts w:ascii="Times New Roman" w:hAnsi="Times New Roman" w:cs="Times New Roman"/>
        </w:rPr>
        <w:t xml:space="preserve">total employment in this </w:t>
      </w:r>
      <w:r w:rsidR="009B01DC" w:rsidRPr="00304A3B">
        <w:rPr>
          <w:rFonts w:ascii="Times New Roman" w:hAnsi="Times New Roman" w:cs="Times New Roman"/>
        </w:rPr>
        <w:t>group</w:t>
      </w:r>
      <w:r w:rsidRPr="00304A3B">
        <w:rPr>
          <w:rFonts w:ascii="Times New Roman" w:hAnsi="Times New Roman" w:cs="Times New Roman"/>
        </w:rPr>
        <w:t xml:space="preserve">. </w:t>
      </w:r>
    </w:p>
    <w:p w14:paraId="543B8BAB" w14:textId="6FF19145" w:rsidR="00EC5CBA" w:rsidRPr="00304A3B" w:rsidRDefault="00E40B21" w:rsidP="00E40B21">
      <w:pPr>
        <w:spacing w:line="240" w:lineRule="auto"/>
        <w:rPr>
          <w:rFonts w:ascii="Times New Roman" w:hAnsi="Times New Roman" w:cs="Times New Roman"/>
        </w:rPr>
      </w:pPr>
      <w:r w:rsidRPr="00304A3B">
        <w:rPr>
          <w:rFonts w:ascii="Times New Roman" w:hAnsi="Times New Roman" w:cs="Times New Roman"/>
        </w:rPr>
        <w:t xml:space="preserve">American </w:t>
      </w:r>
      <w:r w:rsidR="00FC1B3B" w:rsidRPr="00304A3B">
        <w:rPr>
          <w:rFonts w:ascii="Times New Roman" w:hAnsi="Times New Roman" w:cs="Times New Roman"/>
        </w:rPr>
        <w:t>M</w:t>
      </w:r>
      <w:r w:rsidR="008F02CA" w:rsidRPr="00304A3B">
        <w:rPr>
          <w:rFonts w:ascii="Times New Roman" w:hAnsi="Times New Roman" w:cs="Times New Roman"/>
        </w:rPr>
        <w:t>iddleweights</w:t>
      </w:r>
      <w:r w:rsidR="00751C4D">
        <w:rPr>
          <w:rFonts w:ascii="Times New Roman" w:hAnsi="Times New Roman" w:cs="Times New Roman"/>
        </w:rPr>
        <w:t xml:space="preserve"> have assets, however. They</w:t>
      </w:r>
      <w:r w:rsidR="008F02CA" w:rsidRPr="00304A3B">
        <w:rPr>
          <w:rFonts w:ascii="Times New Roman" w:hAnsi="Times New Roman" w:cs="Times New Roman"/>
        </w:rPr>
        <w:t xml:space="preserve"> house </w:t>
      </w:r>
      <w:r w:rsidR="00EC5CBA" w:rsidRPr="00304A3B">
        <w:rPr>
          <w:rFonts w:ascii="Times New Roman" w:hAnsi="Times New Roman" w:cs="Times New Roman"/>
        </w:rPr>
        <w:t>wel</w:t>
      </w:r>
      <w:r w:rsidRPr="00304A3B">
        <w:rPr>
          <w:rFonts w:ascii="Times New Roman" w:hAnsi="Times New Roman" w:cs="Times New Roman"/>
        </w:rPr>
        <w:t xml:space="preserve">l-regarded research universities. Cities in this group ranked third among all other groups in </w:t>
      </w:r>
      <w:r w:rsidR="00EC5CBA" w:rsidRPr="00304A3B">
        <w:rPr>
          <w:rFonts w:ascii="Times New Roman" w:hAnsi="Times New Roman" w:cs="Times New Roman"/>
        </w:rPr>
        <w:t xml:space="preserve">the share of scientific publications in the top ten percent most cited academic journals. </w:t>
      </w:r>
      <w:r w:rsidRPr="00304A3B">
        <w:rPr>
          <w:rFonts w:ascii="Times New Roman" w:hAnsi="Times New Roman" w:cs="Times New Roman"/>
        </w:rPr>
        <w:t>Addit</w:t>
      </w:r>
      <w:r w:rsidR="00FC1B3B" w:rsidRPr="00304A3B">
        <w:rPr>
          <w:rFonts w:ascii="Times New Roman" w:hAnsi="Times New Roman" w:cs="Times New Roman"/>
        </w:rPr>
        <w:t>ionally, one-third of the working-</w:t>
      </w:r>
      <w:r w:rsidRPr="00304A3B">
        <w:rPr>
          <w:rFonts w:ascii="Times New Roman" w:hAnsi="Times New Roman" w:cs="Times New Roman"/>
        </w:rPr>
        <w:t xml:space="preserve">age population </w:t>
      </w:r>
      <w:r w:rsidR="00EC5CBA" w:rsidRPr="00304A3B">
        <w:rPr>
          <w:rFonts w:ascii="Times New Roman" w:hAnsi="Times New Roman" w:cs="Times New Roman"/>
        </w:rPr>
        <w:t xml:space="preserve">in these markets boasts a tertiary degree, also </w:t>
      </w:r>
      <w:r w:rsidR="00FC1B3B" w:rsidRPr="00304A3B">
        <w:rPr>
          <w:rFonts w:ascii="Times New Roman" w:hAnsi="Times New Roman" w:cs="Times New Roman"/>
        </w:rPr>
        <w:t>fourth</w:t>
      </w:r>
      <w:r w:rsidR="00EC5CBA" w:rsidRPr="00304A3B">
        <w:rPr>
          <w:rFonts w:ascii="Times New Roman" w:hAnsi="Times New Roman" w:cs="Times New Roman"/>
        </w:rPr>
        <w:t xml:space="preserve"> among all </w:t>
      </w:r>
      <w:r w:rsidR="00FC1B3B" w:rsidRPr="00304A3B">
        <w:rPr>
          <w:rFonts w:ascii="Times New Roman" w:hAnsi="Times New Roman" w:cs="Times New Roman"/>
        </w:rPr>
        <w:t>groupings</w:t>
      </w:r>
      <w:r w:rsidR="00EC5CBA" w:rsidRPr="00304A3B">
        <w:rPr>
          <w:rFonts w:ascii="Times New Roman" w:hAnsi="Times New Roman" w:cs="Times New Roman"/>
        </w:rPr>
        <w:t xml:space="preserve">. </w:t>
      </w:r>
      <w:r w:rsidRPr="00304A3B">
        <w:rPr>
          <w:rFonts w:ascii="Times New Roman" w:hAnsi="Times New Roman" w:cs="Times New Roman"/>
        </w:rPr>
        <w:t>The combination of highly skilled labor force and world class research universities is also strengthen</w:t>
      </w:r>
      <w:r w:rsidR="00FC1B3B" w:rsidRPr="00304A3B">
        <w:rPr>
          <w:rFonts w:ascii="Times New Roman" w:hAnsi="Times New Roman" w:cs="Times New Roman"/>
        </w:rPr>
        <w:t>ed</w:t>
      </w:r>
      <w:r w:rsidRPr="00304A3B">
        <w:rPr>
          <w:rFonts w:ascii="Times New Roman" w:hAnsi="Times New Roman" w:cs="Times New Roman"/>
        </w:rPr>
        <w:t xml:space="preserve"> by venture capital</w:t>
      </w:r>
      <w:r w:rsidR="00DB391F">
        <w:rPr>
          <w:rFonts w:ascii="Times New Roman" w:hAnsi="Times New Roman" w:cs="Times New Roman"/>
        </w:rPr>
        <w:t xml:space="preserve"> per capita</w:t>
      </w:r>
      <w:r w:rsidRPr="00304A3B">
        <w:rPr>
          <w:rFonts w:ascii="Times New Roman" w:hAnsi="Times New Roman" w:cs="Times New Roman"/>
        </w:rPr>
        <w:t xml:space="preserve">, </w:t>
      </w:r>
      <w:r w:rsidR="00FC1B3B" w:rsidRPr="00304A3B">
        <w:rPr>
          <w:rFonts w:ascii="Times New Roman" w:hAnsi="Times New Roman" w:cs="Times New Roman"/>
        </w:rPr>
        <w:t>an indicator on which</w:t>
      </w:r>
      <w:r w:rsidRPr="00304A3B">
        <w:rPr>
          <w:rFonts w:ascii="Times New Roman" w:hAnsi="Times New Roman" w:cs="Times New Roman"/>
        </w:rPr>
        <w:t xml:space="preserve"> American </w:t>
      </w:r>
      <w:r w:rsidR="00FC1B3B" w:rsidRPr="00304A3B">
        <w:rPr>
          <w:rFonts w:ascii="Times New Roman" w:hAnsi="Times New Roman" w:cs="Times New Roman"/>
        </w:rPr>
        <w:t>M</w:t>
      </w:r>
      <w:r w:rsidRPr="00304A3B">
        <w:rPr>
          <w:rFonts w:ascii="Times New Roman" w:hAnsi="Times New Roman" w:cs="Times New Roman"/>
        </w:rPr>
        <w:t xml:space="preserve">iddleweights </w:t>
      </w:r>
      <w:r w:rsidR="00FC1B3B" w:rsidRPr="00304A3B">
        <w:rPr>
          <w:rFonts w:ascii="Times New Roman" w:hAnsi="Times New Roman" w:cs="Times New Roman"/>
        </w:rPr>
        <w:t xml:space="preserve">ranked </w:t>
      </w:r>
      <w:r w:rsidRPr="00304A3B">
        <w:rPr>
          <w:rFonts w:ascii="Times New Roman" w:hAnsi="Times New Roman" w:cs="Times New Roman"/>
        </w:rPr>
        <w:t xml:space="preserve">third among all their peers. </w:t>
      </w:r>
    </w:p>
    <w:p w14:paraId="5F9FA697" w14:textId="0AC6EB17" w:rsidR="0069676F" w:rsidRPr="00304A3B" w:rsidRDefault="005D19A1" w:rsidP="005D2FE0">
      <w:pPr>
        <w:pStyle w:val="paragraph"/>
        <w:spacing w:before="0" w:beforeAutospacing="0" w:after="200" w:afterAutospacing="0"/>
        <w:textAlignment w:val="baseline"/>
        <w:rPr>
          <w:b/>
          <w:sz w:val="22"/>
          <w:szCs w:val="22"/>
        </w:rPr>
      </w:pPr>
      <w:r w:rsidRPr="00304A3B">
        <w:rPr>
          <w:b/>
          <w:sz w:val="22"/>
          <w:szCs w:val="22"/>
        </w:rPr>
        <w:t>International Middleweights</w:t>
      </w:r>
    </w:p>
    <w:p w14:paraId="773937F2" w14:textId="6C990599" w:rsidR="006168B6" w:rsidRPr="00304A3B" w:rsidRDefault="005D19A1" w:rsidP="005D2FE0">
      <w:pPr>
        <w:pStyle w:val="paragraph"/>
        <w:spacing w:before="0" w:beforeAutospacing="0" w:after="200" w:afterAutospacing="0"/>
        <w:textAlignment w:val="baseline"/>
        <w:rPr>
          <w:rStyle w:val="normaltextrun"/>
          <w:sz w:val="22"/>
          <w:szCs w:val="22"/>
        </w:rPr>
      </w:pPr>
      <w:r w:rsidRPr="00304A3B">
        <w:rPr>
          <w:b/>
          <w:sz w:val="22"/>
          <w:szCs w:val="22"/>
        </w:rPr>
        <w:t>International Middleweights</w:t>
      </w:r>
      <w:r w:rsidR="005D2FE0" w:rsidRPr="00304A3B">
        <w:rPr>
          <w:rStyle w:val="apple-converted-space"/>
          <w:sz w:val="22"/>
          <w:szCs w:val="22"/>
        </w:rPr>
        <w:t xml:space="preserve"> </w:t>
      </w:r>
      <w:r w:rsidR="00282F30" w:rsidRPr="00304A3B">
        <w:rPr>
          <w:rStyle w:val="normaltextrun"/>
          <w:sz w:val="22"/>
          <w:szCs w:val="22"/>
        </w:rPr>
        <w:t xml:space="preserve">include a diverse group of wealthy </w:t>
      </w:r>
      <w:r w:rsidR="006168B6" w:rsidRPr="00304A3B">
        <w:rPr>
          <w:rStyle w:val="normaltextrun"/>
          <w:sz w:val="22"/>
          <w:szCs w:val="22"/>
        </w:rPr>
        <w:t>cities</w:t>
      </w:r>
      <w:r w:rsidR="006168B6" w:rsidRPr="00304A3B">
        <w:rPr>
          <w:rStyle w:val="apple-converted-space"/>
          <w:sz w:val="22"/>
          <w:szCs w:val="22"/>
        </w:rPr>
        <w:t> </w:t>
      </w:r>
      <w:r w:rsidR="00282F30" w:rsidRPr="00304A3B">
        <w:rPr>
          <w:rStyle w:val="normaltextrun"/>
          <w:sz w:val="22"/>
          <w:szCs w:val="22"/>
        </w:rPr>
        <w:t>in Canada</w:t>
      </w:r>
      <w:r w:rsidR="006168B6" w:rsidRPr="00304A3B">
        <w:rPr>
          <w:rStyle w:val="normaltextrun"/>
          <w:sz w:val="22"/>
          <w:szCs w:val="22"/>
        </w:rPr>
        <w:t xml:space="preserve"> (Toronto, Vancouver)</w:t>
      </w:r>
      <w:r w:rsidR="00AE4ADC" w:rsidRPr="00304A3B">
        <w:rPr>
          <w:rStyle w:val="normaltextrun"/>
          <w:sz w:val="22"/>
          <w:szCs w:val="22"/>
        </w:rPr>
        <w:t>,</w:t>
      </w:r>
      <w:r w:rsidR="006168B6" w:rsidRPr="00304A3B">
        <w:rPr>
          <w:rStyle w:val="normaltextrun"/>
          <w:sz w:val="22"/>
          <w:szCs w:val="22"/>
        </w:rPr>
        <w:t xml:space="preserve"> Europe</w:t>
      </w:r>
      <w:r w:rsidR="00AE4ADC" w:rsidRPr="00304A3B">
        <w:rPr>
          <w:rStyle w:val="normaltextrun"/>
          <w:sz w:val="22"/>
          <w:szCs w:val="22"/>
        </w:rPr>
        <w:t xml:space="preserve"> </w:t>
      </w:r>
      <w:r w:rsidR="006168B6" w:rsidRPr="00304A3B">
        <w:rPr>
          <w:rStyle w:val="normaltextrun"/>
          <w:sz w:val="22"/>
          <w:szCs w:val="22"/>
        </w:rPr>
        <w:t>(Brussels, Berl</w:t>
      </w:r>
      <w:r w:rsidR="0085468C" w:rsidRPr="00304A3B">
        <w:rPr>
          <w:rStyle w:val="normaltextrun"/>
          <w:sz w:val="22"/>
          <w:szCs w:val="22"/>
        </w:rPr>
        <w:t>in, Munich, Rome, Milan, Munich</w:t>
      </w:r>
      <w:r w:rsidR="006168B6" w:rsidRPr="00304A3B">
        <w:rPr>
          <w:rStyle w:val="normaltextrun"/>
          <w:sz w:val="22"/>
          <w:szCs w:val="22"/>
        </w:rPr>
        <w:t xml:space="preserve">), </w:t>
      </w:r>
      <w:r w:rsidR="00282F30" w:rsidRPr="00304A3B">
        <w:rPr>
          <w:rStyle w:val="normaltextrun"/>
          <w:sz w:val="22"/>
          <w:szCs w:val="22"/>
        </w:rPr>
        <w:t xml:space="preserve">Asia </w:t>
      </w:r>
      <w:r w:rsidR="006168B6" w:rsidRPr="00304A3B">
        <w:rPr>
          <w:rStyle w:val="normaltextrun"/>
          <w:sz w:val="22"/>
          <w:szCs w:val="22"/>
        </w:rPr>
        <w:t xml:space="preserve">(Kitakyushu-Fukuoka, </w:t>
      </w:r>
      <w:r w:rsidR="00426A07" w:rsidRPr="00304A3B">
        <w:rPr>
          <w:rStyle w:val="normaltextrun"/>
          <w:sz w:val="22"/>
          <w:szCs w:val="22"/>
        </w:rPr>
        <w:t xml:space="preserve">Nagoya </w:t>
      </w:r>
      <w:r w:rsidR="006168B6" w:rsidRPr="00304A3B">
        <w:rPr>
          <w:rStyle w:val="normaltextrun"/>
          <w:sz w:val="22"/>
          <w:szCs w:val="22"/>
        </w:rPr>
        <w:t>and Tel Aviv)</w:t>
      </w:r>
      <w:r w:rsidR="00AE4ADC" w:rsidRPr="00304A3B">
        <w:rPr>
          <w:rStyle w:val="normaltextrun"/>
          <w:sz w:val="22"/>
          <w:szCs w:val="22"/>
        </w:rPr>
        <w:t>,</w:t>
      </w:r>
      <w:r w:rsidR="006168B6" w:rsidRPr="00304A3B">
        <w:rPr>
          <w:rStyle w:val="normaltextrun"/>
          <w:sz w:val="22"/>
          <w:szCs w:val="22"/>
        </w:rPr>
        <w:t xml:space="preserve"> and </w:t>
      </w:r>
      <w:r w:rsidR="00282F30" w:rsidRPr="00304A3B">
        <w:rPr>
          <w:rStyle w:val="normaltextrun"/>
          <w:sz w:val="22"/>
          <w:szCs w:val="22"/>
        </w:rPr>
        <w:t xml:space="preserve">Australia </w:t>
      </w:r>
      <w:r w:rsidR="006168B6" w:rsidRPr="00304A3B">
        <w:rPr>
          <w:rStyle w:val="normaltextrun"/>
          <w:sz w:val="22"/>
          <w:szCs w:val="22"/>
        </w:rPr>
        <w:t>(</w:t>
      </w:r>
      <w:r w:rsidR="00282F30" w:rsidRPr="00304A3B">
        <w:rPr>
          <w:rStyle w:val="normaltextrun"/>
          <w:sz w:val="22"/>
          <w:szCs w:val="22"/>
        </w:rPr>
        <w:t>Sydney</w:t>
      </w:r>
      <w:r w:rsidR="006168B6" w:rsidRPr="00304A3B">
        <w:rPr>
          <w:rStyle w:val="normaltextrun"/>
          <w:sz w:val="22"/>
          <w:szCs w:val="22"/>
        </w:rPr>
        <w:t>,</w:t>
      </w:r>
      <w:r w:rsidR="00282F30" w:rsidRPr="00304A3B">
        <w:rPr>
          <w:rStyle w:val="normaltextrun"/>
          <w:sz w:val="22"/>
          <w:szCs w:val="22"/>
        </w:rPr>
        <w:t xml:space="preserve"> </w:t>
      </w:r>
      <w:r w:rsidR="006168B6" w:rsidRPr="00304A3B">
        <w:rPr>
          <w:rStyle w:val="normaltextrun"/>
          <w:sz w:val="22"/>
          <w:szCs w:val="22"/>
        </w:rPr>
        <w:t>Melbourne). </w:t>
      </w:r>
      <w:r w:rsidR="00F61954" w:rsidRPr="00304A3B">
        <w:rPr>
          <w:rStyle w:val="normaltextrun"/>
          <w:sz w:val="22"/>
          <w:szCs w:val="22"/>
        </w:rPr>
        <w:t>These 26 metros have an</w:t>
      </w:r>
      <w:r w:rsidR="00282F30" w:rsidRPr="00304A3B">
        <w:rPr>
          <w:rStyle w:val="normaltextrun"/>
          <w:sz w:val="22"/>
          <w:szCs w:val="22"/>
        </w:rPr>
        <w:t xml:space="preserve"> average population of 4.8 million</w:t>
      </w:r>
      <w:r w:rsidR="006168B6" w:rsidRPr="00304A3B">
        <w:rPr>
          <w:rStyle w:val="normaltextrun"/>
          <w:sz w:val="22"/>
          <w:szCs w:val="22"/>
        </w:rPr>
        <w:t xml:space="preserve">, </w:t>
      </w:r>
      <w:r w:rsidR="00282F30" w:rsidRPr="00304A3B">
        <w:rPr>
          <w:rStyle w:val="normaltextrun"/>
          <w:sz w:val="22"/>
          <w:szCs w:val="22"/>
        </w:rPr>
        <w:t>output of</w:t>
      </w:r>
      <w:r w:rsidR="006168B6" w:rsidRPr="00304A3B">
        <w:rPr>
          <w:rStyle w:val="normaltextrun"/>
          <w:sz w:val="22"/>
          <w:szCs w:val="22"/>
        </w:rPr>
        <w:t xml:space="preserve"> $236 billion</w:t>
      </w:r>
      <w:r w:rsidR="00282F30" w:rsidRPr="00304A3B">
        <w:rPr>
          <w:rStyle w:val="normaltextrun"/>
          <w:sz w:val="22"/>
          <w:szCs w:val="22"/>
        </w:rPr>
        <w:t>,</w:t>
      </w:r>
      <w:r w:rsidR="006168B6" w:rsidRPr="00304A3B">
        <w:rPr>
          <w:rStyle w:val="normaltextrun"/>
          <w:sz w:val="22"/>
          <w:szCs w:val="22"/>
        </w:rPr>
        <w:t xml:space="preserve"> and </w:t>
      </w:r>
      <w:r w:rsidR="00751C4D">
        <w:rPr>
          <w:rStyle w:val="normaltextrun"/>
          <w:sz w:val="22"/>
          <w:szCs w:val="22"/>
        </w:rPr>
        <w:t xml:space="preserve">nominal </w:t>
      </w:r>
      <w:r w:rsidR="00282F30" w:rsidRPr="00304A3B">
        <w:rPr>
          <w:rStyle w:val="normaltextrun"/>
          <w:sz w:val="22"/>
          <w:szCs w:val="22"/>
        </w:rPr>
        <w:t xml:space="preserve">GDP </w:t>
      </w:r>
      <w:r w:rsidR="006168B6" w:rsidRPr="00304A3B">
        <w:rPr>
          <w:rStyle w:val="normaltextrun"/>
          <w:sz w:val="22"/>
          <w:szCs w:val="22"/>
        </w:rPr>
        <w:t xml:space="preserve">per capita of $49,000, third highest among </w:t>
      </w:r>
      <w:r w:rsidR="00426A07" w:rsidRPr="00304A3B">
        <w:rPr>
          <w:rStyle w:val="normaltextrun"/>
          <w:sz w:val="22"/>
          <w:szCs w:val="22"/>
        </w:rPr>
        <w:t xml:space="preserve">our </w:t>
      </w:r>
      <w:r w:rsidR="004D5AC3" w:rsidRPr="00304A3B">
        <w:rPr>
          <w:rStyle w:val="normaltextrun"/>
          <w:sz w:val="22"/>
          <w:szCs w:val="22"/>
        </w:rPr>
        <w:t>groups</w:t>
      </w:r>
      <w:r w:rsidR="005D2FE0" w:rsidRPr="00304A3B">
        <w:rPr>
          <w:rStyle w:val="normaltextrun"/>
          <w:sz w:val="22"/>
          <w:szCs w:val="22"/>
        </w:rPr>
        <w:t>.</w:t>
      </w:r>
    </w:p>
    <w:p w14:paraId="60BDFD46" w14:textId="77777777" w:rsidR="00D0481E" w:rsidRDefault="00D0481E" w:rsidP="005D2FE0">
      <w:pPr>
        <w:pStyle w:val="paragraph"/>
        <w:spacing w:before="0" w:beforeAutospacing="0" w:after="200" w:afterAutospacing="0"/>
        <w:textAlignment w:val="baseline"/>
        <w:rPr>
          <w:rStyle w:val="normaltextrun"/>
          <w:b/>
          <w:sz w:val="22"/>
          <w:szCs w:val="22"/>
        </w:rPr>
      </w:pPr>
    </w:p>
    <w:p w14:paraId="5EACE198" w14:textId="699135FA" w:rsidR="005D2FE0" w:rsidRPr="00304A3B" w:rsidRDefault="005D2FE0" w:rsidP="005D2FE0">
      <w:pPr>
        <w:pStyle w:val="paragraph"/>
        <w:spacing w:before="0" w:beforeAutospacing="0" w:after="200" w:afterAutospacing="0"/>
        <w:textAlignment w:val="baseline"/>
        <w:rPr>
          <w:rStyle w:val="normaltextrun"/>
          <w:b/>
          <w:sz w:val="22"/>
          <w:szCs w:val="22"/>
        </w:rPr>
      </w:pPr>
      <w:proofErr w:type="gramStart"/>
      <w:r w:rsidRPr="00304A3B">
        <w:rPr>
          <w:rStyle w:val="normaltextrun"/>
          <w:b/>
          <w:sz w:val="22"/>
          <w:szCs w:val="22"/>
        </w:rPr>
        <w:t>Map 8.</w:t>
      </w:r>
      <w:proofErr w:type="gramEnd"/>
      <w:r w:rsidRPr="00304A3B">
        <w:rPr>
          <w:rStyle w:val="normaltextrun"/>
          <w:b/>
          <w:sz w:val="22"/>
          <w:szCs w:val="22"/>
        </w:rPr>
        <w:t xml:space="preserve"> </w:t>
      </w:r>
      <w:r w:rsidR="005D19A1" w:rsidRPr="00304A3B">
        <w:rPr>
          <w:rStyle w:val="normaltextrun"/>
          <w:b/>
          <w:sz w:val="22"/>
          <w:szCs w:val="22"/>
        </w:rPr>
        <w:t>International Middleweights</w:t>
      </w:r>
      <w:r w:rsidR="00D0481E">
        <w:rPr>
          <w:rStyle w:val="normaltextrun"/>
          <w:b/>
          <w:sz w:val="22"/>
          <w:szCs w:val="22"/>
        </w:rPr>
        <w:t>, 2015</w:t>
      </w:r>
    </w:p>
    <w:p w14:paraId="538EA524" w14:textId="4BC6E42F" w:rsidR="00ED5BE7" w:rsidRPr="00304A3B" w:rsidRDefault="00ED5BE7" w:rsidP="00D0481E">
      <w:pPr>
        <w:pStyle w:val="paragraph"/>
        <w:spacing w:before="0" w:beforeAutospacing="0" w:after="200" w:afterAutospacing="0"/>
        <w:jc w:val="center"/>
        <w:textAlignment w:val="baseline"/>
        <w:rPr>
          <w:rStyle w:val="normaltextrun"/>
          <w:b/>
          <w:sz w:val="22"/>
          <w:szCs w:val="22"/>
        </w:rPr>
      </w:pPr>
    </w:p>
    <w:p w14:paraId="3D1F4FB9" w14:textId="1786F160" w:rsidR="0069676F" w:rsidRPr="00304A3B" w:rsidRDefault="0069676F" w:rsidP="005D2FE0">
      <w:pPr>
        <w:pStyle w:val="paragraph"/>
        <w:spacing w:before="0" w:beforeAutospacing="0" w:after="200" w:afterAutospacing="0"/>
        <w:textAlignment w:val="baseline"/>
        <w:rPr>
          <w:rStyle w:val="normaltextrun"/>
          <w:b/>
          <w:sz w:val="22"/>
          <w:szCs w:val="22"/>
        </w:rPr>
      </w:pPr>
      <w:proofErr w:type="gramStart"/>
      <w:r w:rsidRPr="00304A3B">
        <w:rPr>
          <w:rStyle w:val="normaltextrun"/>
          <w:b/>
          <w:sz w:val="22"/>
          <w:szCs w:val="22"/>
        </w:rPr>
        <w:t xml:space="preserve">Table </w:t>
      </w:r>
      <w:r w:rsidR="005E680A" w:rsidRPr="00304A3B">
        <w:rPr>
          <w:rStyle w:val="normaltextrun"/>
          <w:b/>
          <w:sz w:val="22"/>
          <w:szCs w:val="22"/>
        </w:rPr>
        <w:t>9</w:t>
      </w:r>
      <w:r w:rsidRPr="00304A3B">
        <w:rPr>
          <w:rStyle w:val="normaltextrun"/>
          <w:b/>
          <w:sz w:val="22"/>
          <w:szCs w:val="22"/>
        </w:rPr>
        <w:t>.</w:t>
      </w:r>
      <w:proofErr w:type="gramEnd"/>
      <w:r w:rsidRPr="00304A3B">
        <w:rPr>
          <w:rStyle w:val="normaltextrun"/>
          <w:b/>
          <w:sz w:val="22"/>
          <w:szCs w:val="22"/>
        </w:rPr>
        <w:t xml:space="preserve"> International Middleweights </w:t>
      </w:r>
      <w:r w:rsidR="00D0481E">
        <w:rPr>
          <w:rStyle w:val="normaltextrun"/>
          <w:b/>
          <w:sz w:val="22"/>
          <w:szCs w:val="22"/>
        </w:rPr>
        <w:t>economic indicators, 2015</w:t>
      </w:r>
    </w:p>
    <w:p w14:paraId="0BF2A68A" w14:textId="77777777" w:rsidR="0069676F" w:rsidRPr="00304A3B" w:rsidRDefault="0069676F" w:rsidP="005D2FE0">
      <w:pPr>
        <w:pStyle w:val="paragraph"/>
        <w:spacing w:before="0" w:beforeAutospacing="0" w:after="200" w:afterAutospacing="0"/>
        <w:textAlignment w:val="baseline"/>
        <w:rPr>
          <w:rStyle w:val="normaltextrun"/>
          <w:b/>
          <w:sz w:val="22"/>
          <w:szCs w:val="22"/>
        </w:rPr>
      </w:pPr>
    </w:p>
    <w:p w14:paraId="27D70D49" w14:textId="77777777" w:rsidR="0069676F" w:rsidRPr="00304A3B" w:rsidRDefault="0069676F" w:rsidP="005D2FE0">
      <w:pPr>
        <w:pStyle w:val="paragraph"/>
        <w:spacing w:before="0" w:beforeAutospacing="0" w:after="200" w:afterAutospacing="0"/>
        <w:textAlignment w:val="baseline"/>
        <w:rPr>
          <w:rStyle w:val="normaltextrun"/>
          <w:b/>
          <w:sz w:val="22"/>
          <w:szCs w:val="22"/>
        </w:rPr>
      </w:pPr>
    </w:p>
    <w:p w14:paraId="5F7661D6" w14:textId="672FCF00" w:rsidR="005D2FE0" w:rsidRPr="00304A3B" w:rsidRDefault="00D0481E" w:rsidP="005D2FE0">
      <w:pPr>
        <w:pStyle w:val="paragraph"/>
        <w:spacing w:before="0" w:beforeAutospacing="0" w:after="200" w:afterAutospacing="0"/>
        <w:textAlignment w:val="baseline"/>
        <w:rPr>
          <w:rStyle w:val="normaltextrun"/>
          <w:b/>
          <w:sz w:val="22"/>
          <w:szCs w:val="22"/>
        </w:rPr>
      </w:pPr>
      <w:proofErr w:type="gramStart"/>
      <w:r>
        <w:rPr>
          <w:rStyle w:val="normaltextrun"/>
          <w:b/>
          <w:sz w:val="22"/>
          <w:szCs w:val="22"/>
        </w:rPr>
        <w:t>Figure 16</w:t>
      </w:r>
      <w:r w:rsidR="005D2FE0" w:rsidRPr="00304A3B">
        <w:rPr>
          <w:rStyle w:val="normaltextrun"/>
          <w:b/>
          <w:sz w:val="22"/>
          <w:szCs w:val="22"/>
        </w:rPr>
        <w:t>.</w:t>
      </w:r>
      <w:proofErr w:type="gramEnd"/>
      <w:r w:rsidR="005D2FE0" w:rsidRPr="00304A3B">
        <w:rPr>
          <w:rStyle w:val="normaltextrun"/>
          <w:b/>
          <w:sz w:val="22"/>
          <w:szCs w:val="22"/>
        </w:rPr>
        <w:t xml:space="preserve"> </w:t>
      </w:r>
      <w:r w:rsidR="005D19A1" w:rsidRPr="00304A3B">
        <w:rPr>
          <w:rStyle w:val="normaltextrun"/>
          <w:b/>
          <w:sz w:val="22"/>
          <w:szCs w:val="22"/>
        </w:rPr>
        <w:t>International Middleweights</w:t>
      </w:r>
      <w:r w:rsidR="0069676F" w:rsidRPr="00304A3B">
        <w:rPr>
          <w:rStyle w:val="normaltextrun"/>
          <w:b/>
          <w:sz w:val="22"/>
          <w:szCs w:val="22"/>
        </w:rPr>
        <w:t xml:space="preserve"> </w:t>
      </w:r>
      <w:r>
        <w:rPr>
          <w:rStyle w:val="normaltextrun"/>
          <w:b/>
          <w:sz w:val="22"/>
          <w:szCs w:val="22"/>
        </w:rPr>
        <w:t>i</w:t>
      </w:r>
      <w:r w:rsidR="0069676F" w:rsidRPr="00304A3B">
        <w:rPr>
          <w:rStyle w:val="normaltextrun"/>
          <w:b/>
          <w:sz w:val="22"/>
          <w:szCs w:val="22"/>
        </w:rPr>
        <w:t>ndicators</w:t>
      </w:r>
      <w:r>
        <w:rPr>
          <w:rStyle w:val="normaltextrun"/>
          <w:b/>
          <w:sz w:val="22"/>
          <w:szCs w:val="22"/>
        </w:rPr>
        <w:t>, 2015 or most recent year available</w:t>
      </w:r>
    </w:p>
    <w:p w14:paraId="692431C7" w14:textId="282CAC07" w:rsidR="006168B6" w:rsidRPr="00304A3B" w:rsidRDefault="006168B6" w:rsidP="00E40B21">
      <w:pPr>
        <w:pStyle w:val="paragraph"/>
        <w:spacing w:before="0" w:beforeAutospacing="0" w:after="200" w:afterAutospacing="0"/>
        <w:ind w:left="-720"/>
        <w:jc w:val="center"/>
        <w:textAlignment w:val="baseline"/>
        <w:rPr>
          <w:rStyle w:val="normaltextrun"/>
          <w:sz w:val="22"/>
          <w:szCs w:val="22"/>
        </w:rPr>
      </w:pPr>
    </w:p>
    <w:p w14:paraId="2C968AAB" w14:textId="25E887D5" w:rsidR="006168B6" w:rsidRPr="00304A3B" w:rsidRDefault="00C052B4" w:rsidP="005D2FE0">
      <w:pPr>
        <w:pStyle w:val="paragraph"/>
        <w:spacing w:before="0" w:beforeAutospacing="0" w:after="200" w:afterAutospacing="0"/>
        <w:textAlignment w:val="baseline"/>
        <w:rPr>
          <w:rStyle w:val="normaltextrun"/>
          <w:sz w:val="22"/>
          <w:szCs w:val="22"/>
        </w:rPr>
      </w:pPr>
      <w:r w:rsidRPr="00304A3B">
        <w:rPr>
          <w:rStyle w:val="normaltextrun"/>
          <w:sz w:val="22"/>
          <w:szCs w:val="22"/>
        </w:rPr>
        <w:t>International Middleweights are the most</w:t>
      </w:r>
      <w:r w:rsidR="007E23DD" w:rsidRPr="00304A3B">
        <w:rPr>
          <w:rStyle w:val="normaltextrun"/>
          <w:sz w:val="22"/>
          <w:szCs w:val="22"/>
        </w:rPr>
        <w:t xml:space="preserve"> varied group of </w:t>
      </w:r>
      <w:r w:rsidR="00D27BAB" w:rsidRPr="00304A3B">
        <w:rPr>
          <w:rStyle w:val="normaltextrun"/>
          <w:sz w:val="22"/>
          <w:szCs w:val="22"/>
        </w:rPr>
        <w:t xml:space="preserve">metro economies. </w:t>
      </w:r>
      <w:r w:rsidR="006168B6" w:rsidRPr="00304A3B">
        <w:rPr>
          <w:rStyle w:val="normaltextrun"/>
          <w:sz w:val="22"/>
          <w:szCs w:val="22"/>
        </w:rPr>
        <w:t>Cities like</w:t>
      </w:r>
      <w:r w:rsidR="006168B6" w:rsidRPr="00304A3B">
        <w:rPr>
          <w:rStyle w:val="apple-converted-space"/>
          <w:sz w:val="22"/>
          <w:szCs w:val="22"/>
        </w:rPr>
        <w:t> </w:t>
      </w:r>
      <w:r w:rsidR="006168B6" w:rsidRPr="00304A3B">
        <w:rPr>
          <w:rStyle w:val="normaltextrun"/>
          <w:sz w:val="22"/>
          <w:szCs w:val="22"/>
        </w:rPr>
        <w:t xml:space="preserve">Toronto, </w:t>
      </w:r>
      <w:r w:rsidR="00282F30" w:rsidRPr="00304A3B">
        <w:rPr>
          <w:rStyle w:val="normaltextrun"/>
          <w:sz w:val="22"/>
          <w:szCs w:val="22"/>
        </w:rPr>
        <w:t>Sydney</w:t>
      </w:r>
      <w:r w:rsidR="006168B6" w:rsidRPr="00304A3B">
        <w:rPr>
          <w:rStyle w:val="normaltextrun"/>
          <w:sz w:val="22"/>
          <w:szCs w:val="22"/>
        </w:rPr>
        <w:t>, Frankfurt, Madrid and Copenhagen</w:t>
      </w:r>
      <w:r w:rsidR="006168B6" w:rsidRPr="00304A3B">
        <w:rPr>
          <w:rStyle w:val="apple-converted-space"/>
          <w:sz w:val="22"/>
          <w:szCs w:val="22"/>
        </w:rPr>
        <w:t> </w:t>
      </w:r>
      <w:r w:rsidR="006168B6" w:rsidRPr="00304A3B">
        <w:rPr>
          <w:rStyle w:val="normaltextrun"/>
          <w:sz w:val="22"/>
          <w:szCs w:val="22"/>
        </w:rPr>
        <w:t xml:space="preserve">play a fundamental role in the provision of business and financial services in their national </w:t>
      </w:r>
      <w:r w:rsidR="00282F30" w:rsidRPr="00304A3B">
        <w:rPr>
          <w:rStyle w:val="normaltextrun"/>
          <w:sz w:val="22"/>
          <w:szCs w:val="22"/>
        </w:rPr>
        <w:t xml:space="preserve">and regional </w:t>
      </w:r>
      <w:r w:rsidR="006168B6" w:rsidRPr="00304A3B">
        <w:rPr>
          <w:rStyle w:val="normaltextrun"/>
          <w:sz w:val="22"/>
          <w:szCs w:val="22"/>
        </w:rPr>
        <w:t>economies. In parallel, industrial centers such as</w:t>
      </w:r>
      <w:r w:rsidR="006168B6" w:rsidRPr="00304A3B">
        <w:rPr>
          <w:rStyle w:val="apple-converted-space"/>
          <w:sz w:val="22"/>
          <w:szCs w:val="22"/>
        </w:rPr>
        <w:t> </w:t>
      </w:r>
      <w:r w:rsidR="006168B6" w:rsidRPr="00304A3B">
        <w:rPr>
          <w:rStyle w:val="normaltextrun"/>
          <w:sz w:val="22"/>
          <w:szCs w:val="22"/>
        </w:rPr>
        <w:t xml:space="preserve">Kitakyushu-Fukuoka, Nagoya, Stuttgart, Karlsruhe, Milan and Barcelona, </w:t>
      </w:r>
      <w:r w:rsidR="0085468C" w:rsidRPr="00304A3B">
        <w:rPr>
          <w:rStyle w:val="normaltextrun"/>
          <w:sz w:val="22"/>
          <w:szCs w:val="22"/>
        </w:rPr>
        <w:t xml:space="preserve">generate significant levels of manufacturing </w:t>
      </w:r>
      <w:r w:rsidR="00282F30" w:rsidRPr="00304A3B">
        <w:rPr>
          <w:rStyle w:val="normaltextrun"/>
          <w:sz w:val="22"/>
          <w:szCs w:val="22"/>
        </w:rPr>
        <w:t>value-added in Japan, Germany, and Southern Europe</w:t>
      </w:r>
      <w:r w:rsidR="00A676D9" w:rsidRPr="00304A3B">
        <w:rPr>
          <w:rStyle w:val="normaltextrun"/>
          <w:sz w:val="22"/>
          <w:szCs w:val="22"/>
        </w:rPr>
        <w:t>, respectively</w:t>
      </w:r>
      <w:r w:rsidR="006168B6" w:rsidRPr="00304A3B">
        <w:rPr>
          <w:rStyle w:val="normaltextrun"/>
          <w:sz w:val="22"/>
          <w:szCs w:val="22"/>
        </w:rPr>
        <w:t>. </w:t>
      </w:r>
      <w:r w:rsidR="00D27BAB" w:rsidRPr="00304A3B">
        <w:rPr>
          <w:rStyle w:val="normaltextrun"/>
          <w:sz w:val="22"/>
          <w:szCs w:val="22"/>
        </w:rPr>
        <w:t xml:space="preserve">Most have diversified tradable sectors that tend to specialize in knowledge services, advanced manufacturing, or some combination of both. </w:t>
      </w:r>
    </w:p>
    <w:p w14:paraId="46228CFC" w14:textId="53746922" w:rsidR="006168B6" w:rsidRPr="00304A3B" w:rsidRDefault="00D27BAB" w:rsidP="005D2FE0">
      <w:pPr>
        <w:pStyle w:val="paragraph"/>
        <w:spacing w:before="0" w:beforeAutospacing="0" w:after="200" w:afterAutospacing="0"/>
        <w:textAlignment w:val="baseline"/>
        <w:rPr>
          <w:rStyle w:val="eop"/>
          <w:sz w:val="22"/>
          <w:szCs w:val="22"/>
        </w:rPr>
      </w:pPr>
      <w:r w:rsidRPr="00304A3B">
        <w:rPr>
          <w:rStyle w:val="normaltextrun"/>
          <w:sz w:val="22"/>
          <w:szCs w:val="22"/>
        </w:rPr>
        <w:t xml:space="preserve">Several shared characteristics bind </w:t>
      </w:r>
      <w:r w:rsidR="00751C4D">
        <w:rPr>
          <w:rStyle w:val="normaltextrun"/>
          <w:sz w:val="22"/>
          <w:szCs w:val="22"/>
        </w:rPr>
        <w:t>International Middleweights</w:t>
      </w:r>
      <w:r w:rsidRPr="00304A3B">
        <w:rPr>
          <w:rStyle w:val="normaltextrun"/>
          <w:sz w:val="22"/>
          <w:szCs w:val="22"/>
        </w:rPr>
        <w:t xml:space="preserve">. First, they are quite globally connected by migration and capital flows. </w:t>
      </w:r>
      <w:r w:rsidR="007E23DD" w:rsidRPr="00304A3B">
        <w:rPr>
          <w:rStyle w:val="normaltextrun"/>
          <w:sz w:val="22"/>
          <w:szCs w:val="22"/>
        </w:rPr>
        <w:t xml:space="preserve">About 22 percent of the population in these cities are foreign-born, the highest share among any cluster. Similarly, these metros boast the </w:t>
      </w:r>
      <w:r w:rsidR="006168B6" w:rsidRPr="00304A3B">
        <w:rPr>
          <w:rStyle w:val="normaltextrun"/>
          <w:sz w:val="22"/>
          <w:szCs w:val="22"/>
        </w:rPr>
        <w:t xml:space="preserve">second highest level of </w:t>
      </w:r>
      <w:r w:rsidR="007E23DD" w:rsidRPr="00304A3B">
        <w:rPr>
          <w:rStyle w:val="normaltextrun"/>
          <w:sz w:val="22"/>
          <w:szCs w:val="22"/>
        </w:rPr>
        <w:t xml:space="preserve">foreign direct investment </w:t>
      </w:r>
      <w:r w:rsidR="006168B6" w:rsidRPr="00304A3B">
        <w:rPr>
          <w:rStyle w:val="normaltextrun"/>
          <w:sz w:val="22"/>
          <w:szCs w:val="22"/>
        </w:rPr>
        <w:t>per capita</w:t>
      </w:r>
      <w:r w:rsidR="007E23DD" w:rsidRPr="00304A3B">
        <w:rPr>
          <w:rStyle w:val="normaltextrun"/>
          <w:sz w:val="22"/>
          <w:szCs w:val="22"/>
        </w:rPr>
        <w:t>,</w:t>
      </w:r>
      <w:r w:rsidR="006168B6" w:rsidRPr="00304A3B">
        <w:rPr>
          <w:rStyle w:val="normaltextrun"/>
          <w:sz w:val="22"/>
          <w:szCs w:val="22"/>
        </w:rPr>
        <w:t xml:space="preserve"> with almost </w:t>
      </w:r>
      <w:r w:rsidR="007E23DD" w:rsidRPr="00304A3B">
        <w:rPr>
          <w:rStyle w:val="normaltextrun"/>
          <w:sz w:val="22"/>
          <w:szCs w:val="22"/>
        </w:rPr>
        <w:t>$</w:t>
      </w:r>
      <w:r w:rsidR="006168B6" w:rsidRPr="00304A3B">
        <w:rPr>
          <w:rStyle w:val="normaltextrun"/>
          <w:sz w:val="22"/>
          <w:szCs w:val="22"/>
        </w:rPr>
        <w:t>2,000 dollars of FDI stock per inhabitant</w:t>
      </w:r>
      <w:r w:rsidR="007E23DD" w:rsidRPr="00304A3B">
        <w:rPr>
          <w:rStyle w:val="normaltextrun"/>
          <w:sz w:val="22"/>
          <w:szCs w:val="22"/>
        </w:rPr>
        <w:t xml:space="preserve">. </w:t>
      </w:r>
      <w:r w:rsidR="00E970C3" w:rsidRPr="00304A3B">
        <w:rPr>
          <w:rStyle w:val="normaltextrun"/>
          <w:sz w:val="22"/>
          <w:szCs w:val="22"/>
        </w:rPr>
        <w:t>These metros</w:t>
      </w:r>
      <w:r w:rsidRPr="00304A3B">
        <w:rPr>
          <w:rStyle w:val="normaltextrun"/>
          <w:sz w:val="22"/>
          <w:szCs w:val="22"/>
        </w:rPr>
        <w:t xml:space="preserve"> are well-educated (33 percent of the working age population has tertiary education); </w:t>
      </w:r>
      <w:r w:rsidR="005C1980" w:rsidRPr="00304A3B">
        <w:rPr>
          <w:rStyle w:val="normaltextrun"/>
          <w:sz w:val="22"/>
          <w:szCs w:val="22"/>
        </w:rPr>
        <w:t xml:space="preserve">house elite universities (the highest number of research universities of any </w:t>
      </w:r>
      <w:r w:rsidR="00751C4D">
        <w:rPr>
          <w:rStyle w:val="normaltextrun"/>
          <w:sz w:val="22"/>
          <w:szCs w:val="22"/>
        </w:rPr>
        <w:t>group</w:t>
      </w:r>
      <w:r w:rsidR="005C1980" w:rsidRPr="00304A3B">
        <w:rPr>
          <w:rStyle w:val="normaltextrun"/>
          <w:sz w:val="22"/>
          <w:szCs w:val="22"/>
        </w:rPr>
        <w:t xml:space="preserve"> on both an absolute and per capita basis); and </w:t>
      </w:r>
      <w:r w:rsidRPr="00304A3B">
        <w:rPr>
          <w:rStyle w:val="normaltextrun"/>
          <w:sz w:val="22"/>
          <w:szCs w:val="22"/>
        </w:rPr>
        <w:t>generate new knowledge (third highest rate of patenting intensity</w:t>
      </w:r>
      <w:r w:rsidR="00C83DF3" w:rsidRPr="00304A3B">
        <w:rPr>
          <w:rStyle w:val="normaltextrun"/>
          <w:sz w:val="22"/>
          <w:szCs w:val="22"/>
        </w:rPr>
        <w:t>)</w:t>
      </w:r>
      <w:r w:rsidR="005C1980" w:rsidRPr="00304A3B">
        <w:rPr>
          <w:rStyle w:val="normaltextrun"/>
          <w:sz w:val="22"/>
          <w:szCs w:val="22"/>
        </w:rPr>
        <w:t>.</w:t>
      </w:r>
    </w:p>
    <w:p w14:paraId="4A343997" w14:textId="6EAEF380" w:rsidR="006168B6" w:rsidRPr="00304A3B" w:rsidRDefault="006168B6" w:rsidP="0085468C">
      <w:pPr>
        <w:pStyle w:val="paragraph"/>
        <w:spacing w:before="0" w:beforeAutospacing="0" w:after="0" w:afterAutospacing="0"/>
        <w:textAlignment w:val="baseline"/>
        <w:rPr>
          <w:rStyle w:val="eop"/>
          <w:b/>
          <w:sz w:val="22"/>
          <w:szCs w:val="22"/>
        </w:rPr>
      </w:pPr>
      <w:r w:rsidRPr="00304A3B">
        <w:rPr>
          <w:rStyle w:val="eop"/>
          <w:b/>
          <w:sz w:val="22"/>
          <w:szCs w:val="22"/>
        </w:rPr>
        <w:t xml:space="preserve">Figure </w:t>
      </w:r>
      <w:r w:rsidR="00234FFE">
        <w:rPr>
          <w:rStyle w:val="eop"/>
          <w:b/>
          <w:sz w:val="22"/>
          <w:szCs w:val="22"/>
        </w:rPr>
        <w:t>17</w:t>
      </w:r>
      <w:r w:rsidRPr="00304A3B">
        <w:rPr>
          <w:rStyle w:val="eop"/>
          <w:b/>
          <w:sz w:val="22"/>
          <w:szCs w:val="22"/>
        </w:rPr>
        <w:t xml:space="preserve">: </w:t>
      </w:r>
      <w:r w:rsidR="00AE4ADC" w:rsidRPr="00304A3B">
        <w:rPr>
          <w:rStyle w:val="eop"/>
          <w:b/>
          <w:sz w:val="22"/>
          <w:szCs w:val="22"/>
        </w:rPr>
        <w:t>Total number of world ranked r</w:t>
      </w:r>
      <w:r w:rsidRPr="00304A3B">
        <w:rPr>
          <w:rStyle w:val="eop"/>
          <w:b/>
          <w:sz w:val="22"/>
          <w:szCs w:val="22"/>
        </w:rPr>
        <w:t>esearch universities</w:t>
      </w:r>
      <w:r w:rsidR="00234FFE">
        <w:rPr>
          <w:rStyle w:val="eop"/>
          <w:b/>
          <w:sz w:val="22"/>
          <w:szCs w:val="22"/>
        </w:rPr>
        <w:t xml:space="preserve"> in metropolitan groups, 2010-2013</w:t>
      </w:r>
    </w:p>
    <w:p w14:paraId="509220B5" w14:textId="54D050EC" w:rsidR="006168B6" w:rsidRPr="00304A3B" w:rsidRDefault="006168B6" w:rsidP="005D2FE0">
      <w:pPr>
        <w:pStyle w:val="paragraph"/>
        <w:spacing w:before="0" w:beforeAutospacing="0" w:after="200" w:afterAutospacing="0"/>
        <w:jc w:val="center"/>
        <w:textAlignment w:val="baseline"/>
        <w:rPr>
          <w:sz w:val="22"/>
          <w:szCs w:val="22"/>
        </w:rPr>
      </w:pPr>
    </w:p>
    <w:p w14:paraId="6E9DAF7F" w14:textId="5DFD504B" w:rsidR="006168B6" w:rsidRPr="00304A3B" w:rsidRDefault="00E970C3" w:rsidP="005D2FE0">
      <w:pPr>
        <w:pStyle w:val="paragraph"/>
        <w:spacing w:before="0" w:beforeAutospacing="0" w:after="200" w:afterAutospacing="0"/>
        <w:textAlignment w:val="baseline"/>
        <w:rPr>
          <w:rStyle w:val="normaltextrun"/>
          <w:sz w:val="22"/>
          <w:szCs w:val="22"/>
        </w:rPr>
      </w:pPr>
      <w:r w:rsidRPr="00304A3B">
        <w:rPr>
          <w:rStyle w:val="normaltextrun"/>
          <w:sz w:val="22"/>
          <w:szCs w:val="22"/>
        </w:rPr>
        <w:lastRenderedPageBreak/>
        <w:t xml:space="preserve">For </w:t>
      </w:r>
      <w:r w:rsidR="005D19A1" w:rsidRPr="00304A3B">
        <w:rPr>
          <w:rStyle w:val="normaltextrun"/>
          <w:sz w:val="22"/>
          <w:szCs w:val="22"/>
        </w:rPr>
        <w:t>International Middleweights</w:t>
      </w:r>
      <w:r w:rsidR="005C1980" w:rsidRPr="00304A3B">
        <w:rPr>
          <w:rStyle w:val="normaltextrun"/>
          <w:sz w:val="22"/>
          <w:szCs w:val="22"/>
        </w:rPr>
        <w:t xml:space="preserve">, unfortunately, another characterization they share is sluggish economic growth. </w:t>
      </w:r>
      <w:r w:rsidR="006168B6" w:rsidRPr="00304A3B">
        <w:rPr>
          <w:rStyle w:val="normaltextrun"/>
          <w:sz w:val="22"/>
          <w:szCs w:val="22"/>
        </w:rPr>
        <w:t>Between 2000 and 2015</w:t>
      </w:r>
      <w:r w:rsidR="00561C4C" w:rsidRPr="00304A3B">
        <w:rPr>
          <w:rStyle w:val="apple-converted-space"/>
          <w:sz w:val="22"/>
          <w:szCs w:val="22"/>
        </w:rPr>
        <w:t>,</w:t>
      </w:r>
      <w:r w:rsidR="00561C4C" w:rsidRPr="00304A3B" w:rsidDel="00561C4C">
        <w:rPr>
          <w:rStyle w:val="normaltextrun"/>
          <w:sz w:val="22"/>
          <w:szCs w:val="22"/>
        </w:rPr>
        <w:t xml:space="preserve"> </w:t>
      </w:r>
      <w:r w:rsidR="00561C4C" w:rsidRPr="00304A3B">
        <w:rPr>
          <w:rStyle w:val="normaltextrun"/>
          <w:sz w:val="22"/>
          <w:szCs w:val="22"/>
        </w:rPr>
        <w:t>output</w:t>
      </w:r>
      <w:r w:rsidR="006168B6" w:rsidRPr="00304A3B">
        <w:rPr>
          <w:rStyle w:val="normaltextrun"/>
          <w:sz w:val="22"/>
          <w:szCs w:val="22"/>
        </w:rPr>
        <w:t xml:space="preserve">, </w:t>
      </w:r>
      <w:r w:rsidR="005C1980" w:rsidRPr="00304A3B">
        <w:rPr>
          <w:rStyle w:val="normaltextrun"/>
          <w:sz w:val="22"/>
          <w:szCs w:val="22"/>
        </w:rPr>
        <w:t>GDP per capita</w:t>
      </w:r>
      <w:r w:rsidR="006168B6" w:rsidRPr="00304A3B">
        <w:rPr>
          <w:rStyle w:val="normaltextrun"/>
          <w:sz w:val="22"/>
          <w:szCs w:val="22"/>
        </w:rPr>
        <w:t>, and employment grew</w:t>
      </w:r>
      <w:r w:rsidR="006168B6" w:rsidRPr="00304A3B">
        <w:rPr>
          <w:rStyle w:val="apple-converted-space"/>
          <w:sz w:val="22"/>
          <w:szCs w:val="22"/>
        </w:rPr>
        <w:t> </w:t>
      </w:r>
      <w:r w:rsidR="00222EB4" w:rsidRPr="00304A3B">
        <w:rPr>
          <w:rStyle w:val="normaltextrun"/>
          <w:sz w:val="22"/>
          <w:szCs w:val="22"/>
        </w:rPr>
        <w:t>1.6</w:t>
      </w:r>
      <w:r w:rsidR="006168B6" w:rsidRPr="00304A3B">
        <w:rPr>
          <w:rStyle w:val="normaltextrun"/>
          <w:sz w:val="22"/>
          <w:szCs w:val="22"/>
        </w:rPr>
        <w:t xml:space="preserve">, </w:t>
      </w:r>
      <w:r w:rsidR="00222EB4" w:rsidRPr="00304A3B">
        <w:rPr>
          <w:rStyle w:val="normaltextrun"/>
          <w:sz w:val="22"/>
          <w:szCs w:val="22"/>
        </w:rPr>
        <w:t>0.7</w:t>
      </w:r>
      <w:r w:rsidR="006168B6" w:rsidRPr="00304A3B">
        <w:rPr>
          <w:rStyle w:val="normaltextrun"/>
          <w:sz w:val="22"/>
          <w:szCs w:val="22"/>
        </w:rPr>
        <w:t xml:space="preserve"> and 1.</w:t>
      </w:r>
      <w:r w:rsidR="00222EB4" w:rsidRPr="00304A3B">
        <w:rPr>
          <w:rStyle w:val="normaltextrun"/>
          <w:sz w:val="22"/>
          <w:szCs w:val="22"/>
        </w:rPr>
        <w:t>0</w:t>
      </w:r>
      <w:r w:rsidR="006168B6" w:rsidRPr="00304A3B">
        <w:rPr>
          <w:rStyle w:val="normaltextrun"/>
          <w:sz w:val="22"/>
          <w:szCs w:val="22"/>
        </w:rPr>
        <w:t xml:space="preserve"> percent annually, </w:t>
      </w:r>
      <w:r w:rsidR="00940F03" w:rsidRPr="00304A3B">
        <w:rPr>
          <w:rStyle w:val="normaltextrun"/>
          <w:sz w:val="22"/>
          <w:szCs w:val="22"/>
        </w:rPr>
        <w:t>all among the three slowest-</w:t>
      </w:r>
      <w:r w:rsidR="0070286A" w:rsidRPr="00304A3B">
        <w:rPr>
          <w:rStyle w:val="normaltextrun"/>
          <w:sz w:val="22"/>
          <w:szCs w:val="22"/>
        </w:rPr>
        <w:t xml:space="preserve">growing </w:t>
      </w:r>
      <w:r w:rsidR="009B01DC" w:rsidRPr="00304A3B">
        <w:rPr>
          <w:rStyle w:val="normaltextrun"/>
          <w:sz w:val="22"/>
          <w:szCs w:val="22"/>
        </w:rPr>
        <w:t>groups</w:t>
      </w:r>
      <w:r w:rsidR="006168B6" w:rsidRPr="00304A3B">
        <w:rPr>
          <w:rStyle w:val="normaltextrun"/>
          <w:sz w:val="22"/>
          <w:szCs w:val="22"/>
        </w:rPr>
        <w:t xml:space="preserve">. </w:t>
      </w:r>
      <w:r w:rsidR="00627EDF" w:rsidRPr="00304A3B">
        <w:rPr>
          <w:rStyle w:val="normaltextrun"/>
          <w:sz w:val="22"/>
          <w:szCs w:val="22"/>
        </w:rPr>
        <w:t xml:space="preserve">The solid economic growth of metropolitan areas in Australia (Perth, Sidney, Melbourne), Canada (Toronto and Vancouver), and Israel (Tel Aviv) whose metro economies posted real output growth rates of 3 percent on average, contrast starkly with the 1.1 percent experienced by their metropolitan peers in European metros. </w:t>
      </w:r>
      <w:r w:rsidR="006168B6" w:rsidRPr="00304A3B">
        <w:rPr>
          <w:rStyle w:val="normaltextrun"/>
          <w:sz w:val="22"/>
          <w:szCs w:val="22"/>
        </w:rPr>
        <w:t xml:space="preserve">Further, the international financial crisis of 2008-2009 divides the economic trajectory of this group of cities. Output, GDP per capita and </w:t>
      </w:r>
      <w:r w:rsidR="005C1980" w:rsidRPr="00304A3B">
        <w:rPr>
          <w:rStyle w:val="normaltextrun"/>
          <w:sz w:val="22"/>
          <w:szCs w:val="22"/>
        </w:rPr>
        <w:t xml:space="preserve">employment </w:t>
      </w:r>
      <w:r w:rsidR="006168B6" w:rsidRPr="00304A3B">
        <w:rPr>
          <w:rStyle w:val="normaltextrun"/>
          <w:sz w:val="22"/>
          <w:szCs w:val="22"/>
        </w:rPr>
        <w:t xml:space="preserve">all grew faster in the 2000-2007 </w:t>
      </w:r>
      <w:proofErr w:type="gramStart"/>
      <w:r w:rsidR="006168B6" w:rsidRPr="00304A3B">
        <w:rPr>
          <w:rStyle w:val="normaltextrun"/>
          <w:sz w:val="22"/>
          <w:szCs w:val="22"/>
        </w:rPr>
        <w:t>period</w:t>
      </w:r>
      <w:proofErr w:type="gramEnd"/>
      <w:r w:rsidR="006168B6" w:rsidRPr="00304A3B">
        <w:rPr>
          <w:rStyle w:val="normaltextrun"/>
          <w:sz w:val="22"/>
          <w:szCs w:val="22"/>
        </w:rPr>
        <w:t xml:space="preserve"> than in the following years. As a </w:t>
      </w:r>
      <w:r w:rsidR="002D7AF8" w:rsidRPr="00304A3B">
        <w:rPr>
          <w:rStyle w:val="normaltextrun"/>
          <w:sz w:val="22"/>
          <w:szCs w:val="22"/>
        </w:rPr>
        <w:t>result,</w:t>
      </w:r>
      <w:r w:rsidR="006168B6" w:rsidRPr="00304A3B">
        <w:rPr>
          <w:rStyle w:val="normaltextrun"/>
          <w:sz w:val="22"/>
          <w:szCs w:val="22"/>
        </w:rPr>
        <w:t xml:space="preserve"> 12 cities in this group have yet to </w:t>
      </w:r>
      <w:r w:rsidR="005C1980" w:rsidRPr="00304A3B">
        <w:rPr>
          <w:rStyle w:val="normaltextrun"/>
          <w:sz w:val="22"/>
          <w:szCs w:val="22"/>
        </w:rPr>
        <w:t xml:space="preserve">return to their pre-crisis GDP per capita levels and five </w:t>
      </w:r>
      <w:r w:rsidR="006168B6" w:rsidRPr="00304A3B">
        <w:rPr>
          <w:rStyle w:val="normaltextrun"/>
          <w:sz w:val="22"/>
          <w:szCs w:val="22"/>
        </w:rPr>
        <w:t xml:space="preserve">cities have yet to regain </w:t>
      </w:r>
      <w:r w:rsidR="005C1980" w:rsidRPr="00304A3B">
        <w:rPr>
          <w:rStyle w:val="normaltextrun"/>
          <w:sz w:val="22"/>
          <w:szCs w:val="22"/>
        </w:rPr>
        <w:t xml:space="preserve">their pre-crisis </w:t>
      </w:r>
      <w:r w:rsidR="006168B6" w:rsidRPr="00304A3B">
        <w:rPr>
          <w:rStyle w:val="normaltextrun"/>
          <w:sz w:val="22"/>
          <w:szCs w:val="22"/>
        </w:rPr>
        <w:t xml:space="preserve">employment </w:t>
      </w:r>
      <w:r w:rsidR="005C1980" w:rsidRPr="00304A3B">
        <w:rPr>
          <w:rStyle w:val="normaltextrun"/>
          <w:sz w:val="22"/>
          <w:szCs w:val="22"/>
        </w:rPr>
        <w:t>base</w:t>
      </w:r>
      <w:r w:rsidR="006168B6" w:rsidRPr="00304A3B">
        <w:rPr>
          <w:rStyle w:val="normaltextrun"/>
          <w:sz w:val="22"/>
          <w:szCs w:val="22"/>
        </w:rPr>
        <w:t xml:space="preserve">. </w:t>
      </w:r>
      <w:r w:rsidR="00751C4D">
        <w:rPr>
          <w:rStyle w:val="normaltextrun"/>
          <w:sz w:val="22"/>
          <w:szCs w:val="22"/>
        </w:rPr>
        <w:t xml:space="preserve">Further, in half of these markets, employment </w:t>
      </w:r>
      <w:r w:rsidR="006C1BEE" w:rsidRPr="00304A3B">
        <w:rPr>
          <w:rStyle w:val="normaltextrun"/>
          <w:sz w:val="22"/>
          <w:szCs w:val="22"/>
        </w:rPr>
        <w:t>was lower in 2015 than the 2005 levels, reflecting both a demographic transition as well as lower participation in the labor market.</w:t>
      </w:r>
    </w:p>
    <w:p w14:paraId="6291C4D2" w14:textId="7AB3FD4B" w:rsidR="005A1DF7" w:rsidRPr="00304A3B" w:rsidRDefault="00A30BBA" w:rsidP="00ED4FE7">
      <w:pPr>
        <w:spacing w:line="240" w:lineRule="auto"/>
        <w:rPr>
          <w:rFonts w:ascii="Times New Roman" w:hAnsi="Times New Roman" w:cs="Times New Roman"/>
          <w:b/>
        </w:rPr>
      </w:pPr>
      <w:r w:rsidRPr="00304A3B">
        <w:rPr>
          <w:rFonts w:ascii="Times New Roman" w:hAnsi="Times New Roman" w:cs="Times New Roman"/>
          <w:b/>
        </w:rPr>
        <w:t xml:space="preserve">V. </w:t>
      </w:r>
      <w:r w:rsidR="00ED4FE7" w:rsidRPr="00304A3B">
        <w:rPr>
          <w:rFonts w:ascii="Times New Roman" w:hAnsi="Times New Roman" w:cs="Times New Roman"/>
          <w:b/>
        </w:rPr>
        <w:t>Implications</w:t>
      </w:r>
    </w:p>
    <w:p w14:paraId="20C3BACF" w14:textId="7C0A9D15" w:rsidR="00415DE3" w:rsidRPr="00304A3B" w:rsidRDefault="00415DE3" w:rsidP="00ED4FE7">
      <w:pPr>
        <w:spacing w:line="240" w:lineRule="auto"/>
        <w:rPr>
          <w:rFonts w:ascii="Times New Roman" w:hAnsi="Times New Roman" w:cs="Times New Roman"/>
        </w:rPr>
      </w:pPr>
      <w:r w:rsidRPr="00304A3B">
        <w:rPr>
          <w:rFonts w:ascii="Times New Roman" w:hAnsi="Times New Roman" w:cs="Times New Roman"/>
        </w:rPr>
        <w:t xml:space="preserve">Examining global city economies through this typology reveals </w:t>
      </w:r>
      <w:r w:rsidR="003C6BE3" w:rsidRPr="00304A3B">
        <w:rPr>
          <w:rFonts w:ascii="Times New Roman" w:hAnsi="Times New Roman" w:cs="Times New Roman"/>
        </w:rPr>
        <w:t>three</w:t>
      </w:r>
      <w:r w:rsidRPr="00304A3B">
        <w:rPr>
          <w:rFonts w:ascii="Times New Roman" w:hAnsi="Times New Roman" w:cs="Times New Roman"/>
        </w:rPr>
        <w:t xml:space="preserve"> broad implications. </w:t>
      </w:r>
    </w:p>
    <w:p w14:paraId="7753CA92" w14:textId="46CF378B" w:rsidR="008A0425" w:rsidRPr="00304A3B" w:rsidRDefault="003C6BE3" w:rsidP="0041132C">
      <w:pPr>
        <w:spacing w:line="240" w:lineRule="auto"/>
        <w:rPr>
          <w:rFonts w:ascii="Times New Roman" w:hAnsi="Times New Roman" w:cs="Times New Roman"/>
        </w:rPr>
      </w:pPr>
      <w:r w:rsidRPr="00304A3B">
        <w:rPr>
          <w:rFonts w:ascii="Times New Roman" w:hAnsi="Times New Roman" w:cs="Times New Roman"/>
        </w:rPr>
        <w:t>First</w:t>
      </w:r>
      <w:r w:rsidR="008A0425" w:rsidRPr="00304A3B">
        <w:rPr>
          <w:rFonts w:ascii="Times New Roman" w:hAnsi="Times New Roman" w:cs="Times New Roman"/>
        </w:rPr>
        <w:t xml:space="preserve">, there is no one way to be a “global city.” The pervasiveness of </w:t>
      </w:r>
      <w:r w:rsidR="008A089B" w:rsidRPr="00304A3B">
        <w:rPr>
          <w:rFonts w:ascii="Times New Roman" w:hAnsi="Times New Roman" w:cs="Times New Roman"/>
        </w:rPr>
        <w:t xml:space="preserve">globalization has linked </w:t>
      </w:r>
      <w:r w:rsidR="008A0425" w:rsidRPr="00304A3B">
        <w:rPr>
          <w:rFonts w:ascii="Times New Roman" w:hAnsi="Times New Roman" w:cs="Times New Roman"/>
        </w:rPr>
        <w:t xml:space="preserve">metro economies in an international network that is simultaneously collaborative and competitive. </w:t>
      </w:r>
      <w:r w:rsidRPr="00304A3B">
        <w:rPr>
          <w:rFonts w:ascii="Times New Roman" w:hAnsi="Times New Roman" w:cs="Times New Roman"/>
        </w:rPr>
        <w:t xml:space="preserve">Based on their competitive endowment, cities start from very different places. </w:t>
      </w:r>
      <w:r w:rsidR="00F819E5" w:rsidRPr="00304A3B">
        <w:rPr>
          <w:rFonts w:ascii="Times New Roman" w:hAnsi="Times New Roman" w:cs="Times New Roman"/>
        </w:rPr>
        <w:t xml:space="preserve">Technological innovation occurs in more cities than ever before, but it is distinctly driven by a set of U.S. and European mid-sized regions due to their world-leading research universities and innovative firms. Two sets of massive </w:t>
      </w:r>
      <w:r w:rsidR="005B781B" w:rsidRPr="00304A3B">
        <w:rPr>
          <w:rFonts w:ascii="Times New Roman" w:hAnsi="Times New Roman" w:cs="Times New Roman"/>
        </w:rPr>
        <w:t>global centers</w:t>
      </w:r>
      <w:r w:rsidR="00F819E5" w:rsidRPr="00304A3B">
        <w:rPr>
          <w:rFonts w:ascii="Times New Roman" w:hAnsi="Times New Roman" w:cs="Times New Roman"/>
        </w:rPr>
        <w:t xml:space="preserve">—one in established nations and one in rising Asia—form the twin pillars of global finance and investment. They are complemented by a rising set of business, education, and transportation hubs that serve as global gateways to large, middle-income countries. Two additional groups of advanced economy metros—one concentrated in the </w:t>
      </w:r>
      <w:r w:rsidR="005B781B" w:rsidRPr="00304A3B">
        <w:rPr>
          <w:rFonts w:ascii="Times New Roman" w:hAnsi="Times New Roman" w:cs="Times New Roman"/>
        </w:rPr>
        <w:t>United States</w:t>
      </w:r>
      <w:r w:rsidR="00F819E5" w:rsidRPr="00304A3B">
        <w:rPr>
          <w:rFonts w:ascii="Times New Roman" w:hAnsi="Times New Roman" w:cs="Times New Roman"/>
        </w:rPr>
        <w:t xml:space="preserve"> and the other spread across Europe, Japan, and the UK commonwealth countries—are trying to deploy their relatively well-educated populations, industrial specializations in advanced manufacturing and business services, and university and airport anchor assets to maintain relevance globally. </w:t>
      </w:r>
      <w:r w:rsidR="008A0425" w:rsidRPr="00304A3B">
        <w:rPr>
          <w:rFonts w:ascii="Times New Roman" w:hAnsi="Times New Roman" w:cs="Times New Roman"/>
        </w:rPr>
        <w:t xml:space="preserve">Our typology reveals multiple models for global engagement. </w:t>
      </w:r>
    </w:p>
    <w:p w14:paraId="517D21BA" w14:textId="61DA8818" w:rsidR="008A089B" w:rsidRPr="00304A3B" w:rsidRDefault="0063150C" w:rsidP="0041132C">
      <w:pPr>
        <w:spacing w:line="240" w:lineRule="auto"/>
        <w:rPr>
          <w:rFonts w:ascii="Times New Roman" w:hAnsi="Times New Roman" w:cs="Times New Roman"/>
        </w:rPr>
      </w:pPr>
      <w:r w:rsidRPr="00304A3B">
        <w:rPr>
          <w:rFonts w:ascii="Times New Roman" w:hAnsi="Times New Roman" w:cs="Times New Roman"/>
        </w:rPr>
        <w:t xml:space="preserve">Second, </w:t>
      </w:r>
      <w:r w:rsidR="00751C4D">
        <w:rPr>
          <w:rFonts w:ascii="Times New Roman" w:hAnsi="Times New Roman" w:cs="Times New Roman"/>
        </w:rPr>
        <w:t>the differing ways in which cities engage globally is reflected in a diversity of outcomes in major cities</w:t>
      </w:r>
      <w:r w:rsidR="00B22D8B" w:rsidRPr="00304A3B">
        <w:rPr>
          <w:rFonts w:ascii="Times New Roman" w:hAnsi="Times New Roman" w:cs="Times New Roman"/>
        </w:rPr>
        <w:t xml:space="preserve">. </w:t>
      </w:r>
      <w:r w:rsidR="00751C4D">
        <w:rPr>
          <w:rFonts w:ascii="Times New Roman" w:hAnsi="Times New Roman" w:cs="Times New Roman"/>
        </w:rPr>
        <w:t xml:space="preserve">We see tremendous variation in GDP per capita and GDP per worker across our sample. </w:t>
      </w:r>
      <w:r w:rsidRPr="00304A3B">
        <w:rPr>
          <w:rFonts w:ascii="Times New Roman" w:hAnsi="Times New Roman" w:cs="Times New Roman"/>
        </w:rPr>
        <w:t>Growth var</w:t>
      </w:r>
      <w:r w:rsidR="00751C4D">
        <w:rPr>
          <w:rFonts w:ascii="Times New Roman" w:hAnsi="Times New Roman" w:cs="Times New Roman"/>
        </w:rPr>
        <w:t>ies</w:t>
      </w:r>
      <w:r w:rsidRPr="00304A3B">
        <w:rPr>
          <w:rFonts w:ascii="Times New Roman" w:hAnsi="Times New Roman" w:cs="Times New Roman"/>
        </w:rPr>
        <w:t xml:space="preserve"> greatly. Unsurprisingly, lower income metro areas have experienced the fastest GDP per capita growth since 2000, led by </w:t>
      </w:r>
      <w:r w:rsidR="00A8624E" w:rsidRPr="00304A3B">
        <w:rPr>
          <w:rFonts w:ascii="Times New Roman" w:hAnsi="Times New Roman" w:cs="Times New Roman"/>
        </w:rPr>
        <w:t>Factory China</w:t>
      </w:r>
      <w:r w:rsidRPr="00304A3B">
        <w:rPr>
          <w:rFonts w:ascii="Times New Roman" w:hAnsi="Times New Roman" w:cs="Times New Roman"/>
        </w:rPr>
        <w:t xml:space="preserve"> metros. </w:t>
      </w:r>
      <w:r w:rsidR="00940F03" w:rsidRPr="00304A3B">
        <w:rPr>
          <w:rFonts w:ascii="Times New Roman" w:hAnsi="Times New Roman" w:cs="Times New Roman"/>
        </w:rPr>
        <w:t>The trend towards convergence continues, although the pace is slowing</w:t>
      </w:r>
      <w:r w:rsidR="00B22D8B" w:rsidRPr="00304A3B">
        <w:rPr>
          <w:rFonts w:ascii="Times New Roman" w:hAnsi="Times New Roman" w:cs="Times New Roman"/>
        </w:rPr>
        <w:t>, and developed metro areas still maintain significantly higher incomes than their developing world peers</w:t>
      </w:r>
      <w:r w:rsidR="00940F03" w:rsidRPr="00304A3B">
        <w:rPr>
          <w:rFonts w:ascii="Times New Roman" w:hAnsi="Times New Roman" w:cs="Times New Roman"/>
        </w:rPr>
        <w:t xml:space="preserve">. </w:t>
      </w:r>
      <w:r w:rsidRPr="00304A3B">
        <w:rPr>
          <w:rFonts w:ascii="Times New Roman" w:hAnsi="Times New Roman" w:cs="Times New Roman"/>
        </w:rPr>
        <w:t xml:space="preserve">Within the developed world, </w:t>
      </w:r>
      <w:r w:rsidR="00A8624E" w:rsidRPr="00304A3B">
        <w:rPr>
          <w:rFonts w:ascii="Times New Roman" w:hAnsi="Times New Roman" w:cs="Times New Roman"/>
        </w:rPr>
        <w:t>Knowledge Capitals</w:t>
      </w:r>
      <w:r w:rsidRPr="00304A3B">
        <w:rPr>
          <w:rFonts w:ascii="Times New Roman" w:hAnsi="Times New Roman" w:cs="Times New Roman"/>
        </w:rPr>
        <w:t xml:space="preserve"> and </w:t>
      </w:r>
      <w:r w:rsidR="0016179B" w:rsidRPr="00304A3B">
        <w:rPr>
          <w:rFonts w:ascii="Times New Roman" w:hAnsi="Times New Roman" w:cs="Times New Roman"/>
        </w:rPr>
        <w:t>Global Giants</w:t>
      </w:r>
      <w:r w:rsidRPr="00304A3B">
        <w:rPr>
          <w:rFonts w:ascii="Times New Roman" w:hAnsi="Times New Roman" w:cs="Times New Roman"/>
        </w:rPr>
        <w:t xml:space="preserve"> not only have higher average incomes, but have also experienced faster GDP per capita and productivity growth. The American </w:t>
      </w:r>
      <w:r w:rsidR="005B781B" w:rsidRPr="00304A3B">
        <w:rPr>
          <w:rFonts w:ascii="Times New Roman" w:hAnsi="Times New Roman" w:cs="Times New Roman"/>
        </w:rPr>
        <w:t>Middleweights</w:t>
      </w:r>
      <w:r w:rsidRPr="00304A3B">
        <w:rPr>
          <w:rFonts w:ascii="Times New Roman" w:hAnsi="Times New Roman" w:cs="Times New Roman"/>
        </w:rPr>
        <w:t xml:space="preserve"> </w:t>
      </w:r>
      <w:r w:rsidR="005B781B" w:rsidRPr="00304A3B">
        <w:rPr>
          <w:rFonts w:ascii="Times New Roman" w:hAnsi="Times New Roman" w:cs="Times New Roman"/>
        </w:rPr>
        <w:t xml:space="preserve">and the </w:t>
      </w:r>
      <w:r w:rsidR="005D19A1" w:rsidRPr="00304A3B">
        <w:rPr>
          <w:rFonts w:ascii="Times New Roman" w:hAnsi="Times New Roman" w:cs="Times New Roman"/>
        </w:rPr>
        <w:t>International Middleweights</w:t>
      </w:r>
      <w:r w:rsidRPr="00304A3B">
        <w:rPr>
          <w:rFonts w:ascii="Times New Roman" w:hAnsi="Times New Roman" w:cs="Times New Roman"/>
        </w:rPr>
        <w:t xml:space="preserve">, which include most of Europe, tend to not only have lower incomes but also lower growth. </w:t>
      </w:r>
      <w:r w:rsidR="008A089B" w:rsidRPr="00304A3B">
        <w:rPr>
          <w:rFonts w:ascii="Times New Roman" w:hAnsi="Times New Roman" w:cs="Times New Roman"/>
        </w:rPr>
        <w:t xml:space="preserve">Bringing lagging </w:t>
      </w:r>
      <w:r w:rsidR="00B22D8B" w:rsidRPr="00304A3B">
        <w:rPr>
          <w:rFonts w:ascii="Times New Roman" w:hAnsi="Times New Roman" w:cs="Times New Roman"/>
        </w:rPr>
        <w:t xml:space="preserve">developed </w:t>
      </w:r>
      <w:r w:rsidR="008A089B" w:rsidRPr="00304A3B">
        <w:rPr>
          <w:rFonts w:ascii="Times New Roman" w:hAnsi="Times New Roman" w:cs="Times New Roman"/>
        </w:rPr>
        <w:t xml:space="preserve">metro areas closer in line with their faster growing peers will be critical to jumpstarting a slowing global economy. </w:t>
      </w:r>
    </w:p>
    <w:p w14:paraId="6CE7C8F5" w14:textId="68FF858A" w:rsidR="00F819E5" w:rsidRPr="00304A3B" w:rsidRDefault="00BE25C8" w:rsidP="00F819E5">
      <w:pPr>
        <w:spacing w:line="240" w:lineRule="auto"/>
        <w:rPr>
          <w:rFonts w:ascii="Times New Roman" w:hAnsi="Times New Roman" w:cs="Times New Roman"/>
          <w:b/>
        </w:rPr>
      </w:pPr>
      <w:proofErr w:type="gramStart"/>
      <w:r w:rsidRPr="00304A3B">
        <w:rPr>
          <w:rFonts w:ascii="Times New Roman" w:hAnsi="Times New Roman" w:cs="Times New Roman"/>
          <w:b/>
        </w:rPr>
        <w:t xml:space="preserve">Figure </w:t>
      </w:r>
      <w:r w:rsidR="00234FFE">
        <w:rPr>
          <w:rFonts w:ascii="Times New Roman" w:hAnsi="Times New Roman" w:cs="Times New Roman"/>
          <w:b/>
        </w:rPr>
        <w:t>18</w:t>
      </w:r>
      <w:r w:rsidR="00F819E5" w:rsidRPr="00304A3B">
        <w:rPr>
          <w:rFonts w:ascii="Times New Roman" w:hAnsi="Times New Roman" w:cs="Times New Roman"/>
          <w:b/>
        </w:rPr>
        <w:t>.</w:t>
      </w:r>
      <w:proofErr w:type="gramEnd"/>
      <w:r w:rsidR="00F819E5" w:rsidRPr="00304A3B">
        <w:rPr>
          <w:rFonts w:ascii="Times New Roman" w:hAnsi="Times New Roman" w:cs="Times New Roman"/>
          <w:b/>
        </w:rPr>
        <w:t xml:space="preserve"> Real GDP per capita and real GDP per capita CAGR 2000-2015 for the seven </w:t>
      </w:r>
      <w:r w:rsidR="009B01DC" w:rsidRPr="00304A3B">
        <w:rPr>
          <w:rFonts w:ascii="Times New Roman" w:hAnsi="Times New Roman" w:cs="Times New Roman"/>
          <w:b/>
        </w:rPr>
        <w:t>groups</w:t>
      </w:r>
    </w:p>
    <w:p w14:paraId="7ABA5739" w14:textId="56BD5968" w:rsidR="00404A96" w:rsidRPr="00304A3B" w:rsidRDefault="00404A96" w:rsidP="00940F03">
      <w:pPr>
        <w:spacing w:after="0" w:line="240" w:lineRule="auto"/>
        <w:rPr>
          <w:rFonts w:ascii="Times New Roman" w:hAnsi="Times New Roman" w:cs="Times New Roman"/>
        </w:rPr>
      </w:pPr>
    </w:p>
    <w:p w14:paraId="717D41E2" w14:textId="4A6378D4" w:rsidR="00F65EBC" w:rsidRPr="00304A3B" w:rsidRDefault="00F65EBC" w:rsidP="0041132C">
      <w:pPr>
        <w:spacing w:line="240" w:lineRule="auto"/>
        <w:rPr>
          <w:rFonts w:ascii="Times New Roman" w:hAnsi="Times New Roman" w:cs="Times New Roman"/>
          <w:sz w:val="16"/>
        </w:rPr>
      </w:pPr>
    </w:p>
    <w:p w14:paraId="648F2E8F" w14:textId="53B67D3F" w:rsidR="008A0425" w:rsidRPr="00304A3B" w:rsidRDefault="008A089B" w:rsidP="0041132C">
      <w:pPr>
        <w:spacing w:line="240" w:lineRule="auto"/>
        <w:rPr>
          <w:rFonts w:ascii="Times New Roman" w:hAnsi="Times New Roman" w:cs="Times New Roman"/>
        </w:rPr>
      </w:pPr>
      <w:r w:rsidRPr="00304A3B">
        <w:rPr>
          <w:rFonts w:ascii="Times New Roman" w:hAnsi="Times New Roman" w:cs="Times New Roman"/>
        </w:rPr>
        <w:t>Third, local and national leaders must approach economic strategies with a clear-eyed understanding of their city-regions’ global starting point. In an urbanizing, globalizing, and technologically dynamic world, the assets that drive growth and prosperity—</w:t>
      </w:r>
      <w:r w:rsidR="00940F03" w:rsidRPr="00304A3B">
        <w:rPr>
          <w:rFonts w:ascii="Times New Roman" w:hAnsi="Times New Roman" w:cs="Times New Roman"/>
        </w:rPr>
        <w:t>tradable clusters</w:t>
      </w:r>
      <w:r w:rsidRPr="00304A3B">
        <w:rPr>
          <w:rFonts w:ascii="Times New Roman" w:hAnsi="Times New Roman" w:cs="Times New Roman"/>
        </w:rPr>
        <w:t>, innovation, talent, and infrastructure</w:t>
      </w:r>
      <w:r w:rsidR="00751C4D">
        <w:rPr>
          <w:rFonts w:ascii="Times New Roman" w:hAnsi="Times New Roman" w:cs="Times New Roman"/>
        </w:rPr>
        <w:t xml:space="preserve"> connectivity</w:t>
      </w:r>
      <w:r w:rsidRPr="00304A3B">
        <w:rPr>
          <w:rFonts w:ascii="Times New Roman" w:hAnsi="Times New Roman" w:cs="Times New Roman"/>
        </w:rPr>
        <w:t xml:space="preserve">—are not evenly distributed across the globe, or even within nations. These </w:t>
      </w:r>
      <w:r w:rsidR="009B01DC" w:rsidRPr="00304A3B">
        <w:rPr>
          <w:rFonts w:ascii="Times New Roman" w:hAnsi="Times New Roman" w:cs="Times New Roman"/>
        </w:rPr>
        <w:t>groups</w:t>
      </w:r>
      <w:r w:rsidRPr="00304A3B">
        <w:rPr>
          <w:rFonts w:ascii="Times New Roman" w:hAnsi="Times New Roman" w:cs="Times New Roman"/>
        </w:rPr>
        <w:t xml:space="preserve"> reveal broad groupings of cities that share similar characteristics and, perhaps, shared solutions. </w:t>
      </w:r>
      <w:r w:rsidR="00F819E5" w:rsidRPr="00304A3B">
        <w:rPr>
          <w:rFonts w:ascii="Times New Roman" w:hAnsi="Times New Roman" w:cs="Times New Roman"/>
        </w:rPr>
        <w:t xml:space="preserve">We explore priorities for action within each cluster below. </w:t>
      </w:r>
    </w:p>
    <w:p w14:paraId="7EB3E916" w14:textId="612E86B6" w:rsidR="00F819E5" w:rsidRPr="00304A3B" w:rsidRDefault="00541776" w:rsidP="0041132C">
      <w:pPr>
        <w:spacing w:line="240" w:lineRule="auto"/>
        <w:rPr>
          <w:rFonts w:ascii="Times New Roman" w:hAnsi="Times New Roman" w:cs="Times New Roman"/>
          <w:b/>
        </w:rPr>
      </w:pPr>
      <w:r w:rsidRPr="00304A3B">
        <w:rPr>
          <w:rFonts w:ascii="Times New Roman" w:hAnsi="Times New Roman" w:cs="Times New Roman"/>
          <w:b/>
        </w:rPr>
        <w:lastRenderedPageBreak/>
        <w:t>Global Giants</w:t>
      </w:r>
    </w:p>
    <w:p w14:paraId="76E9AB77" w14:textId="64917BA3" w:rsidR="00DB6D69" w:rsidRPr="00304A3B" w:rsidRDefault="00FD59F5" w:rsidP="00ED4FE7">
      <w:pPr>
        <w:spacing w:line="240" w:lineRule="auto"/>
        <w:rPr>
          <w:rFonts w:ascii="Times New Roman" w:hAnsi="Times New Roman" w:cs="Times New Roman"/>
        </w:rPr>
      </w:pPr>
      <w:r w:rsidRPr="00304A3B">
        <w:rPr>
          <w:rFonts w:ascii="Times New Roman" w:hAnsi="Times New Roman" w:cs="Times New Roman"/>
        </w:rPr>
        <w:t xml:space="preserve">These city-regions are the most-connected nodes in the global economy, serving as the main hubs for international business, travel, and decision-making in their respective countries. They retain advantages that have been built up over decades, even centuries, and </w:t>
      </w:r>
      <w:r w:rsidR="003838E5" w:rsidRPr="00304A3B">
        <w:rPr>
          <w:rFonts w:ascii="Times New Roman" w:hAnsi="Times New Roman" w:cs="Times New Roman"/>
        </w:rPr>
        <w:t>have proved durable</w:t>
      </w:r>
      <w:r w:rsidRPr="00304A3B">
        <w:rPr>
          <w:rFonts w:ascii="Times New Roman" w:hAnsi="Times New Roman" w:cs="Times New Roman"/>
        </w:rPr>
        <w:t xml:space="preserve"> over numerous business cycles. </w:t>
      </w:r>
      <w:r w:rsidR="00415DA9" w:rsidRPr="00304A3B">
        <w:rPr>
          <w:rFonts w:ascii="Times New Roman" w:hAnsi="Times New Roman" w:cs="Times New Roman"/>
        </w:rPr>
        <w:t>These markets house m</w:t>
      </w:r>
      <w:r w:rsidRPr="00304A3B">
        <w:rPr>
          <w:rFonts w:ascii="Times New Roman" w:hAnsi="Times New Roman" w:cs="Times New Roman"/>
        </w:rPr>
        <w:t xml:space="preserve">ajor international airports, </w:t>
      </w:r>
      <w:r w:rsidR="00940F03" w:rsidRPr="00304A3B">
        <w:rPr>
          <w:rFonts w:ascii="Times New Roman" w:hAnsi="Times New Roman" w:cs="Times New Roman"/>
        </w:rPr>
        <w:t>globally-</w:t>
      </w:r>
      <w:r w:rsidR="00E65685" w:rsidRPr="00304A3B">
        <w:rPr>
          <w:rFonts w:ascii="Times New Roman" w:hAnsi="Times New Roman" w:cs="Times New Roman"/>
        </w:rPr>
        <w:t>recognized</w:t>
      </w:r>
      <w:r w:rsidR="00415DA9" w:rsidRPr="00304A3B">
        <w:rPr>
          <w:rFonts w:ascii="Times New Roman" w:hAnsi="Times New Roman" w:cs="Times New Roman"/>
        </w:rPr>
        <w:t xml:space="preserve"> universities, and large multinational companies that ensure global relevance for the foreseeable future. Yet, what has made them globally fluent metro economies in the first place has also created downsides: an overreliance on finance as an economic driver</w:t>
      </w:r>
      <w:r w:rsidR="00E12476" w:rsidRPr="00304A3B">
        <w:rPr>
          <w:rFonts w:ascii="Times New Roman" w:hAnsi="Times New Roman" w:cs="Times New Roman"/>
        </w:rPr>
        <w:t xml:space="preserve"> and</w:t>
      </w:r>
      <w:r w:rsidR="00415DA9" w:rsidRPr="00304A3B">
        <w:rPr>
          <w:rFonts w:ascii="Times New Roman" w:hAnsi="Times New Roman" w:cs="Times New Roman"/>
        </w:rPr>
        <w:t xml:space="preserve"> high levels of inequality </w:t>
      </w:r>
      <w:r w:rsidR="004A2853" w:rsidRPr="00304A3B">
        <w:rPr>
          <w:rFonts w:ascii="Times New Roman" w:hAnsi="Times New Roman" w:cs="Times New Roman"/>
        </w:rPr>
        <w:t>that are creating affordability</w:t>
      </w:r>
      <w:r w:rsidR="00415DA9" w:rsidRPr="00304A3B">
        <w:rPr>
          <w:rFonts w:ascii="Times New Roman" w:hAnsi="Times New Roman" w:cs="Times New Roman"/>
        </w:rPr>
        <w:t xml:space="preserve"> pressures on low and middle-income households. </w:t>
      </w:r>
    </w:p>
    <w:p w14:paraId="34C729DD" w14:textId="03700CDB" w:rsidR="00205F28" w:rsidRPr="00304A3B" w:rsidRDefault="004A2853" w:rsidP="00ED4FE7">
      <w:pPr>
        <w:spacing w:line="240" w:lineRule="auto"/>
        <w:rPr>
          <w:rFonts w:ascii="Times New Roman" w:hAnsi="Times New Roman" w:cs="Times New Roman"/>
        </w:rPr>
      </w:pPr>
      <w:r w:rsidRPr="00304A3B">
        <w:rPr>
          <w:rFonts w:ascii="Times New Roman" w:hAnsi="Times New Roman" w:cs="Times New Roman"/>
        </w:rPr>
        <w:t>Over the coming decades, these metro areas must both maintain their advantages in catering to large multinational headquarters and financial institutions while also fostering environments in which small, entrepreneurial firms can successfully bring new products and technologies</w:t>
      </w:r>
      <w:r w:rsidR="00205F28" w:rsidRPr="00304A3B">
        <w:rPr>
          <w:rFonts w:ascii="Times New Roman" w:hAnsi="Times New Roman" w:cs="Times New Roman"/>
        </w:rPr>
        <w:t xml:space="preserve"> to market. This involves securing a steady supply of technical talent and helping bridge relationships between universities, research institutions, and companies. New York City is helping finance a new applied science and engineering campus to ensure they have the STEM workers and research capabilities to commercialize new ideas. Similarly, the </w:t>
      </w:r>
      <w:r w:rsidR="00DA37D0" w:rsidRPr="00304A3B">
        <w:rPr>
          <w:rFonts w:ascii="Times New Roman" w:hAnsi="Times New Roman" w:cs="Times New Roman"/>
        </w:rPr>
        <w:t>Île-de-France</w:t>
      </w:r>
      <w:r w:rsidR="00205F28" w:rsidRPr="00304A3B">
        <w:rPr>
          <w:rFonts w:ascii="Times New Roman" w:hAnsi="Times New Roman" w:cs="Times New Roman"/>
        </w:rPr>
        <w:t xml:space="preserve"> and French </w:t>
      </w:r>
      <w:r w:rsidR="00DA37D0" w:rsidRPr="00304A3B">
        <w:rPr>
          <w:rFonts w:ascii="Times New Roman" w:hAnsi="Times New Roman" w:cs="Times New Roman"/>
        </w:rPr>
        <w:t xml:space="preserve">central </w:t>
      </w:r>
      <w:r w:rsidR="00205F28" w:rsidRPr="00304A3B">
        <w:rPr>
          <w:rFonts w:ascii="Times New Roman" w:hAnsi="Times New Roman" w:cs="Times New Roman"/>
        </w:rPr>
        <w:t>governments are co-investing in Paris-</w:t>
      </w:r>
      <w:proofErr w:type="spellStart"/>
      <w:r w:rsidR="00205F28" w:rsidRPr="00304A3B">
        <w:rPr>
          <w:rFonts w:ascii="Times New Roman" w:hAnsi="Times New Roman" w:cs="Times New Roman"/>
        </w:rPr>
        <w:t>Saclay</w:t>
      </w:r>
      <w:proofErr w:type="spellEnd"/>
      <w:r w:rsidR="00205F28" w:rsidRPr="00304A3B">
        <w:rPr>
          <w:rFonts w:ascii="Times New Roman" w:hAnsi="Times New Roman" w:cs="Times New Roman"/>
        </w:rPr>
        <w:t xml:space="preserve">, an ambitious effort to consolidate many of France’s most potent research institutions </w:t>
      </w:r>
      <w:proofErr w:type="gramStart"/>
      <w:r w:rsidR="00205F28" w:rsidRPr="00304A3B">
        <w:rPr>
          <w:rFonts w:ascii="Times New Roman" w:hAnsi="Times New Roman" w:cs="Times New Roman"/>
        </w:rPr>
        <w:t>under</w:t>
      </w:r>
      <w:proofErr w:type="gramEnd"/>
      <w:r w:rsidR="00205F28" w:rsidRPr="00304A3B">
        <w:rPr>
          <w:rFonts w:ascii="Times New Roman" w:hAnsi="Times New Roman" w:cs="Times New Roman"/>
        </w:rPr>
        <w:t xml:space="preserve"> one common brand and co-locate them in one geographic cluster about 45 minutes outside central Paris.</w:t>
      </w:r>
      <w:r w:rsidR="00DA37D0" w:rsidRPr="00304A3B">
        <w:rPr>
          <w:rStyle w:val="EndnoteReference"/>
          <w:rFonts w:ascii="Times New Roman" w:hAnsi="Times New Roman" w:cs="Times New Roman"/>
        </w:rPr>
        <w:endnoteReference w:id="71"/>
      </w:r>
      <w:r w:rsidR="00205F28" w:rsidRPr="00304A3B">
        <w:rPr>
          <w:rFonts w:ascii="Times New Roman" w:hAnsi="Times New Roman" w:cs="Times New Roman"/>
        </w:rPr>
        <w:t xml:space="preserve"> </w:t>
      </w:r>
      <w:r w:rsidR="00A145E7" w:rsidRPr="00304A3B">
        <w:rPr>
          <w:rFonts w:ascii="Times New Roman" w:hAnsi="Times New Roman" w:cs="Times New Roman"/>
        </w:rPr>
        <w:t>London has pursued an international business strategy to boost the global competitiveness of its small and mid-sized businesses.</w:t>
      </w:r>
      <w:r w:rsidR="00A145E7" w:rsidRPr="00304A3B">
        <w:rPr>
          <w:rStyle w:val="EndnoteReference"/>
          <w:rFonts w:ascii="Times New Roman" w:hAnsi="Times New Roman" w:cs="Times New Roman"/>
        </w:rPr>
        <w:endnoteReference w:id="72"/>
      </w:r>
      <w:r w:rsidR="00A145E7" w:rsidRPr="00304A3B">
        <w:rPr>
          <w:rFonts w:ascii="Times New Roman" w:hAnsi="Times New Roman" w:cs="Times New Roman"/>
        </w:rPr>
        <w:t xml:space="preserve"> </w:t>
      </w:r>
      <w:r w:rsidR="00DA37D0" w:rsidRPr="00304A3B">
        <w:rPr>
          <w:rFonts w:ascii="Times New Roman" w:hAnsi="Times New Roman" w:cs="Times New Roman"/>
        </w:rPr>
        <w:t xml:space="preserve">These commitments to technical skills and technological advances help position these metro areas to compete with innovative middleweight metros in the coming decades. </w:t>
      </w:r>
    </w:p>
    <w:p w14:paraId="07E749CC" w14:textId="72713F7F" w:rsidR="0087659D" w:rsidRPr="00304A3B" w:rsidRDefault="00204574" w:rsidP="002E41B9">
      <w:pPr>
        <w:spacing w:line="240" w:lineRule="auto"/>
        <w:rPr>
          <w:rFonts w:ascii="Times New Roman" w:hAnsi="Times New Roman" w:cs="Times New Roman"/>
        </w:rPr>
      </w:pPr>
      <w:r w:rsidRPr="00304A3B">
        <w:rPr>
          <w:rFonts w:ascii="Times New Roman" w:hAnsi="Times New Roman" w:cs="Times New Roman"/>
        </w:rPr>
        <w:t xml:space="preserve">Industrial diversification must be </w:t>
      </w:r>
      <w:r w:rsidR="00DA37D0" w:rsidRPr="00304A3B">
        <w:rPr>
          <w:rFonts w:ascii="Times New Roman" w:hAnsi="Times New Roman" w:cs="Times New Roman"/>
        </w:rPr>
        <w:t>accomp</w:t>
      </w:r>
      <w:r w:rsidR="00751C4D">
        <w:rPr>
          <w:rFonts w:ascii="Times New Roman" w:hAnsi="Times New Roman" w:cs="Times New Roman"/>
        </w:rPr>
        <w:t xml:space="preserve">anied by investments in housing </w:t>
      </w:r>
      <w:r w:rsidR="00DA37D0" w:rsidRPr="00304A3B">
        <w:rPr>
          <w:rFonts w:ascii="Times New Roman" w:hAnsi="Times New Roman" w:cs="Times New Roman"/>
        </w:rPr>
        <w:t>to ease affordability pressures.</w:t>
      </w:r>
      <w:r w:rsidR="00756980" w:rsidRPr="00304A3B">
        <w:rPr>
          <w:rFonts w:ascii="Times New Roman" w:hAnsi="Times New Roman" w:cs="Times New Roman"/>
        </w:rPr>
        <w:t xml:space="preserve"> All six </w:t>
      </w:r>
      <w:r w:rsidR="00541776" w:rsidRPr="00304A3B">
        <w:rPr>
          <w:rFonts w:ascii="Times New Roman" w:hAnsi="Times New Roman" w:cs="Times New Roman"/>
        </w:rPr>
        <w:t>Global Giants</w:t>
      </w:r>
      <w:r w:rsidR="00756980" w:rsidRPr="00304A3B">
        <w:rPr>
          <w:rFonts w:ascii="Times New Roman" w:hAnsi="Times New Roman" w:cs="Times New Roman"/>
        </w:rPr>
        <w:t xml:space="preserve"> are among the 15 most expensive cities in the world, according to the Economist Intelligence Unit.</w:t>
      </w:r>
      <w:r w:rsidR="00756980" w:rsidRPr="00304A3B">
        <w:rPr>
          <w:rStyle w:val="EndnoteReference"/>
          <w:rFonts w:ascii="Times New Roman" w:hAnsi="Times New Roman" w:cs="Times New Roman"/>
        </w:rPr>
        <w:endnoteReference w:id="73"/>
      </w:r>
      <w:r w:rsidR="002E41B9" w:rsidRPr="00304A3B">
        <w:rPr>
          <w:rFonts w:ascii="Times New Roman" w:hAnsi="Times New Roman" w:cs="Times New Roman"/>
        </w:rPr>
        <w:t xml:space="preserve"> Housing costs tend to be among the highest in the world. Since demand for housing in </w:t>
      </w:r>
      <w:r w:rsidR="00541776" w:rsidRPr="00304A3B">
        <w:rPr>
          <w:rFonts w:ascii="Times New Roman" w:hAnsi="Times New Roman" w:cs="Times New Roman"/>
        </w:rPr>
        <w:t>Global Giants</w:t>
      </w:r>
      <w:r w:rsidR="002E41B9" w:rsidRPr="00304A3B">
        <w:rPr>
          <w:rFonts w:ascii="Times New Roman" w:hAnsi="Times New Roman" w:cs="Times New Roman"/>
        </w:rPr>
        <w:t xml:space="preserve"> tends to be global, and supply local, there is no easy fix here. Deploying a multi-pronged strategy that eases restrictions on housing supply, incentivizes affordable housing production, and coordinates housing, transportation, and land use planning can help ensure that households lower on the income ladder can continue to afford to live and work in these</w:t>
      </w:r>
      <w:r w:rsidR="00F91AE6" w:rsidRPr="00304A3B">
        <w:rPr>
          <w:rFonts w:ascii="Times New Roman" w:hAnsi="Times New Roman" w:cs="Times New Roman"/>
        </w:rPr>
        <w:t xml:space="preserve"> cities and contribute their needed complementary skillsets to the labor market</w:t>
      </w:r>
      <w:r w:rsidR="002E41B9" w:rsidRPr="00304A3B">
        <w:rPr>
          <w:rFonts w:ascii="Times New Roman" w:hAnsi="Times New Roman" w:cs="Times New Roman"/>
        </w:rPr>
        <w:t xml:space="preserve">. </w:t>
      </w:r>
      <w:r w:rsidR="00F91AE6" w:rsidRPr="00304A3B">
        <w:rPr>
          <w:rFonts w:ascii="Times New Roman" w:hAnsi="Times New Roman" w:cs="Times New Roman"/>
        </w:rPr>
        <w:t>Osaka and Tokyo tend to be more affordable than their Western counterparts due to liberal zoning policies, which allow for uniquely active housing construction markets.</w:t>
      </w:r>
      <w:r w:rsidR="00F91AE6" w:rsidRPr="00304A3B">
        <w:rPr>
          <w:rStyle w:val="EndnoteReference"/>
          <w:rFonts w:ascii="Times New Roman" w:hAnsi="Times New Roman" w:cs="Times New Roman"/>
        </w:rPr>
        <w:endnoteReference w:id="74"/>
      </w:r>
      <w:r w:rsidR="00F91AE6" w:rsidRPr="00304A3B">
        <w:rPr>
          <w:rFonts w:ascii="Times New Roman" w:hAnsi="Times New Roman" w:cs="Times New Roman"/>
        </w:rPr>
        <w:t xml:space="preserve"> </w:t>
      </w:r>
    </w:p>
    <w:p w14:paraId="5EE69414" w14:textId="77A649F0" w:rsidR="00252C77" w:rsidRPr="00304A3B" w:rsidRDefault="00E65685" w:rsidP="00ED4FE7">
      <w:pPr>
        <w:spacing w:line="240" w:lineRule="auto"/>
        <w:rPr>
          <w:rFonts w:ascii="Times New Roman" w:hAnsi="Times New Roman" w:cs="Times New Roman"/>
          <w:b/>
        </w:rPr>
      </w:pPr>
      <w:r w:rsidRPr="00304A3B">
        <w:rPr>
          <w:rFonts w:ascii="Times New Roman" w:hAnsi="Times New Roman" w:cs="Times New Roman"/>
          <w:b/>
        </w:rPr>
        <w:t>Asian</w:t>
      </w:r>
      <w:r w:rsidR="00084019" w:rsidRPr="00304A3B">
        <w:rPr>
          <w:rFonts w:ascii="Times New Roman" w:hAnsi="Times New Roman" w:cs="Times New Roman"/>
          <w:b/>
        </w:rPr>
        <w:t xml:space="preserve"> </w:t>
      </w:r>
      <w:r w:rsidR="00541776" w:rsidRPr="00304A3B">
        <w:rPr>
          <w:rFonts w:ascii="Times New Roman" w:hAnsi="Times New Roman" w:cs="Times New Roman"/>
          <w:b/>
        </w:rPr>
        <w:t>Anchors</w:t>
      </w:r>
    </w:p>
    <w:p w14:paraId="19F9A510" w14:textId="3525DF3B" w:rsidR="00DD118F" w:rsidRPr="00304A3B" w:rsidRDefault="00A8624E" w:rsidP="00DD118F">
      <w:pPr>
        <w:spacing w:line="240" w:lineRule="auto"/>
        <w:rPr>
          <w:rFonts w:ascii="Times New Roman" w:hAnsi="Times New Roman" w:cs="Times New Roman"/>
        </w:rPr>
      </w:pPr>
      <w:r w:rsidRPr="00304A3B">
        <w:rPr>
          <w:rFonts w:ascii="Times New Roman" w:hAnsi="Times New Roman" w:cs="Times New Roman"/>
        </w:rPr>
        <w:t>Asian Anchors</w:t>
      </w:r>
      <w:r w:rsidR="00AA7E30" w:rsidRPr="00304A3B">
        <w:rPr>
          <w:rFonts w:ascii="Times New Roman" w:hAnsi="Times New Roman" w:cs="Times New Roman"/>
        </w:rPr>
        <w:t xml:space="preserve"> are widely considered to be some of the world’s most impressive examples of urban economic growth. As the global investment community’s entry points into Asia, they have thrived by providing relatively sound fiscal and investment environments, good </w:t>
      </w:r>
      <w:r w:rsidR="00E12476" w:rsidRPr="00304A3B">
        <w:rPr>
          <w:rFonts w:ascii="Times New Roman" w:hAnsi="Times New Roman" w:cs="Times New Roman"/>
        </w:rPr>
        <w:t xml:space="preserve">aviation and digital </w:t>
      </w:r>
      <w:r w:rsidR="00AA7E30" w:rsidRPr="00304A3B">
        <w:rPr>
          <w:rFonts w:ascii="Times New Roman" w:hAnsi="Times New Roman" w:cs="Times New Roman"/>
        </w:rPr>
        <w:t xml:space="preserve">infrastructure connectivity, and a relatively skilled workforce. Recent GDP per capita growth in these markets has been robust as a result. However, the model that brought </w:t>
      </w:r>
      <w:r w:rsidRPr="00304A3B">
        <w:rPr>
          <w:rFonts w:ascii="Times New Roman" w:hAnsi="Times New Roman" w:cs="Times New Roman"/>
        </w:rPr>
        <w:t>Asian Anchors</w:t>
      </w:r>
      <w:r w:rsidR="00AA7E30" w:rsidRPr="00304A3B">
        <w:rPr>
          <w:rFonts w:ascii="Times New Roman" w:hAnsi="Times New Roman" w:cs="Times New Roman"/>
        </w:rPr>
        <w:t xml:space="preserve"> to this point will not be enough to drive continuous income growth in the coming decades. For that, these metro areas must focus intently on boosting productivity, embracing entrepreneurship, investing in education and skills, and addressing affordability and infrastructure concerns. </w:t>
      </w:r>
    </w:p>
    <w:p w14:paraId="5E5EAAF2" w14:textId="6C13835A" w:rsidR="00AA7E30" w:rsidRPr="00304A3B" w:rsidRDefault="00AA7E30" w:rsidP="00DD118F">
      <w:pPr>
        <w:spacing w:line="240" w:lineRule="auto"/>
        <w:rPr>
          <w:rFonts w:ascii="Times New Roman" w:hAnsi="Times New Roman" w:cs="Times New Roman"/>
        </w:rPr>
      </w:pPr>
      <w:r w:rsidRPr="00304A3B">
        <w:rPr>
          <w:rFonts w:ascii="Times New Roman" w:hAnsi="Times New Roman" w:cs="Times New Roman"/>
        </w:rPr>
        <w:t xml:space="preserve">The six metro areas in this </w:t>
      </w:r>
      <w:r w:rsidR="00751C4D">
        <w:rPr>
          <w:rFonts w:ascii="Times New Roman" w:hAnsi="Times New Roman" w:cs="Times New Roman"/>
        </w:rPr>
        <w:t>group</w:t>
      </w:r>
      <w:r w:rsidRPr="00304A3B">
        <w:rPr>
          <w:rFonts w:ascii="Times New Roman" w:hAnsi="Times New Roman" w:cs="Times New Roman"/>
        </w:rPr>
        <w:t xml:space="preserve"> share many priorities with </w:t>
      </w:r>
      <w:r w:rsidR="00940F03" w:rsidRPr="00304A3B">
        <w:rPr>
          <w:rFonts w:ascii="Times New Roman" w:hAnsi="Times New Roman" w:cs="Times New Roman"/>
        </w:rPr>
        <w:t>Global Giants</w:t>
      </w:r>
      <w:r w:rsidRPr="00304A3B">
        <w:rPr>
          <w:rFonts w:ascii="Times New Roman" w:hAnsi="Times New Roman" w:cs="Times New Roman"/>
        </w:rPr>
        <w:t xml:space="preserve">. </w:t>
      </w:r>
      <w:r w:rsidR="00B6329A" w:rsidRPr="00304A3B">
        <w:rPr>
          <w:rFonts w:ascii="Times New Roman" w:hAnsi="Times New Roman" w:cs="Times New Roman"/>
        </w:rPr>
        <w:t>They are also experiencing the pressures of global demand on affordability.  According to the EIU, Singapore has the world’s highest cost of living, Hong Kong the third highest, and Seoul the eighth highest.</w:t>
      </w:r>
      <w:r w:rsidR="00B6329A" w:rsidRPr="00304A3B">
        <w:rPr>
          <w:rStyle w:val="EndnoteReference"/>
          <w:rFonts w:ascii="Times New Roman" w:hAnsi="Times New Roman" w:cs="Times New Roman"/>
        </w:rPr>
        <w:endnoteReference w:id="75"/>
      </w:r>
      <w:r w:rsidR="00B6329A" w:rsidRPr="00304A3B">
        <w:rPr>
          <w:rFonts w:ascii="Times New Roman" w:hAnsi="Times New Roman" w:cs="Times New Roman"/>
        </w:rPr>
        <w:t xml:space="preserve"> Their rapid expansion demands greater housing supply and </w:t>
      </w:r>
      <w:r w:rsidR="00E12476" w:rsidRPr="00304A3B">
        <w:rPr>
          <w:rFonts w:ascii="Times New Roman" w:hAnsi="Times New Roman" w:cs="Times New Roman"/>
        </w:rPr>
        <w:t xml:space="preserve">continued </w:t>
      </w:r>
      <w:r w:rsidR="00B6329A" w:rsidRPr="00304A3B">
        <w:rPr>
          <w:rFonts w:ascii="Times New Roman" w:hAnsi="Times New Roman" w:cs="Times New Roman"/>
        </w:rPr>
        <w:t xml:space="preserve">transportation investments. </w:t>
      </w:r>
      <w:r w:rsidR="00605B4C" w:rsidRPr="00304A3B">
        <w:rPr>
          <w:rFonts w:ascii="Times New Roman" w:hAnsi="Times New Roman" w:cs="Times New Roman"/>
        </w:rPr>
        <w:t xml:space="preserve">In Beijing, for instance, planners are trying to coordinate subway and high-speed rail investments, coordinated high-density housing construction, and large-scale commercial developments as growth spills over into neighboring </w:t>
      </w:r>
      <w:r w:rsidR="00605B4C" w:rsidRPr="00304A3B">
        <w:rPr>
          <w:rFonts w:ascii="Times New Roman" w:hAnsi="Times New Roman" w:cs="Times New Roman"/>
        </w:rPr>
        <w:lastRenderedPageBreak/>
        <w:t xml:space="preserve">Tianjin and Hebei province. Plans to integrate the 130-million, </w:t>
      </w:r>
      <w:proofErr w:type="gramStart"/>
      <w:r w:rsidR="00605B4C" w:rsidRPr="00304A3B">
        <w:rPr>
          <w:rFonts w:ascii="Times New Roman" w:hAnsi="Times New Roman" w:cs="Times New Roman"/>
        </w:rPr>
        <w:t>82,000 square-</w:t>
      </w:r>
      <w:r w:rsidR="00F819E5" w:rsidRPr="00304A3B">
        <w:rPr>
          <w:rFonts w:ascii="Times New Roman" w:hAnsi="Times New Roman" w:cs="Times New Roman"/>
        </w:rPr>
        <w:t>mile Jing</w:t>
      </w:r>
      <w:r w:rsidR="00605B4C" w:rsidRPr="00304A3B">
        <w:rPr>
          <w:rFonts w:ascii="Times New Roman" w:hAnsi="Times New Roman" w:cs="Times New Roman"/>
        </w:rPr>
        <w:t>-</w:t>
      </w:r>
      <w:proofErr w:type="spellStart"/>
      <w:r w:rsidR="00605B4C" w:rsidRPr="00304A3B">
        <w:rPr>
          <w:rFonts w:ascii="Times New Roman" w:hAnsi="Times New Roman" w:cs="Times New Roman"/>
        </w:rPr>
        <w:t>Jin</w:t>
      </w:r>
      <w:proofErr w:type="spellEnd"/>
      <w:r w:rsidR="00605B4C" w:rsidRPr="00304A3B">
        <w:rPr>
          <w:rFonts w:ascii="Times New Roman" w:hAnsi="Times New Roman" w:cs="Times New Roman"/>
        </w:rPr>
        <w:t>-Ji megalopolis</w:t>
      </w:r>
      <w:proofErr w:type="gramEnd"/>
      <w:r w:rsidR="00605B4C" w:rsidRPr="00304A3B">
        <w:rPr>
          <w:rFonts w:ascii="Times New Roman" w:hAnsi="Times New Roman" w:cs="Times New Roman"/>
        </w:rPr>
        <w:t xml:space="preserve"> are some of the most ambitious in the world.</w:t>
      </w:r>
      <w:r w:rsidR="00605B4C" w:rsidRPr="00304A3B">
        <w:rPr>
          <w:rStyle w:val="EndnoteReference"/>
          <w:rFonts w:ascii="Times New Roman" w:hAnsi="Times New Roman" w:cs="Times New Roman"/>
        </w:rPr>
        <w:endnoteReference w:id="76"/>
      </w:r>
    </w:p>
    <w:p w14:paraId="5A278919" w14:textId="0FCB1526" w:rsidR="00BC0847" w:rsidRPr="00304A3B" w:rsidRDefault="00E80BEF" w:rsidP="00DD118F">
      <w:pPr>
        <w:spacing w:line="240" w:lineRule="auto"/>
        <w:rPr>
          <w:rFonts w:ascii="Times New Roman" w:hAnsi="Times New Roman" w:cs="Times New Roman"/>
        </w:rPr>
      </w:pPr>
      <w:r w:rsidRPr="00304A3B">
        <w:rPr>
          <w:rFonts w:ascii="Times New Roman" w:hAnsi="Times New Roman" w:cs="Times New Roman"/>
        </w:rPr>
        <w:t>Notwithstanding this priority, t</w:t>
      </w:r>
      <w:r w:rsidR="00B6329A" w:rsidRPr="00304A3B">
        <w:rPr>
          <w:rFonts w:ascii="Times New Roman" w:hAnsi="Times New Roman" w:cs="Times New Roman"/>
        </w:rPr>
        <w:t xml:space="preserve">he </w:t>
      </w:r>
      <w:r w:rsidRPr="00304A3B">
        <w:rPr>
          <w:rFonts w:ascii="Times New Roman" w:hAnsi="Times New Roman" w:cs="Times New Roman"/>
        </w:rPr>
        <w:t>greatest imperative fo</w:t>
      </w:r>
      <w:r w:rsidR="00B6329A" w:rsidRPr="00304A3B">
        <w:rPr>
          <w:rFonts w:ascii="Times New Roman" w:hAnsi="Times New Roman" w:cs="Times New Roman"/>
        </w:rPr>
        <w:t xml:space="preserve">r this cluster </w:t>
      </w:r>
      <w:r w:rsidRPr="00304A3B">
        <w:rPr>
          <w:rFonts w:ascii="Times New Roman" w:hAnsi="Times New Roman" w:cs="Times New Roman"/>
        </w:rPr>
        <w:t>may be</w:t>
      </w:r>
      <w:r w:rsidR="00B6329A" w:rsidRPr="00304A3B">
        <w:rPr>
          <w:rFonts w:ascii="Times New Roman" w:hAnsi="Times New Roman" w:cs="Times New Roman"/>
        </w:rPr>
        <w:t xml:space="preserve"> making the necessary investments in competitiveness to lift their populations into upper income status. These metro economies are no longer the “low-cost” option for firms and industries, forcing them to compete with developed metro areas based on the quality of their products and services. Yet, </w:t>
      </w:r>
      <w:r w:rsidR="004B07E1" w:rsidRPr="00304A3B">
        <w:rPr>
          <w:rFonts w:ascii="Times New Roman" w:hAnsi="Times New Roman" w:cs="Times New Roman"/>
        </w:rPr>
        <w:t>output per worker</w:t>
      </w:r>
      <w:r w:rsidR="00B6329A" w:rsidRPr="00304A3B">
        <w:rPr>
          <w:rFonts w:ascii="Times New Roman" w:hAnsi="Times New Roman" w:cs="Times New Roman"/>
        </w:rPr>
        <w:t xml:space="preserve"> remains about one-third that of their </w:t>
      </w:r>
      <w:r w:rsidR="0016179B" w:rsidRPr="00304A3B">
        <w:rPr>
          <w:rFonts w:ascii="Times New Roman" w:hAnsi="Times New Roman" w:cs="Times New Roman"/>
        </w:rPr>
        <w:t>Global Giant</w:t>
      </w:r>
      <w:r w:rsidR="00B6329A" w:rsidRPr="00304A3B">
        <w:rPr>
          <w:rFonts w:ascii="Times New Roman" w:hAnsi="Times New Roman" w:cs="Times New Roman"/>
        </w:rPr>
        <w:t xml:space="preserve"> counterparts. </w:t>
      </w:r>
      <w:r w:rsidR="004B07E1" w:rsidRPr="00304A3B">
        <w:rPr>
          <w:rFonts w:ascii="Times New Roman" w:hAnsi="Times New Roman" w:cs="Times New Roman"/>
        </w:rPr>
        <w:t>Understanding this imperative, these cities are focused intently on upgrading the education and skills of their citizens. About 36 percent of residents in these markets have attained tertiary education, and expandin</w:t>
      </w:r>
      <w:r w:rsidR="00C410FF" w:rsidRPr="00304A3B">
        <w:rPr>
          <w:rFonts w:ascii="Times New Roman" w:hAnsi="Times New Roman" w:cs="Times New Roman"/>
        </w:rPr>
        <w:t xml:space="preserve">g access to university and vocational education </w:t>
      </w:r>
      <w:r w:rsidR="004B07E1" w:rsidRPr="00304A3B">
        <w:rPr>
          <w:rFonts w:ascii="Times New Roman" w:hAnsi="Times New Roman" w:cs="Times New Roman"/>
        </w:rPr>
        <w:t>remains urgent.</w:t>
      </w:r>
      <w:r w:rsidRPr="00304A3B">
        <w:rPr>
          <w:rStyle w:val="EndnoteReference"/>
          <w:rFonts w:ascii="Times New Roman" w:hAnsi="Times New Roman" w:cs="Times New Roman"/>
        </w:rPr>
        <w:endnoteReference w:id="77"/>
      </w:r>
      <w:r w:rsidR="004B07E1" w:rsidRPr="00304A3B">
        <w:rPr>
          <w:rFonts w:ascii="Times New Roman" w:hAnsi="Times New Roman" w:cs="Times New Roman"/>
        </w:rPr>
        <w:t xml:space="preserve"> </w:t>
      </w:r>
    </w:p>
    <w:p w14:paraId="7C5F7139" w14:textId="2B410F26" w:rsidR="00B6329A" w:rsidRPr="00304A3B" w:rsidRDefault="00126696" w:rsidP="00DD118F">
      <w:pPr>
        <w:spacing w:line="240" w:lineRule="auto"/>
        <w:rPr>
          <w:rFonts w:ascii="Times New Roman" w:hAnsi="Times New Roman" w:cs="Times New Roman"/>
        </w:rPr>
      </w:pPr>
      <w:r w:rsidRPr="00304A3B">
        <w:rPr>
          <w:rFonts w:ascii="Times New Roman" w:hAnsi="Times New Roman" w:cs="Times New Roman"/>
        </w:rPr>
        <w:t xml:space="preserve">Encouraging new, nimble firm entrants, which help introduce new technologies and products to the marketplace, is one way to infuse new dynamism across both manufacturing and services industries. </w:t>
      </w:r>
      <w:r w:rsidR="00F8194E" w:rsidRPr="00304A3B">
        <w:rPr>
          <w:rFonts w:ascii="Times New Roman" w:hAnsi="Times New Roman" w:cs="Times New Roman"/>
        </w:rPr>
        <w:t xml:space="preserve">Through significant government support, </w:t>
      </w:r>
      <w:r w:rsidR="00A8624E" w:rsidRPr="00304A3B">
        <w:rPr>
          <w:rFonts w:ascii="Times New Roman" w:hAnsi="Times New Roman" w:cs="Times New Roman"/>
        </w:rPr>
        <w:t>Asian Anchors</w:t>
      </w:r>
      <w:r w:rsidR="007348FA" w:rsidRPr="00304A3B">
        <w:rPr>
          <w:rFonts w:ascii="Times New Roman" w:hAnsi="Times New Roman" w:cs="Times New Roman"/>
        </w:rPr>
        <w:t xml:space="preserve"> have developed world-beating corporations (e.g. Beijing-based Lenovo or Seoul-based Samsung, etc.)</w:t>
      </w:r>
      <w:r w:rsidR="00F8194E" w:rsidRPr="00304A3B">
        <w:rPr>
          <w:rFonts w:ascii="Times New Roman" w:hAnsi="Times New Roman" w:cs="Times New Roman"/>
        </w:rPr>
        <w:t>. Singapore and Hong Kong are two of the leading destinations for large foreign subsidiaries. B</w:t>
      </w:r>
      <w:r w:rsidR="007348FA" w:rsidRPr="00304A3B">
        <w:rPr>
          <w:rFonts w:ascii="Times New Roman" w:hAnsi="Times New Roman" w:cs="Times New Roman"/>
        </w:rPr>
        <w:t xml:space="preserve">ut can </w:t>
      </w:r>
      <w:r w:rsidR="00F8194E" w:rsidRPr="00304A3B">
        <w:rPr>
          <w:rFonts w:ascii="Times New Roman" w:hAnsi="Times New Roman" w:cs="Times New Roman"/>
        </w:rPr>
        <w:t>these regions</w:t>
      </w:r>
      <w:r w:rsidR="007348FA" w:rsidRPr="00304A3B">
        <w:rPr>
          <w:rFonts w:ascii="Times New Roman" w:hAnsi="Times New Roman" w:cs="Times New Roman"/>
        </w:rPr>
        <w:t xml:space="preserve"> </w:t>
      </w:r>
      <w:r w:rsidR="00F8194E" w:rsidRPr="00304A3B">
        <w:rPr>
          <w:rFonts w:ascii="Times New Roman" w:hAnsi="Times New Roman" w:cs="Times New Roman"/>
        </w:rPr>
        <w:t xml:space="preserve">organically </w:t>
      </w:r>
      <w:r w:rsidR="007348FA" w:rsidRPr="00304A3B">
        <w:rPr>
          <w:rFonts w:ascii="Times New Roman" w:hAnsi="Times New Roman" w:cs="Times New Roman"/>
        </w:rPr>
        <w:t xml:space="preserve">generate </w:t>
      </w:r>
      <w:r w:rsidR="00F8194E" w:rsidRPr="00304A3B">
        <w:rPr>
          <w:rFonts w:ascii="Times New Roman" w:hAnsi="Times New Roman" w:cs="Times New Roman"/>
        </w:rPr>
        <w:t>new</w:t>
      </w:r>
      <w:r w:rsidR="007348FA" w:rsidRPr="00304A3B">
        <w:rPr>
          <w:rFonts w:ascii="Times New Roman" w:hAnsi="Times New Roman" w:cs="Times New Roman"/>
        </w:rPr>
        <w:t xml:space="preserve"> rounds of successful</w:t>
      </w:r>
      <w:r w:rsidR="00F8194E" w:rsidRPr="00304A3B">
        <w:rPr>
          <w:rFonts w:ascii="Times New Roman" w:hAnsi="Times New Roman" w:cs="Times New Roman"/>
        </w:rPr>
        <w:t>, home-grown</w:t>
      </w:r>
      <w:r w:rsidR="007348FA" w:rsidRPr="00304A3B">
        <w:rPr>
          <w:rFonts w:ascii="Times New Roman" w:hAnsi="Times New Roman" w:cs="Times New Roman"/>
        </w:rPr>
        <w:t xml:space="preserve"> </w:t>
      </w:r>
      <w:r w:rsidR="00F8194E" w:rsidRPr="00304A3B">
        <w:rPr>
          <w:rFonts w:ascii="Times New Roman" w:hAnsi="Times New Roman" w:cs="Times New Roman"/>
        </w:rPr>
        <w:t>companies that can compete successfully in global markets? National governmen</w:t>
      </w:r>
      <w:r w:rsidR="00940F03" w:rsidRPr="00304A3B">
        <w:rPr>
          <w:rFonts w:ascii="Times New Roman" w:hAnsi="Times New Roman" w:cs="Times New Roman"/>
        </w:rPr>
        <w:t>ts are investing in significantly in</w:t>
      </w:r>
      <w:r w:rsidR="00F8194E" w:rsidRPr="00304A3B">
        <w:rPr>
          <w:rFonts w:ascii="Times New Roman" w:hAnsi="Times New Roman" w:cs="Times New Roman"/>
        </w:rPr>
        <w:t xml:space="preserve"> research and development (R&amp;D) in these markets to gain footholds in emerging technologies. Singapore is pursuing an active industrial cluster policy to cement advantages in water technology, applied health sciences, and aerospace.</w:t>
      </w:r>
      <w:r w:rsidR="00BC0847" w:rsidRPr="00304A3B">
        <w:rPr>
          <w:rStyle w:val="EndnoteReference"/>
          <w:rFonts w:ascii="Times New Roman" w:hAnsi="Times New Roman" w:cs="Times New Roman"/>
        </w:rPr>
        <w:endnoteReference w:id="78"/>
      </w:r>
      <w:r w:rsidR="00F8194E" w:rsidRPr="00304A3B">
        <w:rPr>
          <w:rFonts w:ascii="Times New Roman" w:hAnsi="Times New Roman" w:cs="Times New Roman"/>
        </w:rPr>
        <w:t xml:space="preserve"> </w:t>
      </w:r>
      <w:r w:rsidR="00BC0847" w:rsidRPr="00304A3B">
        <w:rPr>
          <w:rFonts w:ascii="Times New Roman" w:hAnsi="Times New Roman" w:cs="Times New Roman"/>
        </w:rPr>
        <w:t>South Korea</w:t>
      </w:r>
      <w:r w:rsidR="00F8194E" w:rsidRPr="00304A3B">
        <w:rPr>
          <w:rFonts w:ascii="Times New Roman" w:hAnsi="Times New Roman" w:cs="Times New Roman"/>
        </w:rPr>
        <w:t xml:space="preserve"> is trying to help </w:t>
      </w:r>
      <w:r w:rsidR="00C410FF" w:rsidRPr="00304A3B">
        <w:rPr>
          <w:rFonts w:ascii="Times New Roman" w:hAnsi="Times New Roman" w:cs="Times New Roman"/>
        </w:rPr>
        <w:t>Seoul</w:t>
      </w:r>
      <w:r w:rsidR="00F8194E" w:rsidRPr="00304A3B">
        <w:rPr>
          <w:rFonts w:ascii="Times New Roman" w:hAnsi="Times New Roman" w:cs="Times New Roman"/>
        </w:rPr>
        <w:t xml:space="preserve"> firms move beyond their legacy as “fast followers,” </w:t>
      </w:r>
      <w:r w:rsidR="00BC0847" w:rsidRPr="00304A3B">
        <w:rPr>
          <w:rFonts w:ascii="Times New Roman" w:hAnsi="Times New Roman" w:cs="Times New Roman"/>
        </w:rPr>
        <w:t>providing top-down investments of up to 1 billion KRW (approximately $900,000) to support startups with research and development, capital raises, and global expansion.</w:t>
      </w:r>
      <w:r w:rsidR="00BC0847" w:rsidRPr="00304A3B">
        <w:rPr>
          <w:rStyle w:val="EndnoteReference"/>
          <w:rFonts w:ascii="Times New Roman" w:hAnsi="Times New Roman" w:cs="Times New Roman"/>
        </w:rPr>
        <w:endnoteReference w:id="79"/>
      </w:r>
      <w:r w:rsidR="00BC0847" w:rsidRPr="00304A3B">
        <w:rPr>
          <w:rFonts w:ascii="Times New Roman" w:hAnsi="Times New Roman" w:cs="Times New Roman"/>
        </w:rPr>
        <w:t xml:space="preserve"> </w:t>
      </w:r>
    </w:p>
    <w:p w14:paraId="7B9B5015" w14:textId="77777777" w:rsidR="00E21A2E" w:rsidRPr="00304A3B" w:rsidRDefault="00E21A2E" w:rsidP="00E21A2E">
      <w:pPr>
        <w:spacing w:line="240" w:lineRule="auto"/>
        <w:rPr>
          <w:rFonts w:ascii="Times New Roman" w:hAnsi="Times New Roman" w:cs="Times New Roman"/>
          <w:b/>
        </w:rPr>
      </w:pPr>
      <w:r w:rsidRPr="00304A3B">
        <w:rPr>
          <w:rFonts w:ascii="Times New Roman" w:hAnsi="Times New Roman" w:cs="Times New Roman"/>
          <w:b/>
        </w:rPr>
        <w:t>Emerging Gateways</w:t>
      </w:r>
    </w:p>
    <w:p w14:paraId="105C42DF" w14:textId="32ECA75D" w:rsidR="00E21A2E" w:rsidRPr="00304A3B" w:rsidRDefault="00E21A2E" w:rsidP="00E21A2E">
      <w:pPr>
        <w:spacing w:line="240" w:lineRule="auto"/>
        <w:rPr>
          <w:rFonts w:ascii="Times New Roman" w:hAnsi="Times New Roman" w:cs="Times New Roman"/>
        </w:rPr>
      </w:pPr>
      <w:r w:rsidRPr="00304A3B">
        <w:rPr>
          <w:rFonts w:ascii="Times New Roman" w:hAnsi="Times New Roman" w:cs="Times New Roman"/>
        </w:rPr>
        <w:t>The metropolitan areas in this group serve as the entry point to large emerging markets. They are the primary connection point to secondary and tertiary cities that are expected to generate significant economic growth in the coming decades. This position allows them to serve as hubs for advanced financial and business services and transportation. Emerging Gateways serve a similar function to Asian Anchors, but have yet</w:t>
      </w:r>
      <w:r w:rsidR="00275416" w:rsidRPr="00304A3B">
        <w:rPr>
          <w:rFonts w:ascii="Times New Roman" w:hAnsi="Times New Roman" w:cs="Times New Roman"/>
        </w:rPr>
        <w:t xml:space="preserve"> to achieve as prominent a role. This is </w:t>
      </w:r>
      <w:r w:rsidRPr="00304A3B">
        <w:rPr>
          <w:rFonts w:ascii="Times New Roman" w:hAnsi="Times New Roman" w:cs="Times New Roman"/>
        </w:rPr>
        <w:t xml:space="preserve">partly due to the fact that their markets are not yet the size of East Asia but also because the competitiveness factors required </w:t>
      </w:r>
      <w:proofErr w:type="gramStart"/>
      <w:r w:rsidRPr="00304A3B">
        <w:rPr>
          <w:rFonts w:ascii="Times New Roman" w:hAnsi="Times New Roman" w:cs="Times New Roman"/>
        </w:rPr>
        <w:t>to generate</w:t>
      </w:r>
      <w:proofErr w:type="gramEnd"/>
      <w:r w:rsidRPr="00304A3B">
        <w:rPr>
          <w:rFonts w:ascii="Times New Roman" w:hAnsi="Times New Roman" w:cs="Times New Roman"/>
        </w:rPr>
        <w:t xml:space="preserve"> new products and services are not as developed in these markets as in the Asian Anchors.</w:t>
      </w:r>
    </w:p>
    <w:p w14:paraId="11B43D52" w14:textId="19B43C1D" w:rsidR="007944CC" w:rsidRDefault="00E21A2E" w:rsidP="00E21A2E">
      <w:pPr>
        <w:spacing w:line="240" w:lineRule="auto"/>
        <w:rPr>
          <w:rFonts w:ascii="Times New Roman" w:hAnsi="Times New Roman" w:cs="Times New Roman"/>
        </w:rPr>
      </w:pPr>
      <w:r w:rsidRPr="00304A3B">
        <w:rPr>
          <w:rFonts w:ascii="Times New Roman" w:hAnsi="Times New Roman" w:cs="Times New Roman"/>
        </w:rPr>
        <w:t xml:space="preserve">Many of the Emerging Gateways embraced globalization early on, consolidating their positions as beachheads for capital, ideas, technology, and people. This role allowed them to concentrate important competitive assets and become the knowledge and innovation centers of their </w:t>
      </w:r>
      <w:r w:rsidR="00275416" w:rsidRPr="00304A3B">
        <w:rPr>
          <w:rFonts w:ascii="Times New Roman" w:hAnsi="Times New Roman" w:cs="Times New Roman"/>
        </w:rPr>
        <w:t>respective countries</w:t>
      </w:r>
      <w:r w:rsidRPr="00304A3B">
        <w:rPr>
          <w:rFonts w:ascii="Times New Roman" w:hAnsi="Times New Roman" w:cs="Times New Roman"/>
        </w:rPr>
        <w:t xml:space="preserve">. However, </w:t>
      </w:r>
      <w:r w:rsidR="00275416" w:rsidRPr="00304A3B">
        <w:rPr>
          <w:rFonts w:ascii="Times New Roman" w:hAnsi="Times New Roman" w:cs="Times New Roman"/>
        </w:rPr>
        <w:t>many of these cities, particularly those outside of Asia, have tended to underinvest in durable growth drivers like research and development and infrastructure</w:t>
      </w:r>
      <w:r w:rsidR="00751C4D">
        <w:rPr>
          <w:rFonts w:ascii="Times New Roman" w:hAnsi="Times New Roman" w:cs="Times New Roman"/>
        </w:rPr>
        <w:t xml:space="preserve"> connectivity</w:t>
      </w:r>
      <w:r w:rsidRPr="00304A3B">
        <w:rPr>
          <w:rFonts w:ascii="Times New Roman" w:hAnsi="Times New Roman" w:cs="Times New Roman"/>
        </w:rPr>
        <w:t>.</w:t>
      </w:r>
      <w:r w:rsidR="00DB4B45">
        <w:rPr>
          <w:rFonts w:ascii="Times New Roman" w:hAnsi="Times New Roman" w:cs="Times New Roman"/>
        </w:rPr>
        <w:t xml:space="preserve"> </w:t>
      </w:r>
    </w:p>
    <w:p w14:paraId="3E7E27A0" w14:textId="5EEEC786" w:rsidR="00E21A2E" w:rsidRPr="00304A3B" w:rsidRDefault="007944CC" w:rsidP="00E21A2E">
      <w:pPr>
        <w:spacing w:line="240" w:lineRule="auto"/>
        <w:rPr>
          <w:rFonts w:ascii="Times New Roman" w:hAnsi="Times New Roman" w:cs="Times New Roman"/>
        </w:rPr>
      </w:pPr>
      <w:r>
        <w:rPr>
          <w:rFonts w:ascii="Times New Roman" w:hAnsi="Times New Roman" w:cs="Times New Roman"/>
        </w:rPr>
        <w:t xml:space="preserve">The rapid economic growth and the concentration of competitive assets that allowed these cities to connect to the global economy have also produced high levels of inequality in many of the metros in this group. Cities like Rio de Janeiro, Johannesburg, Mexico City and Santiago have registered </w:t>
      </w:r>
      <w:r w:rsidR="00751C4D">
        <w:rPr>
          <w:rFonts w:ascii="Times New Roman" w:hAnsi="Times New Roman" w:cs="Times New Roman"/>
        </w:rPr>
        <w:t>some of the highest Gini coefficients in the world</w:t>
      </w:r>
      <w:r>
        <w:rPr>
          <w:rFonts w:ascii="Times New Roman" w:hAnsi="Times New Roman" w:cs="Times New Roman"/>
        </w:rPr>
        <w:t>.</w:t>
      </w:r>
      <w:r>
        <w:rPr>
          <w:rStyle w:val="EndnoteReference"/>
          <w:rFonts w:ascii="Times New Roman" w:hAnsi="Times New Roman" w:cs="Times New Roman"/>
        </w:rPr>
        <w:endnoteReference w:id="80"/>
      </w:r>
      <w:r w:rsidR="00751C4D">
        <w:rPr>
          <w:rFonts w:ascii="Times New Roman" w:hAnsi="Times New Roman" w:cs="Times New Roman"/>
        </w:rPr>
        <w:t xml:space="preserve"> </w:t>
      </w:r>
      <w:r>
        <w:rPr>
          <w:rFonts w:ascii="Times New Roman" w:hAnsi="Times New Roman" w:cs="Times New Roman"/>
        </w:rPr>
        <w:t xml:space="preserve">Emerging Gateways cities need to address these challenges if they wish to continue their growth trajectory. </w:t>
      </w:r>
    </w:p>
    <w:p w14:paraId="08C2EAF6" w14:textId="3571C5C9" w:rsidR="00E21A2E" w:rsidRPr="00304A3B" w:rsidRDefault="00E21A2E" w:rsidP="00E21A2E">
      <w:pPr>
        <w:spacing w:line="240" w:lineRule="auto"/>
        <w:rPr>
          <w:rFonts w:ascii="Times New Roman" w:hAnsi="Times New Roman" w:cs="Times New Roman"/>
        </w:rPr>
      </w:pPr>
      <w:r w:rsidRPr="00304A3B">
        <w:rPr>
          <w:rFonts w:ascii="Times New Roman" w:hAnsi="Times New Roman" w:cs="Times New Roman"/>
        </w:rPr>
        <w:t>Attention to productivity is</w:t>
      </w:r>
      <w:r w:rsidR="00751C4D">
        <w:rPr>
          <w:rFonts w:ascii="Times New Roman" w:hAnsi="Times New Roman" w:cs="Times New Roman"/>
        </w:rPr>
        <w:t xml:space="preserve"> also</w:t>
      </w:r>
      <w:r w:rsidRPr="00304A3B">
        <w:rPr>
          <w:rFonts w:ascii="Times New Roman" w:hAnsi="Times New Roman" w:cs="Times New Roman"/>
        </w:rPr>
        <w:t xml:space="preserve"> urgent. </w:t>
      </w:r>
      <w:proofErr w:type="gramStart"/>
      <w:r w:rsidRPr="00304A3B">
        <w:rPr>
          <w:rFonts w:ascii="Times New Roman" w:hAnsi="Times New Roman" w:cs="Times New Roman"/>
        </w:rPr>
        <w:t xml:space="preserve">Emerging Gateways as a group trail </w:t>
      </w:r>
      <w:r w:rsidR="00751C4D">
        <w:rPr>
          <w:rFonts w:ascii="Times New Roman" w:hAnsi="Times New Roman" w:cs="Times New Roman"/>
        </w:rPr>
        <w:t>peers</w:t>
      </w:r>
      <w:r w:rsidRPr="00304A3B">
        <w:rPr>
          <w:rFonts w:ascii="Times New Roman" w:hAnsi="Times New Roman" w:cs="Times New Roman"/>
        </w:rPr>
        <w:t xml:space="preserve"> in terms of output per worker and output per worker in the business, financial and professional services sector, a key industry for these cities.</w:t>
      </w:r>
      <w:proofErr w:type="gramEnd"/>
      <w:r w:rsidRPr="00304A3B">
        <w:rPr>
          <w:rFonts w:ascii="Times New Roman" w:hAnsi="Times New Roman" w:cs="Times New Roman"/>
        </w:rPr>
        <w:t xml:space="preserve"> To tackle this challenge additional investments in education are required, not only to increase the share of working age population with tertiary education, but to also improve the quality of the </w:t>
      </w:r>
      <w:r w:rsidRPr="00304A3B">
        <w:rPr>
          <w:rFonts w:ascii="Times New Roman" w:hAnsi="Times New Roman" w:cs="Times New Roman"/>
        </w:rPr>
        <w:lastRenderedPageBreak/>
        <w:t>skills provided. Brazil, Chile, Mexico, and Turkey all rank at the bottom of the OECD quality of education rankings.</w:t>
      </w:r>
      <w:r w:rsidRPr="00304A3B">
        <w:rPr>
          <w:rStyle w:val="EndnoteReference"/>
          <w:rFonts w:ascii="Times New Roman" w:hAnsi="Times New Roman" w:cs="Times New Roman"/>
        </w:rPr>
        <w:endnoteReference w:id="81"/>
      </w:r>
      <w:r w:rsidRPr="00304A3B">
        <w:rPr>
          <w:rFonts w:ascii="Times New Roman" w:hAnsi="Times New Roman" w:cs="Times New Roman"/>
        </w:rPr>
        <w:t xml:space="preserve"> </w:t>
      </w:r>
    </w:p>
    <w:p w14:paraId="38BC9DEF" w14:textId="781E06FB" w:rsidR="00E21A2E" w:rsidRPr="00304A3B" w:rsidRDefault="00E21A2E" w:rsidP="00E21A2E">
      <w:pPr>
        <w:spacing w:line="240" w:lineRule="auto"/>
        <w:rPr>
          <w:rFonts w:ascii="Times New Roman" w:hAnsi="Times New Roman" w:cs="Times New Roman"/>
        </w:rPr>
      </w:pPr>
      <w:r w:rsidRPr="00304A3B">
        <w:rPr>
          <w:rFonts w:ascii="Times New Roman" w:hAnsi="Times New Roman" w:cs="Times New Roman"/>
        </w:rPr>
        <w:t xml:space="preserve">In terms of innovation these metro areas need to take advantage of their privileged position as magnets of knowledge and talent, at least within their respective nations and regions, to facilitate a transition towards </w:t>
      </w:r>
      <w:r w:rsidR="00275416" w:rsidRPr="00304A3B">
        <w:rPr>
          <w:rFonts w:ascii="Times New Roman" w:hAnsi="Times New Roman" w:cs="Times New Roman"/>
        </w:rPr>
        <w:t>higher value-added sectors</w:t>
      </w:r>
      <w:r w:rsidRPr="00304A3B">
        <w:rPr>
          <w:rFonts w:ascii="Times New Roman" w:hAnsi="Times New Roman" w:cs="Times New Roman"/>
        </w:rPr>
        <w:t>. A closer collaboration between the private sector and universities should be among the top priorities for policymakers in this cluster. The steps that cities like Santiago are taking to bring together firms, entrepreneurs, universities, and the public sector will be paramount to unveil new avenues for economic growth.</w:t>
      </w:r>
      <w:r w:rsidRPr="00304A3B">
        <w:rPr>
          <w:rStyle w:val="EndnoteReference"/>
          <w:rFonts w:ascii="Times New Roman" w:hAnsi="Times New Roman" w:cs="Times New Roman"/>
        </w:rPr>
        <w:endnoteReference w:id="82"/>
      </w:r>
      <w:r w:rsidRPr="00304A3B">
        <w:rPr>
          <w:rFonts w:ascii="Times New Roman" w:hAnsi="Times New Roman" w:cs="Times New Roman"/>
        </w:rPr>
        <w:t xml:space="preserve"> </w:t>
      </w:r>
    </w:p>
    <w:p w14:paraId="3703A700" w14:textId="11A6C616" w:rsidR="00E21A2E" w:rsidRPr="00304A3B" w:rsidRDefault="00275416" w:rsidP="00E21A2E">
      <w:pPr>
        <w:spacing w:line="240" w:lineRule="auto"/>
        <w:rPr>
          <w:rFonts w:ascii="Times New Roman" w:hAnsi="Times New Roman" w:cs="Times New Roman"/>
        </w:rPr>
      </w:pPr>
      <w:r w:rsidRPr="00304A3B">
        <w:rPr>
          <w:rFonts w:ascii="Times New Roman" w:hAnsi="Times New Roman" w:cs="Times New Roman"/>
        </w:rPr>
        <w:t>These metros serve as the transportation hubs for countries that connect nearly half the world’s population. Despite this status, however, Emerging Gateways</w:t>
      </w:r>
      <w:r w:rsidR="00E21A2E" w:rsidRPr="00304A3B">
        <w:rPr>
          <w:rFonts w:ascii="Times New Roman" w:hAnsi="Times New Roman" w:cs="Times New Roman"/>
        </w:rPr>
        <w:t xml:space="preserve"> metros rank fourth in air passenger </w:t>
      </w:r>
      <w:r w:rsidRPr="00304A3B">
        <w:rPr>
          <w:rFonts w:ascii="Times New Roman" w:hAnsi="Times New Roman" w:cs="Times New Roman"/>
        </w:rPr>
        <w:t>traffic.</w:t>
      </w:r>
      <w:r w:rsidR="00E21A2E" w:rsidRPr="00304A3B">
        <w:rPr>
          <w:rFonts w:ascii="Times New Roman" w:hAnsi="Times New Roman" w:cs="Times New Roman"/>
        </w:rPr>
        <w:t xml:space="preserve"> Investing in global connectivity should be a priority for many of these cities. Mexico City is betting on transportation to power their economic growth, investing in a new airport that will be able to serve up to 50 million passengers per year, a vast improvement from the current capacity of 16 million passengers per year. </w:t>
      </w:r>
      <w:r w:rsidRPr="00304A3B">
        <w:rPr>
          <w:rFonts w:ascii="Times New Roman" w:hAnsi="Times New Roman" w:cs="Times New Roman"/>
        </w:rPr>
        <w:t xml:space="preserve">Similarly, </w:t>
      </w:r>
      <w:r w:rsidR="00E21A2E" w:rsidRPr="00304A3B">
        <w:rPr>
          <w:rFonts w:ascii="Times New Roman" w:hAnsi="Times New Roman" w:cs="Times New Roman"/>
        </w:rPr>
        <w:t>Santiago, Rio de Janeiro, and Warsaw are also investing to expand the current capabilities of their airports to allow for more seamless travel between their national markets and the rest of the world.</w:t>
      </w:r>
      <w:r w:rsidR="00E21A2E" w:rsidRPr="00304A3B">
        <w:rPr>
          <w:rStyle w:val="EndnoteReference"/>
          <w:rFonts w:ascii="Times New Roman" w:hAnsi="Times New Roman" w:cs="Times New Roman"/>
        </w:rPr>
        <w:endnoteReference w:id="83"/>
      </w:r>
      <w:r w:rsidR="00E21A2E" w:rsidRPr="00304A3B">
        <w:rPr>
          <w:rFonts w:ascii="Times New Roman" w:hAnsi="Times New Roman" w:cs="Times New Roman"/>
        </w:rPr>
        <w:t xml:space="preserve"> </w:t>
      </w:r>
    </w:p>
    <w:p w14:paraId="550B4EEB" w14:textId="77777777" w:rsidR="00E21A2E" w:rsidRPr="00304A3B" w:rsidRDefault="00E21A2E" w:rsidP="00E21A2E">
      <w:pPr>
        <w:spacing w:line="240" w:lineRule="auto"/>
        <w:rPr>
          <w:rFonts w:ascii="Times New Roman" w:hAnsi="Times New Roman" w:cs="Times New Roman"/>
          <w:b/>
        </w:rPr>
      </w:pPr>
      <w:r w:rsidRPr="00304A3B">
        <w:rPr>
          <w:rFonts w:ascii="Times New Roman" w:hAnsi="Times New Roman" w:cs="Times New Roman"/>
          <w:b/>
        </w:rPr>
        <w:t>Factory China</w:t>
      </w:r>
    </w:p>
    <w:p w14:paraId="2DDF6424" w14:textId="3CBF2990" w:rsidR="00E21A2E" w:rsidRPr="00304A3B" w:rsidRDefault="00A15AC9" w:rsidP="00A15AC9">
      <w:pPr>
        <w:spacing w:line="240" w:lineRule="auto"/>
        <w:rPr>
          <w:rFonts w:ascii="Times New Roman" w:hAnsi="Times New Roman" w:cs="Times New Roman"/>
        </w:rPr>
      </w:pPr>
      <w:r w:rsidRPr="00304A3B">
        <w:rPr>
          <w:rFonts w:ascii="Times New Roman" w:hAnsi="Times New Roman" w:cs="Times New Roman"/>
        </w:rPr>
        <w:t xml:space="preserve">Factory China </w:t>
      </w:r>
      <w:r w:rsidR="00751C4D">
        <w:rPr>
          <w:rFonts w:ascii="Times New Roman" w:hAnsi="Times New Roman" w:cs="Times New Roman"/>
        </w:rPr>
        <w:t xml:space="preserve">metros exemplify their </w:t>
      </w:r>
      <w:r w:rsidRPr="00304A3B">
        <w:rPr>
          <w:rFonts w:ascii="Times New Roman" w:hAnsi="Times New Roman" w:cs="Times New Roman"/>
        </w:rPr>
        <w:t xml:space="preserve">country’s assertion </w:t>
      </w:r>
      <w:r w:rsidR="00751C4D">
        <w:rPr>
          <w:rFonts w:ascii="Times New Roman" w:hAnsi="Times New Roman" w:cs="Times New Roman"/>
        </w:rPr>
        <w:t>in global markets</w:t>
      </w:r>
      <w:r w:rsidR="00E21A2E" w:rsidRPr="00304A3B">
        <w:rPr>
          <w:rFonts w:ascii="Times New Roman" w:hAnsi="Times New Roman" w:cs="Times New Roman"/>
        </w:rPr>
        <w:t xml:space="preserve">. </w:t>
      </w:r>
      <w:r w:rsidR="008A74C6" w:rsidRPr="00304A3B">
        <w:rPr>
          <w:rFonts w:ascii="Times New Roman" w:hAnsi="Times New Roman" w:cs="Times New Roman"/>
        </w:rPr>
        <w:t xml:space="preserve">As these regions industrialized, drawing on robust global demand for locally manufactured products, </w:t>
      </w:r>
      <w:r w:rsidRPr="00304A3B">
        <w:rPr>
          <w:rFonts w:ascii="Times New Roman" w:hAnsi="Times New Roman" w:cs="Times New Roman"/>
        </w:rPr>
        <w:t>GDP per capita grew by 400 percent between 2000 an</w:t>
      </w:r>
      <w:r w:rsidR="008A74C6" w:rsidRPr="00304A3B">
        <w:rPr>
          <w:rFonts w:ascii="Times New Roman" w:hAnsi="Times New Roman" w:cs="Times New Roman"/>
        </w:rPr>
        <w:t xml:space="preserve">d 2015. </w:t>
      </w:r>
      <w:r w:rsidR="00751C4D">
        <w:rPr>
          <w:rFonts w:ascii="Times New Roman" w:hAnsi="Times New Roman" w:cs="Times New Roman"/>
        </w:rPr>
        <w:t>These 22 regions are where m</w:t>
      </w:r>
      <w:r w:rsidRPr="00304A3B">
        <w:rPr>
          <w:rFonts w:ascii="Times New Roman" w:hAnsi="Times New Roman" w:cs="Times New Roman"/>
        </w:rPr>
        <w:t>illions of Chinese residents</w:t>
      </w:r>
      <w:r w:rsidR="008A74C6" w:rsidRPr="00304A3B">
        <w:rPr>
          <w:rFonts w:ascii="Times New Roman" w:hAnsi="Times New Roman" w:cs="Times New Roman"/>
        </w:rPr>
        <w:t xml:space="preserve"> moved</w:t>
      </w:r>
      <w:r w:rsidRPr="00304A3B">
        <w:rPr>
          <w:rFonts w:ascii="Times New Roman" w:hAnsi="Times New Roman" w:cs="Times New Roman"/>
        </w:rPr>
        <w:t xml:space="preserve"> into the global middle class</w:t>
      </w:r>
      <w:r w:rsidR="008A74C6" w:rsidRPr="00304A3B">
        <w:rPr>
          <w:rFonts w:ascii="Times New Roman" w:hAnsi="Times New Roman" w:cs="Times New Roman"/>
        </w:rPr>
        <w:t xml:space="preserve">. </w:t>
      </w:r>
    </w:p>
    <w:p w14:paraId="37DB121E" w14:textId="3BA69175" w:rsidR="00733A20" w:rsidRDefault="008A74C6" w:rsidP="00E21A2E">
      <w:pPr>
        <w:spacing w:line="240" w:lineRule="auto"/>
        <w:rPr>
          <w:rFonts w:ascii="Times New Roman" w:hAnsi="Times New Roman" w:cs="Times New Roman"/>
        </w:rPr>
      </w:pPr>
      <w:r w:rsidRPr="00304A3B">
        <w:rPr>
          <w:rFonts w:ascii="Times New Roman" w:hAnsi="Times New Roman" w:cs="Times New Roman"/>
        </w:rPr>
        <w:t>Accelerated growth has not come without costs</w:t>
      </w:r>
      <w:r w:rsidR="00751C4D">
        <w:rPr>
          <w:rFonts w:ascii="Times New Roman" w:hAnsi="Times New Roman" w:cs="Times New Roman"/>
        </w:rPr>
        <w:t>, however</w:t>
      </w:r>
      <w:r w:rsidRPr="00304A3B">
        <w:rPr>
          <w:rFonts w:ascii="Times New Roman" w:hAnsi="Times New Roman" w:cs="Times New Roman"/>
        </w:rPr>
        <w:t xml:space="preserve">. </w:t>
      </w:r>
      <w:r w:rsidR="00E21A2E" w:rsidRPr="00304A3B">
        <w:rPr>
          <w:rFonts w:ascii="Times New Roman" w:hAnsi="Times New Roman" w:cs="Times New Roman"/>
        </w:rPr>
        <w:t xml:space="preserve">Life expectancy in cities like Changchun, Dalian, </w:t>
      </w:r>
      <w:proofErr w:type="spellStart"/>
      <w:r w:rsidR="00E21A2E" w:rsidRPr="00304A3B">
        <w:rPr>
          <w:rFonts w:ascii="Times New Roman" w:hAnsi="Times New Roman" w:cs="Times New Roman"/>
        </w:rPr>
        <w:t>Haerbin</w:t>
      </w:r>
      <w:proofErr w:type="spellEnd"/>
      <w:r w:rsidR="00E21A2E" w:rsidRPr="00304A3B">
        <w:rPr>
          <w:rFonts w:ascii="Times New Roman" w:hAnsi="Times New Roman" w:cs="Times New Roman"/>
        </w:rPr>
        <w:t xml:space="preserve">, Qingdao, Shenyang, Shijiazhuang Tangshan, Yantai and Zibo are on average five years lower than in the rest of the country due to </w:t>
      </w:r>
      <w:r w:rsidRPr="00304A3B">
        <w:rPr>
          <w:rFonts w:ascii="Times New Roman" w:hAnsi="Times New Roman" w:cs="Times New Roman"/>
        </w:rPr>
        <w:t xml:space="preserve">the </w:t>
      </w:r>
      <w:r w:rsidR="00E21A2E" w:rsidRPr="00304A3B">
        <w:rPr>
          <w:rFonts w:ascii="Times New Roman" w:hAnsi="Times New Roman" w:cs="Times New Roman"/>
        </w:rPr>
        <w:t>air pollution</w:t>
      </w:r>
      <w:r w:rsidRPr="00304A3B">
        <w:rPr>
          <w:rFonts w:ascii="Times New Roman" w:hAnsi="Times New Roman" w:cs="Times New Roman"/>
        </w:rPr>
        <w:t xml:space="preserve"> that accompanied industry</w:t>
      </w:r>
      <w:r w:rsidR="00E21A2E" w:rsidRPr="00304A3B">
        <w:rPr>
          <w:rFonts w:ascii="Times New Roman" w:hAnsi="Times New Roman" w:cs="Times New Roman"/>
        </w:rPr>
        <w:t>.</w:t>
      </w:r>
      <w:r w:rsidR="00E21A2E" w:rsidRPr="00304A3B">
        <w:rPr>
          <w:rStyle w:val="EndnoteReference"/>
          <w:rFonts w:ascii="Times New Roman" w:hAnsi="Times New Roman" w:cs="Times New Roman"/>
        </w:rPr>
        <w:endnoteReference w:id="84"/>
      </w:r>
      <w:r w:rsidR="00E21A2E" w:rsidRPr="00304A3B">
        <w:rPr>
          <w:rFonts w:ascii="Times New Roman" w:hAnsi="Times New Roman" w:cs="Times New Roman"/>
        </w:rPr>
        <w:t xml:space="preserve"> Population growth, climate change, and industrial demand </w:t>
      </w:r>
      <w:r w:rsidRPr="00304A3B">
        <w:rPr>
          <w:rFonts w:ascii="Times New Roman" w:hAnsi="Times New Roman" w:cs="Times New Roman"/>
        </w:rPr>
        <w:t>are</w:t>
      </w:r>
      <w:r w:rsidR="00E21A2E" w:rsidRPr="00304A3B">
        <w:rPr>
          <w:rFonts w:ascii="Times New Roman" w:hAnsi="Times New Roman" w:cs="Times New Roman"/>
        </w:rPr>
        <w:t xml:space="preserve"> </w:t>
      </w:r>
      <w:r w:rsidRPr="00304A3B">
        <w:rPr>
          <w:rFonts w:ascii="Times New Roman" w:hAnsi="Times New Roman" w:cs="Times New Roman"/>
        </w:rPr>
        <w:t>creating</w:t>
      </w:r>
      <w:r w:rsidR="00E21A2E" w:rsidRPr="00304A3B">
        <w:rPr>
          <w:rFonts w:ascii="Times New Roman" w:hAnsi="Times New Roman" w:cs="Times New Roman"/>
        </w:rPr>
        <w:t xml:space="preserve"> water shortages in Shijiazhuang, Tangshan, Changchun, Dalian, Shenyang, Qingdao, and Zibo.</w:t>
      </w:r>
      <w:r w:rsidR="00E21A2E" w:rsidRPr="00304A3B">
        <w:rPr>
          <w:rStyle w:val="EndnoteReference"/>
          <w:rFonts w:ascii="Times New Roman" w:hAnsi="Times New Roman" w:cs="Times New Roman"/>
        </w:rPr>
        <w:endnoteReference w:id="85"/>
      </w:r>
      <w:r w:rsidR="00E21A2E" w:rsidRPr="00304A3B">
        <w:rPr>
          <w:rFonts w:ascii="Times New Roman" w:hAnsi="Times New Roman" w:cs="Times New Roman"/>
        </w:rPr>
        <w:t xml:space="preserve"> </w:t>
      </w:r>
      <w:r w:rsidRPr="00304A3B">
        <w:rPr>
          <w:rFonts w:ascii="Times New Roman" w:hAnsi="Times New Roman" w:cs="Times New Roman"/>
        </w:rPr>
        <w:t xml:space="preserve">Pricing these negative externalities must be a critical goal of energy, environmental, and industrial policy going forward. </w:t>
      </w:r>
      <w:r w:rsidR="00733A20">
        <w:rPr>
          <w:rFonts w:ascii="Times New Roman" w:hAnsi="Times New Roman" w:cs="Times New Roman"/>
        </w:rPr>
        <w:t>High levels of debt pose another challenge that Factory China cities must address to transition to a more sustainable growth model. Capital and infrastructure investments have been financed with rising levels of debts. Recent estimates show that China’s</w:t>
      </w:r>
      <w:r w:rsidR="00733A20" w:rsidRPr="00733A20">
        <w:rPr>
          <w:rFonts w:ascii="Times New Roman" w:hAnsi="Times New Roman" w:cs="Times New Roman"/>
        </w:rPr>
        <w:t xml:space="preserve"> debt-to-GDP ratio has soared from 150 to nearly 260</w:t>
      </w:r>
      <w:r w:rsidR="00733A20">
        <w:rPr>
          <w:rFonts w:ascii="Times New Roman" w:hAnsi="Times New Roman" w:cs="Times New Roman"/>
        </w:rPr>
        <w:t xml:space="preserve"> percent</w:t>
      </w:r>
      <w:r w:rsidR="00733A20" w:rsidRPr="00733A20">
        <w:rPr>
          <w:rFonts w:ascii="Times New Roman" w:hAnsi="Times New Roman" w:cs="Times New Roman"/>
        </w:rPr>
        <w:t xml:space="preserve"> </w:t>
      </w:r>
      <w:r w:rsidR="00733A20">
        <w:rPr>
          <w:rFonts w:ascii="Times New Roman" w:hAnsi="Times New Roman" w:cs="Times New Roman"/>
        </w:rPr>
        <w:t>over the past decade.</w:t>
      </w:r>
      <w:r w:rsidR="00733A20">
        <w:rPr>
          <w:rStyle w:val="EndnoteReference"/>
          <w:rFonts w:ascii="Times New Roman" w:hAnsi="Times New Roman" w:cs="Times New Roman"/>
        </w:rPr>
        <w:endnoteReference w:id="86"/>
      </w:r>
      <w:r w:rsidR="00733A20">
        <w:rPr>
          <w:rFonts w:ascii="Times New Roman" w:hAnsi="Times New Roman" w:cs="Times New Roman"/>
        </w:rPr>
        <w:t xml:space="preserve"> </w:t>
      </w:r>
    </w:p>
    <w:p w14:paraId="2F727EC2" w14:textId="14C265FD" w:rsidR="00E21A2E" w:rsidRPr="00304A3B" w:rsidRDefault="00E21A2E" w:rsidP="00E21A2E">
      <w:pPr>
        <w:spacing w:line="240" w:lineRule="auto"/>
        <w:rPr>
          <w:rFonts w:ascii="Times New Roman" w:hAnsi="Times New Roman" w:cs="Times New Roman"/>
        </w:rPr>
      </w:pPr>
      <w:r w:rsidRPr="00304A3B">
        <w:rPr>
          <w:rFonts w:ascii="Times New Roman" w:hAnsi="Times New Roman" w:cs="Times New Roman"/>
        </w:rPr>
        <w:t xml:space="preserve">Manufacturing </w:t>
      </w:r>
      <w:r w:rsidR="008A74C6" w:rsidRPr="00304A3B">
        <w:rPr>
          <w:rFonts w:ascii="Times New Roman" w:hAnsi="Times New Roman" w:cs="Times New Roman"/>
        </w:rPr>
        <w:t>will continue to be the growth engine in Factory China for the foreseeable future</w:t>
      </w:r>
      <w:r w:rsidRPr="00304A3B">
        <w:rPr>
          <w:rFonts w:ascii="Times New Roman" w:hAnsi="Times New Roman" w:cs="Times New Roman"/>
        </w:rPr>
        <w:t xml:space="preserve">, but </w:t>
      </w:r>
      <w:r w:rsidR="008A74C6" w:rsidRPr="00304A3B">
        <w:rPr>
          <w:rFonts w:ascii="Times New Roman" w:hAnsi="Times New Roman" w:cs="Times New Roman"/>
        </w:rPr>
        <w:t>it may never provide the mass employment of the 2000s again</w:t>
      </w:r>
      <w:r w:rsidRPr="00304A3B">
        <w:rPr>
          <w:rFonts w:ascii="Times New Roman" w:hAnsi="Times New Roman" w:cs="Times New Roman"/>
        </w:rPr>
        <w:t>. Accelerating automation and the shift in global supply chains to new, lower-cost markets may limit the benefits of industrialization in many of these metros. New evidence already suggests that manufacturing is experiencing diminishing returns in raising the living standards in developing nations.</w:t>
      </w:r>
      <w:r w:rsidRPr="00304A3B">
        <w:rPr>
          <w:rStyle w:val="EndnoteReference"/>
          <w:rFonts w:ascii="Times New Roman" w:hAnsi="Times New Roman" w:cs="Times New Roman"/>
        </w:rPr>
        <w:endnoteReference w:id="87"/>
      </w:r>
      <w:r w:rsidRPr="00304A3B">
        <w:rPr>
          <w:rFonts w:ascii="Times New Roman" w:hAnsi="Times New Roman" w:cs="Times New Roman"/>
        </w:rPr>
        <w:t xml:space="preserve"> </w:t>
      </w:r>
    </w:p>
    <w:p w14:paraId="56759757" w14:textId="247A02E3" w:rsidR="00E21A2E" w:rsidRPr="00304A3B" w:rsidRDefault="00E21A2E" w:rsidP="00E21A2E">
      <w:pPr>
        <w:spacing w:line="240" w:lineRule="auto"/>
        <w:rPr>
          <w:rFonts w:ascii="Times New Roman" w:hAnsi="Times New Roman" w:cs="Times New Roman"/>
        </w:rPr>
      </w:pPr>
      <w:r w:rsidRPr="00304A3B">
        <w:rPr>
          <w:rFonts w:ascii="Times New Roman" w:hAnsi="Times New Roman" w:cs="Times New Roman"/>
        </w:rPr>
        <w:t>Factory China metros</w:t>
      </w:r>
      <w:r w:rsidR="008A74C6" w:rsidRPr="00304A3B">
        <w:rPr>
          <w:rFonts w:ascii="Times New Roman" w:hAnsi="Times New Roman" w:cs="Times New Roman"/>
        </w:rPr>
        <w:t xml:space="preserve"> must spur an industrial transition through productivity-enhancing investments. Supporting education and workforce training is paramount for higher value-added industries to thrive</w:t>
      </w:r>
      <w:r w:rsidRPr="00304A3B">
        <w:rPr>
          <w:rFonts w:ascii="Times New Roman" w:hAnsi="Times New Roman" w:cs="Times New Roman"/>
        </w:rPr>
        <w:t>.</w:t>
      </w:r>
      <w:r w:rsidR="008A74C6" w:rsidRPr="00304A3B">
        <w:rPr>
          <w:rFonts w:ascii="Times New Roman" w:hAnsi="Times New Roman" w:cs="Times New Roman"/>
        </w:rPr>
        <w:t xml:space="preserve"> Just as major investments in universities did in the United States</w:t>
      </w:r>
      <w:r w:rsidR="008B7F20" w:rsidRPr="00304A3B">
        <w:rPr>
          <w:rFonts w:ascii="Times New Roman" w:hAnsi="Times New Roman" w:cs="Times New Roman"/>
        </w:rPr>
        <w:t xml:space="preserve"> in the 19</w:t>
      </w:r>
      <w:r w:rsidR="008B7F20" w:rsidRPr="00304A3B">
        <w:rPr>
          <w:rFonts w:ascii="Times New Roman" w:hAnsi="Times New Roman" w:cs="Times New Roman"/>
          <w:vertAlign w:val="superscript"/>
        </w:rPr>
        <w:t>th</w:t>
      </w:r>
      <w:r w:rsidR="008B7F20" w:rsidRPr="00304A3B">
        <w:rPr>
          <w:rFonts w:ascii="Times New Roman" w:hAnsi="Times New Roman" w:cs="Times New Roman"/>
        </w:rPr>
        <w:t xml:space="preserve"> century</w:t>
      </w:r>
      <w:r w:rsidR="008A74C6" w:rsidRPr="00304A3B">
        <w:rPr>
          <w:rFonts w:ascii="Times New Roman" w:hAnsi="Times New Roman" w:cs="Times New Roman"/>
        </w:rPr>
        <w:t xml:space="preserve">, China can </w:t>
      </w:r>
      <w:r w:rsidR="007C15A8">
        <w:rPr>
          <w:rFonts w:ascii="Times New Roman" w:hAnsi="Times New Roman" w:cs="Times New Roman"/>
        </w:rPr>
        <w:t>position these</w:t>
      </w:r>
      <w:r w:rsidR="008A74C6" w:rsidRPr="00304A3B">
        <w:rPr>
          <w:rFonts w:ascii="Times New Roman" w:hAnsi="Times New Roman" w:cs="Times New Roman"/>
        </w:rPr>
        <w:t xml:space="preserve"> second and third-tier cities </w:t>
      </w:r>
      <w:r w:rsidR="007C15A8">
        <w:rPr>
          <w:rFonts w:ascii="Times New Roman" w:hAnsi="Times New Roman" w:cs="Times New Roman"/>
        </w:rPr>
        <w:t>for</w:t>
      </w:r>
      <w:r w:rsidR="008A74C6" w:rsidRPr="00304A3B">
        <w:rPr>
          <w:rFonts w:ascii="Times New Roman" w:hAnsi="Times New Roman" w:cs="Times New Roman"/>
        </w:rPr>
        <w:t xml:space="preserve"> the 21</w:t>
      </w:r>
      <w:r w:rsidR="008A74C6" w:rsidRPr="00304A3B">
        <w:rPr>
          <w:rFonts w:ascii="Times New Roman" w:hAnsi="Times New Roman" w:cs="Times New Roman"/>
          <w:vertAlign w:val="superscript"/>
        </w:rPr>
        <w:t>st</w:t>
      </w:r>
      <w:r w:rsidR="008A74C6" w:rsidRPr="00304A3B">
        <w:rPr>
          <w:rFonts w:ascii="Times New Roman" w:hAnsi="Times New Roman" w:cs="Times New Roman"/>
        </w:rPr>
        <w:t xml:space="preserve"> century by improving the scientific impact of their u</w:t>
      </w:r>
      <w:r w:rsidR="008B6F17" w:rsidRPr="00304A3B">
        <w:rPr>
          <w:rFonts w:ascii="Times New Roman" w:hAnsi="Times New Roman" w:cs="Times New Roman"/>
        </w:rPr>
        <w:t>niversities.</w:t>
      </w:r>
    </w:p>
    <w:p w14:paraId="783BCDA7" w14:textId="6C25D5D1" w:rsidR="00E21A2E" w:rsidRPr="00304A3B" w:rsidRDefault="00E21A2E" w:rsidP="00E21A2E">
      <w:pPr>
        <w:spacing w:line="240" w:lineRule="auto"/>
        <w:rPr>
          <w:rFonts w:ascii="Times New Roman" w:hAnsi="Times New Roman" w:cs="Times New Roman"/>
        </w:rPr>
      </w:pPr>
      <w:r w:rsidRPr="00304A3B">
        <w:rPr>
          <w:rFonts w:ascii="Times New Roman" w:hAnsi="Times New Roman" w:cs="Times New Roman"/>
        </w:rPr>
        <w:t xml:space="preserve">In the past industrial powerhouses who underinvested in their prime competitive assets have struggled to </w:t>
      </w:r>
      <w:r w:rsidR="007C15A8">
        <w:rPr>
          <w:rFonts w:ascii="Times New Roman" w:hAnsi="Times New Roman" w:cs="Times New Roman"/>
        </w:rPr>
        <w:t>successfully compete in an ever-</w:t>
      </w:r>
      <w:r w:rsidRPr="00304A3B">
        <w:rPr>
          <w:rFonts w:ascii="Times New Roman" w:hAnsi="Times New Roman" w:cs="Times New Roman"/>
        </w:rPr>
        <w:t>changing and demanding global economy.</w:t>
      </w:r>
      <w:r w:rsidRPr="00304A3B">
        <w:rPr>
          <w:rStyle w:val="EndnoteReference"/>
          <w:rFonts w:ascii="Times New Roman" w:hAnsi="Times New Roman" w:cs="Times New Roman"/>
        </w:rPr>
        <w:t xml:space="preserve"> </w:t>
      </w:r>
      <w:r w:rsidRPr="00304A3B">
        <w:rPr>
          <w:rStyle w:val="EndnoteReference"/>
          <w:rFonts w:ascii="Times New Roman" w:hAnsi="Times New Roman" w:cs="Times New Roman"/>
        </w:rPr>
        <w:endnoteReference w:id="88"/>
      </w:r>
      <w:r w:rsidRPr="00304A3B">
        <w:rPr>
          <w:rFonts w:ascii="Times New Roman" w:hAnsi="Times New Roman" w:cs="Times New Roman"/>
        </w:rPr>
        <w:t xml:space="preserve"> F</w:t>
      </w:r>
      <w:r w:rsidR="008A74C6" w:rsidRPr="00304A3B">
        <w:rPr>
          <w:rFonts w:ascii="Times New Roman" w:hAnsi="Times New Roman" w:cs="Times New Roman"/>
        </w:rPr>
        <w:t>or Factory China metros, a long-</w:t>
      </w:r>
      <w:r w:rsidRPr="00304A3B">
        <w:rPr>
          <w:rFonts w:ascii="Times New Roman" w:hAnsi="Times New Roman" w:cs="Times New Roman"/>
        </w:rPr>
        <w:t xml:space="preserve">term strategy that addresses both environmental issues alongside investing in the fundamentals of competitiveness </w:t>
      </w:r>
      <w:proofErr w:type="gramStart"/>
      <w:r w:rsidRPr="00304A3B">
        <w:rPr>
          <w:rFonts w:ascii="Times New Roman" w:hAnsi="Times New Roman" w:cs="Times New Roman"/>
        </w:rPr>
        <w:t>a</w:t>
      </w:r>
      <w:r w:rsidR="007C15A8">
        <w:rPr>
          <w:rFonts w:ascii="Times New Roman" w:hAnsi="Times New Roman" w:cs="Times New Roman"/>
        </w:rPr>
        <w:t>r</w:t>
      </w:r>
      <w:r w:rsidRPr="00304A3B">
        <w:rPr>
          <w:rFonts w:ascii="Times New Roman" w:hAnsi="Times New Roman" w:cs="Times New Roman"/>
        </w:rPr>
        <w:t>e</w:t>
      </w:r>
      <w:proofErr w:type="gramEnd"/>
      <w:r w:rsidRPr="00304A3B">
        <w:rPr>
          <w:rFonts w:ascii="Times New Roman" w:hAnsi="Times New Roman" w:cs="Times New Roman"/>
        </w:rPr>
        <w:t xml:space="preserve"> ne</w:t>
      </w:r>
      <w:r w:rsidR="007C15A8">
        <w:rPr>
          <w:rFonts w:ascii="Times New Roman" w:hAnsi="Times New Roman" w:cs="Times New Roman"/>
        </w:rPr>
        <w:t>cessary if they wish to sustain robust growth</w:t>
      </w:r>
      <w:r w:rsidRPr="00304A3B">
        <w:rPr>
          <w:rFonts w:ascii="Times New Roman" w:hAnsi="Times New Roman" w:cs="Times New Roman"/>
        </w:rPr>
        <w:t xml:space="preserve">. </w:t>
      </w:r>
    </w:p>
    <w:p w14:paraId="4485E531" w14:textId="1CEBFFE9" w:rsidR="00F8194E" w:rsidRPr="00304A3B" w:rsidRDefault="00A8624E" w:rsidP="00ED4FE7">
      <w:pPr>
        <w:spacing w:line="240" w:lineRule="auto"/>
        <w:rPr>
          <w:rFonts w:ascii="Times New Roman" w:hAnsi="Times New Roman" w:cs="Times New Roman"/>
          <w:b/>
        </w:rPr>
      </w:pPr>
      <w:r w:rsidRPr="00304A3B">
        <w:rPr>
          <w:rFonts w:ascii="Times New Roman" w:hAnsi="Times New Roman" w:cs="Times New Roman"/>
          <w:b/>
        </w:rPr>
        <w:t>Knowledge Capitals</w:t>
      </w:r>
    </w:p>
    <w:p w14:paraId="0BFA4039" w14:textId="01220876" w:rsidR="00FC6323" w:rsidRPr="00304A3B" w:rsidRDefault="006C20F3" w:rsidP="00ED4FE7">
      <w:pPr>
        <w:spacing w:line="240" w:lineRule="auto"/>
        <w:rPr>
          <w:rFonts w:ascii="Times New Roman" w:hAnsi="Times New Roman" w:cs="Times New Roman"/>
        </w:rPr>
      </w:pPr>
      <w:r w:rsidRPr="00304A3B">
        <w:rPr>
          <w:rFonts w:ascii="Times New Roman" w:hAnsi="Times New Roman" w:cs="Times New Roman"/>
        </w:rPr>
        <w:lastRenderedPageBreak/>
        <w:t xml:space="preserve">These American and European </w:t>
      </w:r>
      <w:r w:rsidR="00EF02F2" w:rsidRPr="00304A3B">
        <w:rPr>
          <w:rFonts w:ascii="Times New Roman" w:hAnsi="Times New Roman" w:cs="Times New Roman"/>
        </w:rPr>
        <w:t>metros have achieved high-wealth status due to their significant stocks of human capital, innovative firms and universities, and sound infrastru</w:t>
      </w:r>
      <w:r w:rsidR="00541776" w:rsidRPr="00304A3B">
        <w:rPr>
          <w:rFonts w:ascii="Times New Roman" w:hAnsi="Times New Roman" w:cs="Times New Roman"/>
        </w:rPr>
        <w:t>cture connectivity. Unlike the Global Giants</w:t>
      </w:r>
      <w:r w:rsidR="00EF02F2" w:rsidRPr="00304A3B">
        <w:rPr>
          <w:rFonts w:ascii="Times New Roman" w:hAnsi="Times New Roman" w:cs="Times New Roman"/>
        </w:rPr>
        <w:t>, they are not the primary city-region in their national or supranational systems</w:t>
      </w:r>
      <w:r w:rsidR="00FC6323" w:rsidRPr="00304A3B">
        <w:rPr>
          <w:rFonts w:ascii="Times New Roman" w:hAnsi="Times New Roman" w:cs="Times New Roman"/>
        </w:rPr>
        <w:t xml:space="preserve"> and are not necessarily global centers of finance</w:t>
      </w:r>
      <w:r w:rsidR="00EF02F2" w:rsidRPr="00304A3B">
        <w:rPr>
          <w:rFonts w:ascii="Times New Roman" w:hAnsi="Times New Roman" w:cs="Times New Roman"/>
        </w:rPr>
        <w:t xml:space="preserve">. </w:t>
      </w:r>
      <w:r w:rsidR="00FC6323" w:rsidRPr="00304A3B">
        <w:rPr>
          <w:rFonts w:ascii="Times New Roman" w:hAnsi="Times New Roman" w:cs="Times New Roman"/>
        </w:rPr>
        <w:t>Rather,</w:t>
      </w:r>
      <w:r w:rsidR="00EF02F2" w:rsidRPr="00304A3B">
        <w:rPr>
          <w:rFonts w:ascii="Times New Roman" w:hAnsi="Times New Roman" w:cs="Times New Roman"/>
        </w:rPr>
        <w:t xml:space="preserve"> they </w:t>
      </w:r>
      <w:r w:rsidR="00541776" w:rsidRPr="00304A3B">
        <w:rPr>
          <w:rFonts w:ascii="Times New Roman" w:hAnsi="Times New Roman" w:cs="Times New Roman"/>
        </w:rPr>
        <w:t xml:space="preserve">oftentimes </w:t>
      </w:r>
      <w:r w:rsidR="00EF02F2" w:rsidRPr="00304A3B">
        <w:rPr>
          <w:rFonts w:ascii="Times New Roman" w:hAnsi="Times New Roman" w:cs="Times New Roman"/>
        </w:rPr>
        <w:t xml:space="preserve">operate </w:t>
      </w:r>
      <w:r w:rsidR="00FC6323" w:rsidRPr="00304A3B">
        <w:rPr>
          <w:rFonts w:ascii="Times New Roman" w:hAnsi="Times New Roman" w:cs="Times New Roman"/>
        </w:rPr>
        <w:t xml:space="preserve">at a smaller scale </w:t>
      </w:r>
      <w:r w:rsidR="00EF02F2" w:rsidRPr="00304A3B">
        <w:rPr>
          <w:rFonts w:ascii="Times New Roman" w:hAnsi="Times New Roman" w:cs="Times New Roman"/>
        </w:rPr>
        <w:t>as regional hubs of business and professional services in their respective countries</w:t>
      </w:r>
      <w:r w:rsidR="00FC6323" w:rsidRPr="00304A3B">
        <w:rPr>
          <w:rFonts w:ascii="Times New Roman" w:hAnsi="Times New Roman" w:cs="Times New Roman"/>
        </w:rPr>
        <w:t xml:space="preserve"> (e.g. Atlanta in the American South, Minneapolis in the American North, Denver in the American Mountain West, or Stockholm in Scandinavia) and key transportation nodes (e.g. major international airports in metros like Atlanta, Chicago, and Dallas). </w:t>
      </w:r>
    </w:p>
    <w:p w14:paraId="3A084DA0" w14:textId="057B90BD" w:rsidR="00BC5A00" w:rsidRPr="00304A3B" w:rsidRDefault="00FC6323" w:rsidP="00FC6323">
      <w:pPr>
        <w:spacing w:line="240" w:lineRule="auto"/>
        <w:rPr>
          <w:rFonts w:ascii="Times New Roman" w:hAnsi="Times New Roman" w:cs="Times New Roman"/>
        </w:rPr>
      </w:pPr>
      <w:r w:rsidRPr="00304A3B">
        <w:rPr>
          <w:rFonts w:ascii="Times New Roman" w:hAnsi="Times New Roman" w:cs="Times New Roman"/>
        </w:rPr>
        <w:t xml:space="preserve">Where </w:t>
      </w:r>
      <w:r w:rsidR="00A8624E" w:rsidRPr="00304A3B">
        <w:rPr>
          <w:rFonts w:ascii="Times New Roman" w:hAnsi="Times New Roman" w:cs="Times New Roman"/>
        </w:rPr>
        <w:t>Knowledge Capitals</w:t>
      </w:r>
      <w:r w:rsidRPr="00304A3B">
        <w:rPr>
          <w:rFonts w:ascii="Times New Roman" w:hAnsi="Times New Roman" w:cs="Times New Roman"/>
        </w:rPr>
        <w:t xml:space="preserve"> maintain truly global relevance is in knowledge creation and </w:t>
      </w:r>
      <w:r w:rsidR="004D159D" w:rsidRPr="00304A3B">
        <w:rPr>
          <w:rFonts w:ascii="Times New Roman" w:hAnsi="Times New Roman" w:cs="Times New Roman"/>
        </w:rPr>
        <w:t>commercialization. T</w:t>
      </w:r>
      <w:r w:rsidR="0016179B" w:rsidRPr="00304A3B">
        <w:rPr>
          <w:rFonts w:ascii="Times New Roman" w:hAnsi="Times New Roman" w:cs="Times New Roman"/>
        </w:rPr>
        <w:t xml:space="preserve">hese are the world-leading </w:t>
      </w:r>
      <w:r w:rsidRPr="00304A3B">
        <w:rPr>
          <w:rFonts w:ascii="Times New Roman" w:hAnsi="Times New Roman" w:cs="Times New Roman"/>
        </w:rPr>
        <w:t xml:space="preserve">centers </w:t>
      </w:r>
      <w:r w:rsidR="00730BB9" w:rsidRPr="00304A3B">
        <w:rPr>
          <w:rFonts w:ascii="Times New Roman" w:hAnsi="Times New Roman" w:cs="Times New Roman"/>
        </w:rPr>
        <w:t>for</w:t>
      </w:r>
      <w:r w:rsidRPr="00304A3B">
        <w:rPr>
          <w:rFonts w:ascii="Times New Roman" w:hAnsi="Times New Roman" w:cs="Times New Roman"/>
        </w:rPr>
        <w:t xml:space="preserve"> new ideas</w:t>
      </w:r>
      <w:r w:rsidR="00BC5A00" w:rsidRPr="00304A3B">
        <w:rPr>
          <w:rFonts w:ascii="Times New Roman" w:hAnsi="Times New Roman" w:cs="Times New Roman"/>
        </w:rPr>
        <w:t xml:space="preserve"> and </w:t>
      </w:r>
      <w:r w:rsidR="00800A07" w:rsidRPr="00304A3B">
        <w:rPr>
          <w:rFonts w:ascii="Times New Roman" w:hAnsi="Times New Roman" w:cs="Times New Roman"/>
        </w:rPr>
        <w:t>technologically advanced</w:t>
      </w:r>
      <w:r w:rsidR="00456133" w:rsidRPr="00304A3B">
        <w:rPr>
          <w:rFonts w:ascii="Times New Roman" w:hAnsi="Times New Roman" w:cs="Times New Roman"/>
        </w:rPr>
        <w:t xml:space="preserve"> products</w:t>
      </w:r>
      <w:r w:rsidR="00BC5A00" w:rsidRPr="00304A3B">
        <w:rPr>
          <w:rFonts w:ascii="Times New Roman" w:hAnsi="Times New Roman" w:cs="Times New Roman"/>
        </w:rPr>
        <w:t>.</w:t>
      </w:r>
      <w:r w:rsidR="004D159D" w:rsidRPr="00304A3B">
        <w:rPr>
          <w:rFonts w:ascii="Times New Roman" w:hAnsi="Times New Roman" w:cs="Times New Roman"/>
        </w:rPr>
        <w:t xml:space="preserve"> </w:t>
      </w:r>
      <w:r w:rsidR="00BC5A00" w:rsidRPr="00304A3B">
        <w:rPr>
          <w:rFonts w:ascii="Times New Roman" w:hAnsi="Times New Roman" w:cs="Times New Roman"/>
        </w:rPr>
        <w:t xml:space="preserve">Silicon Valley—anchored by San Francisco and San Jose—is arguably the world’s leading innovation ecosystem, best known for its breakthroughs in biotechnology, information technology, and digital services. But this grouping of metros also includes </w:t>
      </w:r>
      <w:r w:rsidR="00456133" w:rsidRPr="00304A3B">
        <w:rPr>
          <w:rFonts w:ascii="Times New Roman" w:hAnsi="Times New Roman" w:cs="Times New Roman"/>
        </w:rPr>
        <w:t>other global nodes</w:t>
      </w:r>
      <w:r w:rsidR="00BC5A00" w:rsidRPr="00304A3B">
        <w:rPr>
          <w:rFonts w:ascii="Times New Roman" w:hAnsi="Times New Roman" w:cs="Times New Roman"/>
        </w:rPr>
        <w:t xml:space="preserve"> of </w:t>
      </w:r>
      <w:r w:rsidR="00964FCD" w:rsidRPr="00304A3B">
        <w:rPr>
          <w:rFonts w:ascii="Times New Roman" w:hAnsi="Times New Roman" w:cs="Times New Roman"/>
        </w:rPr>
        <w:t xml:space="preserve">information technology (San Diego, Seattle, and Stockholm), life sciences (Boston and Philadelphia), </w:t>
      </w:r>
      <w:r w:rsidR="00BC5A00" w:rsidRPr="00304A3B">
        <w:rPr>
          <w:rFonts w:ascii="Times New Roman" w:hAnsi="Times New Roman" w:cs="Times New Roman"/>
        </w:rPr>
        <w:t xml:space="preserve">medical technology (Minneapolis), </w:t>
      </w:r>
      <w:r w:rsidR="00964FCD" w:rsidRPr="00304A3B">
        <w:rPr>
          <w:rFonts w:ascii="Times New Roman" w:hAnsi="Times New Roman" w:cs="Times New Roman"/>
        </w:rPr>
        <w:t>and semiconductor manufacturing (Austin and Portland).</w:t>
      </w:r>
      <w:r w:rsidR="00456133" w:rsidRPr="00304A3B">
        <w:rPr>
          <w:rFonts w:ascii="Times New Roman" w:hAnsi="Times New Roman" w:cs="Times New Roman"/>
        </w:rPr>
        <w:t xml:space="preserve"> </w:t>
      </w:r>
      <w:proofErr w:type="gramStart"/>
      <w:r w:rsidR="004D159D" w:rsidRPr="00304A3B">
        <w:rPr>
          <w:rFonts w:ascii="Times New Roman" w:hAnsi="Times New Roman" w:cs="Times New Roman"/>
        </w:rPr>
        <w:t>If, as Richard Freeman argues, “knowledge creation (is) the fundamental global driver of economic outcomes in today’s information economy,” the world is disproportionately reliant on these metros to fuel the innovation engine.</w:t>
      </w:r>
      <w:proofErr w:type="gramEnd"/>
      <w:r w:rsidR="004D159D" w:rsidRPr="00304A3B">
        <w:rPr>
          <w:rFonts w:ascii="Times New Roman" w:hAnsi="Times New Roman" w:cs="Times New Roman"/>
        </w:rPr>
        <w:t xml:space="preserve">  </w:t>
      </w:r>
    </w:p>
    <w:p w14:paraId="5730B40A" w14:textId="05280AF0" w:rsidR="000621B7" w:rsidRPr="00304A3B" w:rsidRDefault="0027149F" w:rsidP="00FC6323">
      <w:pPr>
        <w:spacing w:line="240" w:lineRule="auto"/>
        <w:rPr>
          <w:rFonts w:ascii="Times New Roman" w:hAnsi="Times New Roman" w:cs="Times New Roman"/>
        </w:rPr>
      </w:pPr>
      <w:r w:rsidRPr="00304A3B">
        <w:rPr>
          <w:rFonts w:ascii="Times New Roman" w:hAnsi="Times New Roman" w:cs="Times New Roman"/>
        </w:rPr>
        <w:t xml:space="preserve">Maintaining and expanding </w:t>
      </w:r>
      <w:r w:rsidR="004D159D" w:rsidRPr="00304A3B">
        <w:rPr>
          <w:rFonts w:ascii="Times New Roman" w:hAnsi="Times New Roman" w:cs="Times New Roman"/>
        </w:rPr>
        <w:t>their technological</w:t>
      </w:r>
      <w:r w:rsidRPr="00304A3B">
        <w:rPr>
          <w:rFonts w:ascii="Times New Roman" w:hAnsi="Times New Roman" w:cs="Times New Roman"/>
        </w:rPr>
        <w:t xml:space="preserve"> advantages are these metro areas</w:t>
      </w:r>
      <w:r w:rsidR="00E92994" w:rsidRPr="00304A3B">
        <w:rPr>
          <w:rFonts w:ascii="Times New Roman" w:hAnsi="Times New Roman" w:cs="Times New Roman"/>
        </w:rPr>
        <w:t>’</w:t>
      </w:r>
      <w:r w:rsidRPr="00304A3B">
        <w:rPr>
          <w:rFonts w:ascii="Times New Roman" w:hAnsi="Times New Roman" w:cs="Times New Roman"/>
        </w:rPr>
        <w:t xml:space="preserve"> top priorities. Most prominently, that </w:t>
      </w:r>
      <w:r w:rsidR="004D159D" w:rsidRPr="00304A3B">
        <w:rPr>
          <w:rFonts w:ascii="Times New Roman" w:hAnsi="Times New Roman" w:cs="Times New Roman"/>
        </w:rPr>
        <w:t>will demand</w:t>
      </w:r>
      <w:r w:rsidRPr="00304A3B">
        <w:rPr>
          <w:rFonts w:ascii="Times New Roman" w:hAnsi="Times New Roman" w:cs="Times New Roman"/>
        </w:rPr>
        <w:t xml:space="preserve"> strategies </w:t>
      </w:r>
      <w:r w:rsidR="004D159D" w:rsidRPr="00304A3B">
        <w:rPr>
          <w:rFonts w:ascii="Times New Roman" w:hAnsi="Times New Roman" w:cs="Times New Roman"/>
        </w:rPr>
        <w:t>that</w:t>
      </w:r>
      <w:r w:rsidRPr="00304A3B">
        <w:rPr>
          <w:rFonts w:ascii="Times New Roman" w:hAnsi="Times New Roman" w:cs="Times New Roman"/>
        </w:rPr>
        <w:t xml:space="preserve"> ensure the competitiveness of key </w:t>
      </w:r>
      <w:r w:rsidR="004D159D" w:rsidRPr="00304A3B">
        <w:rPr>
          <w:rFonts w:ascii="Times New Roman" w:hAnsi="Times New Roman" w:cs="Times New Roman"/>
        </w:rPr>
        <w:t>advanced industries</w:t>
      </w:r>
      <w:r w:rsidRPr="00304A3B">
        <w:rPr>
          <w:rFonts w:ascii="Times New Roman" w:hAnsi="Times New Roman" w:cs="Times New Roman"/>
        </w:rPr>
        <w:t xml:space="preserve">: build the pipeline of </w:t>
      </w:r>
      <w:r w:rsidR="00F27B8D" w:rsidRPr="00304A3B">
        <w:rPr>
          <w:rFonts w:ascii="Times New Roman" w:hAnsi="Times New Roman" w:cs="Times New Roman"/>
        </w:rPr>
        <w:t>STEM talent, from middle-skill professionals</w:t>
      </w:r>
      <w:r w:rsidRPr="00304A3B">
        <w:rPr>
          <w:rFonts w:ascii="Times New Roman" w:hAnsi="Times New Roman" w:cs="Times New Roman"/>
        </w:rPr>
        <w:t xml:space="preserve"> to </w:t>
      </w:r>
      <w:r w:rsidR="00F27B8D" w:rsidRPr="00304A3B">
        <w:rPr>
          <w:rFonts w:ascii="Times New Roman" w:hAnsi="Times New Roman" w:cs="Times New Roman"/>
        </w:rPr>
        <w:t>Ph.D.</w:t>
      </w:r>
      <w:r w:rsidRPr="00304A3B">
        <w:rPr>
          <w:rFonts w:ascii="Times New Roman" w:hAnsi="Times New Roman" w:cs="Times New Roman"/>
        </w:rPr>
        <w:t xml:space="preserve"> </w:t>
      </w:r>
      <w:r w:rsidR="000621B7" w:rsidRPr="00304A3B">
        <w:rPr>
          <w:rFonts w:ascii="Times New Roman" w:hAnsi="Times New Roman" w:cs="Times New Roman"/>
        </w:rPr>
        <w:t>scientists, and</w:t>
      </w:r>
      <w:r w:rsidR="000E09B1" w:rsidRPr="00304A3B">
        <w:rPr>
          <w:rFonts w:ascii="Times New Roman" w:hAnsi="Times New Roman" w:cs="Times New Roman"/>
        </w:rPr>
        <w:t xml:space="preserve"> better coordinate </w:t>
      </w:r>
      <w:r w:rsidRPr="00304A3B">
        <w:rPr>
          <w:rFonts w:ascii="Times New Roman" w:hAnsi="Times New Roman" w:cs="Times New Roman"/>
        </w:rPr>
        <w:t xml:space="preserve">the education and training system with </w:t>
      </w:r>
      <w:r w:rsidR="000E09B1" w:rsidRPr="00304A3B">
        <w:rPr>
          <w:rFonts w:ascii="Times New Roman" w:hAnsi="Times New Roman" w:cs="Times New Roman"/>
        </w:rPr>
        <w:t>employer needs</w:t>
      </w:r>
      <w:r w:rsidRPr="00304A3B">
        <w:rPr>
          <w:rFonts w:ascii="Times New Roman" w:hAnsi="Times New Roman" w:cs="Times New Roman"/>
        </w:rPr>
        <w:t xml:space="preserve">; engage universities and research institutions in technology commercialization, especially in small and mid-sized firms; and align state and federal resources and </w:t>
      </w:r>
      <w:r w:rsidR="000E09B1" w:rsidRPr="00304A3B">
        <w:rPr>
          <w:rFonts w:ascii="Times New Roman" w:hAnsi="Times New Roman" w:cs="Times New Roman"/>
        </w:rPr>
        <w:t>institutions, including federal labs, with local industries.</w:t>
      </w:r>
      <w:r w:rsidR="000621B7" w:rsidRPr="00304A3B">
        <w:rPr>
          <w:rStyle w:val="EndnoteReference"/>
          <w:rFonts w:ascii="Times New Roman" w:hAnsi="Times New Roman" w:cs="Times New Roman"/>
        </w:rPr>
        <w:endnoteReference w:id="89"/>
      </w:r>
      <w:r w:rsidR="000E09B1" w:rsidRPr="00304A3B">
        <w:rPr>
          <w:rFonts w:ascii="Times New Roman" w:hAnsi="Times New Roman" w:cs="Times New Roman"/>
        </w:rPr>
        <w:t xml:space="preserve"> </w:t>
      </w:r>
    </w:p>
    <w:p w14:paraId="5536F1EA" w14:textId="15B7B65F" w:rsidR="00C65CF0" w:rsidRPr="00304A3B" w:rsidRDefault="000621B7" w:rsidP="00FC6323">
      <w:pPr>
        <w:spacing w:line="240" w:lineRule="auto"/>
        <w:rPr>
          <w:rFonts w:ascii="Times New Roman" w:hAnsi="Times New Roman" w:cs="Times New Roman"/>
        </w:rPr>
      </w:pPr>
      <w:r w:rsidRPr="00304A3B">
        <w:rPr>
          <w:rFonts w:ascii="Times New Roman" w:hAnsi="Times New Roman" w:cs="Times New Roman"/>
        </w:rPr>
        <w:t xml:space="preserve">Beyond investing in the assets that drive industrial competitiveness, </w:t>
      </w:r>
      <w:r w:rsidR="00A8624E" w:rsidRPr="00304A3B">
        <w:rPr>
          <w:rFonts w:ascii="Times New Roman" w:hAnsi="Times New Roman" w:cs="Times New Roman"/>
        </w:rPr>
        <w:t>Knowledge Capitals</w:t>
      </w:r>
      <w:r w:rsidRPr="00304A3B">
        <w:rPr>
          <w:rFonts w:ascii="Times New Roman" w:hAnsi="Times New Roman" w:cs="Times New Roman"/>
        </w:rPr>
        <w:t xml:space="preserve"> must aggressively assert </w:t>
      </w:r>
      <w:r w:rsidR="00F27B8D" w:rsidRPr="00304A3B">
        <w:rPr>
          <w:rFonts w:ascii="Times New Roman" w:hAnsi="Times New Roman" w:cs="Times New Roman"/>
        </w:rPr>
        <w:t>their</w:t>
      </w:r>
      <w:r w:rsidRPr="00304A3B">
        <w:rPr>
          <w:rFonts w:ascii="Times New Roman" w:hAnsi="Times New Roman" w:cs="Times New Roman"/>
        </w:rPr>
        <w:t xml:space="preserve"> </w:t>
      </w:r>
      <w:r w:rsidR="00F27B8D" w:rsidRPr="00304A3B">
        <w:rPr>
          <w:rFonts w:ascii="Times New Roman" w:hAnsi="Times New Roman" w:cs="Times New Roman"/>
        </w:rPr>
        <w:t>industries</w:t>
      </w:r>
      <w:r w:rsidRPr="00304A3B">
        <w:rPr>
          <w:rFonts w:ascii="Times New Roman" w:hAnsi="Times New Roman" w:cs="Times New Roman"/>
        </w:rPr>
        <w:t xml:space="preserve"> in the global marketplace. </w:t>
      </w:r>
      <w:r w:rsidR="00E12476" w:rsidRPr="00304A3B">
        <w:rPr>
          <w:rFonts w:ascii="Times New Roman" w:hAnsi="Times New Roman" w:cs="Times New Roman"/>
        </w:rPr>
        <w:t>F</w:t>
      </w:r>
      <w:r w:rsidR="00F27B8D" w:rsidRPr="00304A3B">
        <w:rPr>
          <w:rFonts w:ascii="Times New Roman" w:hAnsi="Times New Roman" w:cs="Times New Roman"/>
        </w:rPr>
        <w:t xml:space="preserve">or all their advantages, they lag other </w:t>
      </w:r>
      <w:r w:rsidR="009B01DC" w:rsidRPr="00304A3B">
        <w:rPr>
          <w:rFonts w:ascii="Times New Roman" w:hAnsi="Times New Roman" w:cs="Times New Roman"/>
        </w:rPr>
        <w:t>groups</w:t>
      </w:r>
      <w:r w:rsidR="00F27B8D" w:rsidRPr="00304A3B">
        <w:rPr>
          <w:rFonts w:ascii="Times New Roman" w:hAnsi="Times New Roman" w:cs="Times New Roman"/>
        </w:rPr>
        <w:t xml:space="preserve"> in the volume of inward foreign direct investment. Setting aside larger </w:t>
      </w:r>
      <w:r w:rsidR="00A8624E" w:rsidRPr="00304A3B">
        <w:rPr>
          <w:rFonts w:ascii="Times New Roman" w:hAnsi="Times New Roman" w:cs="Times New Roman"/>
        </w:rPr>
        <w:t>Knowledge Capitals</w:t>
      </w:r>
      <w:r w:rsidR="00F27B8D" w:rsidRPr="00304A3B">
        <w:rPr>
          <w:rFonts w:ascii="Times New Roman" w:hAnsi="Times New Roman" w:cs="Times New Roman"/>
        </w:rPr>
        <w:t xml:space="preserve"> like Chicago, Boston, or Silicon Valley, the small scale of these metros limits their name recognition in other parts of the world, necessitating more intentional and aggressive global engagement. Along these lines, </w:t>
      </w:r>
      <w:r w:rsidR="00A8624E" w:rsidRPr="00304A3B">
        <w:rPr>
          <w:rFonts w:ascii="Times New Roman" w:hAnsi="Times New Roman" w:cs="Times New Roman"/>
        </w:rPr>
        <w:t>Knowledge Capitals</w:t>
      </w:r>
      <w:r w:rsidR="00E92994" w:rsidRPr="00304A3B">
        <w:rPr>
          <w:rFonts w:ascii="Times New Roman" w:hAnsi="Times New Roman" w:cs="Times New Roman"/>
        </w:rPr>
        <w:t xml:space="preserve"> like Atlanta, Chicago, Minneapolis, Portland, San Diego, Seattle, Stockholm and Washington, DC are either planning or executing public-private strategies aimed at boosting exports or attracting more foreign direct investment in key industries.</w:t>
      </w:r>
      <w:r w:rsidR="00C7126F" w:rsidRPr="00304A3B">
        <w:rPr>
          <w:rStyle w:val="EndnoteReference"/>
          <w:rFonts w:ascii="Times New Roman" w:hAnsi="Times New Roman" w:cs="Times New Roman"/>
        </w:rPr>
        <w:endnoteReference w:id="90"/>
      </w:r>
      <w:r w:rsidR="00E92994" w:rsidRPr="00304A3B">
        <w:rPr>
          <w:rFonts w:ascii="Times New Roman" w:hAnsi="Times New Roman" w:cs="Times New Roman"/>
        </w:rPr>
        <w:t xml:space="preserve"> </w:t>
      </w:r>
    </w:p>
    <w:p w14:paraId="7C463E85" w14:textId="0826679C" w:rsidR="006C6510" w:rsidRPr="00304A3B" w:rsidRDefault="00E82374" w:rsidP="00E82374">
      <w:pPr>
        <w:spacing w:line="240" w:lineRule="auto"/>
        <w:rPr>
          <w:rFonts w:ascii="Times New Roman" w:hAnsi="Times New Roman" w:cs="Times New Roman"/>
        </w:rPr>
      </w:pPr>
      <w:r w:rsidRPr="00304A3B">
        <w:rPr>
          <w:rFonts w:ascii="Times New Roman" w:hAnsi="Times New Roman" w:cs="Times New Roman"/>
        </w:rPr>
        <w:t xml:space="preserve">Some </w:t>
      </w:r>
      <w:r w:rsidR="00A8624E" w:rsidRPr="00304A3B">
        <w:rPr>
          <w:rFonts w:ascii="Times New Roman" w:hAnsi="Times New Roman" w:cs="Times New Roman"/>
        </w:rPr>
        <w:t>Knowledge Capitals</w:t>
      </w:r>
      <w:r w:rsidR="008C5AD9" w:rsidRPr="00304A3B">
        <w:rPr>
          <w:rFonts w:ascii="Times New Roman" w:hAnsi="Times New Roman" w:cs="Times New Roman"/>
        </w:rPr>
        <w:t xml:space="preserve"> face ongoing affordability challenges as a result of their success. Many of the industries in which </w:t>
      </w:r>
      <w:r w:rsidR="00A8624E" w:rsidRPr="00304A3B">
        <w:rPr>
          <w:rFonts w:ascii="Times New Roman" w:hAnsi="Times New Roman" w:cs="Times New Roman"/>
        </w:rPr>
        <w:t>Knowledge Capitals</w:t>
      </w:r>
      <w:r w:rsidR="008C5AD9" w:rsidRPr="00304A3B">
        <w:rPr>
          <w:rFonts w:ascii="Times New Roman" w:hAnsi="Times New Roman" w:cs="Times New Roman"/>
        </w:rPr>
        <w:t xml:space="preserve"> compete are experiencing winner-take-all dynamics, especially </w:t>
      </w:r>
      <w:r w:rsidRPr="00304A3B">
        <w:rPr>
          <w:rFonts w:ascii="Times New Roman" w:hAnsi="Times New Roman" w:cs="Times New Roman"/>
        </w:rPr>
        <w:t>in the tech sector</w:t>
      </w:r>
      <w:r w:rsidR="008C5AD9" w:rsidRPr="00304A3B">
        <w:rPr>
          <w:rFonts w:ascii="Times New Roman" w:hAnsi="Times New Roman" w:cs="Times New Roman"/>
        </w:rPr>
        <w:t xml:space="preserve">. Firms are experiencing record profits, which are concentrating among a relatively small set of investors, executives, and </w:t>
      </w:r>
      <w:r w:rsidR="00800A07" w:rsidRPr="00304A3B">
        <w:rPr>
          <w:rFonts w:ascii="Times New Roman" w:hAnsi="Times New Roman" w:cs="Times New Roman"/>
        </w:rPr>
        <w:t>highly skilled</w:t>
      </w:r>
      <w:r w:rsidR="008C5AD9" w:rsidRPr="00304A3B">
        <w:rPr>
          <w:rFonts w:ascii="Times New Roman" w:hAnsi="Times New Roman" w:cs="Times New Roman"/>
        </w:rPr>
        <w:t xml:space="preserve"> workers. Rising incomes have bid up housing prices, squeezing lower and middle-income households in particularly hot markets. </w:t>
      </w:r>
      <w:r w:rsidRPr="00304A3B">
        <w:rPr>
          <w:rFonts w:ascii="Times New Roman" w:hAnsi="Times New Roman" w:cs="Times New Roman"/>
        </w:rPr>
        <w:t>Improperly functioning housing markets can hinder regional economies when they limit labor mobility. The overall potential of the economy diminishes if people are locked in their housing and cannot move to other parts of the region to take a new job in which they would be more productive. If job seekers outside the region are unable to contribute their human capital because they cannot find housing, that also limits growth.</w:t>
      </w:r>
      <w:r w:rsidR="008C5AD9" w:rsidRPr="00304A3B">
        <w:rPr>
          <w:rFonts w:ascii="Times New Roman" w:hAnsi="Times New Roman" w:cs="Times New Roman"/>
        </w:rPr>
        <w:t xml:space="preserve"> </w:t>
      </w:r>
      <w:r w:rsidR="006C6510" w:rsidRPr="00304A3B">
        <w:rPr>
          <w:rFonts w:ascii="Times New Roman" w:hAnsi="Times New Roman" w:cs="Times New Roman"/>
        </w:rPr>
        <w:t>Within a U.S. context, Jason Furman has argued that low housing supply can limit workers’ ability to relocate to highly productive cities</w:t>
      </w:r>
      <w:r w:rsidR="00800A07" w:rsidRPr="00304A3B">
        <w:rPr>
          <w:rFonts w:ascii="Times New Roman" w:hAnsi="Times New Roman" w:cs="Times New Roman"/>
        </w:rPr>
        <w:t>,</w:t>
      </w:r>
      <w:r w:rsidR="006C6510" w:rsidRPr="00304A3B">
        <w:rPr>
          <w:rFonts w:ascii="Times New Roman" w:hAnsi="Times New Roman" w:cs="Times New Roman"/>
        </w:rPr>
        <w:t xml:space="preserve"> which, in turn, lowers long-run growth and productivity at the national level.</w:t>
      </w:r>
      <w:r w:rsidR="006C6510" w:rsidRPr="00304A3B">
        <w:rPr>
          <w:rStyle w:val="EndnoteReference"/>
          <w:rFonts w:ascii="Times New Roman" w:hAnsi="Times New Roman" w:cs="Times New Roman"/>
        </w:rPr>
        <w:endnoteReference w:id="91"/>
      </w:r>
      <w:r w:rsidR="006C6510" w:rsidRPr="00304A3B">
        <w:rPr>
          <w:rFonts w:ascii="Times New Roman" w:hAnsi="Times New Roman" w:cs="Times New Roman"/>
        </w:rPr>
        <w:t xml:space="preserve"> And i</w:t>
      </w:r>
      <w:r w:rsidRPr="00304A3B">
        <w:rPr>
          <w:rFonts w:ascii="Times New Roman" w:hAnsi="Times New Roman" w:cs="Times New Roman"/>
        </w:rPr>
        <w:t>n Stockholm, for instance, the founders of the online streaming application Spotify have cited that region’s insufficient housing supply as a major hindrance to being able to lure foreign talent for the firm.</w:t>
      </w:r>
      <w:r w:rsidRPr="00304A3B">
        <w:rPr>
          <w:rStyle w:val="EndnoteReference"/>
          <w:rFonts w:ascii="Times New Roman" w:hAnsi="Times New Roman" w:cs="Times New Roman"/>
        </w:rPr>
        <w:endnoteReference w:id="92"/>
      </w:r>
      <w:r w:rsidR="006C6510" w:rsidRPr="00304A3B">
        <w:rPr>
          <w:rFonts w:ascii="Times New Roman" w:hAnsi="Times New Roman" w:cs="Times New Roman"/>
        </w:rPr>
        <w:t xml:space="preserve"> </w:t>
      </w:r>
      <w:r w:rsidR="00A8624E" w:rsidRPr="00304A3B">
        <w:rPr>
          <w:rFonts w:ascii="Times New Roman" w:hAnsi="Times New Roman" w:cs="Times New Roman"/>
        </w:rPr>
        <w:t>Knowledge Capitals</w:t>
      </w:r>
      <w:r w:rsidR="006C6510" w:rsidRPr="00304A3B">
        <w:rPr>
          <w:rFonts w:ascii="Times New Roman" w:hAnsi="Times New Roman" w:cs="Times New Roman"/>
        </w:rPr>
        <w:t xml:space="preserve"> retain significant advantages in the knowledge economy, but rising competition from both developed and emerging metro economies brings new urgency to acknowledging and addressing these affordability concerns. </w:t>
      </w:r>
    </w:p>
    <w:p w14:paraId="0AF8B70F" w14:textId="5D70E539" w:rsidR="00A43113" w:rsidRPr="00304A3B" w:rsidRDefault="00A43113" w:rsidP="00A43113">
      <w:pPr>
        <w:spacing w:line="240" w:lineRule="auto"/>
        <w:rPr>
          <w:rFonts w:ascii="Times New Roman" w:hAnsi="Times New Roman" w:cs="Times New Roman"/>
          <w:b/>
        </w:rPr>
      </w:pPr>
      <w:r w:rsidRPr="00304A3B">
        <w:rPr>
          <w:rFonts w:ascii="Times New Roman" w:hAnsi="Times New Roman" w:cs="Times New Roman"/>
          <w:b/>
        </w:rPr>
        <w:lastRenderedPageBreak/>
        <w:t>American Middleweights</w:t>
      </w:r>
    </w:p>
    <w:p w14:paraId="029368D5" w14:textId="008E3123" w:rsidR="00A43113" w:rsidRPr="00304A3B" w:rsidRDefault="00B97CC2" w:rsidP="00A43113">
      <w:pPr>
        <w:spacing w:line="240" w:lineRule="auto"/>
        <w:rPr>
          <w:rFonts w:ascii="Times New Roman" w:hAnsi="Times New Roman" w:cs="Times New Roman"/>
        </w:rPr>
      </w:pPr>
      <w:r w:rsidRPr="00304A3B">
        <w:rPr>
          <w:rFonts w:ascii="Times New Roman" w:hAnsi="Times New Roman" w:cs="Times New Roman"/>
        </w:rPr>
        <w:t xml:space="preserve">American Middleweights are striving to find their global niche. This </w:t>
      </w:r>
      <w:r w:rsidR="008F22E0" w:rsidRPr="00304A3B">
        <w:rPr>
          <w:rFonts w:ascii="Times New Roman" w:hAnsi="Times New Roman" w:cs="Times New Roman"/>
        </w:rPr>
        <w:t>group</w:t>
      </w:r>
      <w:r w:rsidRPr="00304A3B">
        <w:rPr>
          <w:rFonts w:ascii="Times New Roman" w:hAnsi="Times New Roman" w:cs="Times New Roman"/>
        </w:rPr>
        <w:t xml:space="preserve"> generates particularly high concentrations of their local output in non-tradable sectors. Since these industries tend to be less productive, this large concentration </w:t>
      </w:r>
      <w:r w:rsidR="00A43113" w:rsidRPr="00304A3B">
        <w:rPr>
          <w:rFonts w:ascii="Times New Roman" w:hAnsi="Times New Roman" w:cs="Times New Roman"/>
        </w:rPr>
        <w:t xml:space="preserve">has contributed to below average output, employment, and GDP per capita growth. </w:t>
      </w:r>
      <w:r w:rsidRPr="00304A3B">
        <w:rPr>
          <w:rFonts w:ascii="Times New Roman" w:hAnsi="Times New Roman" w:cs="Times New Roman"/>
        </w:rPr>
        <w:t>This dynamic plays out differently within American Middleweights. For many metros in the American South and West (</w:t>
      </w:r>
      <w:r w:rsidR="00E9544B" w:rsidRPr="00304A3B">
        <w:rPr>
          <w:rFonts w:ascii="Times New Roman" w:hAnsi="Times New Roman" w:cs="Times New Roman"/>
        </w:rPr>
        <w:t>Orlando, Phoenix, Sacramento, Tampa</w:t>
      </w:r>
      <w:r w:rsidRPr="00304A3B">
        <w:rPr>
          <w:rFonts w:ascii="Times New Roman" w:hAnsi="Times New Roman" w:cs="Times New Roman"/>
        </w:rPr>
        <w:t>), the financial crisis upended a housing-driven growth model</w:t>
      </w:r>
      <w:r w:rsidR="00A43113" w:rsidRPr="00304A3B">
        <w:rPr>
          <w:rFonts w:ascii="Times New Roman" w:hAnsi="Times New Roman" w:cs="Times New Roman"/>
        </w:rPr>
        <w:t xml:space="preserve">. </w:t>
      </w:r>
      <w:r w:rsidRPr="00304A3B">
        <w:rPr>
          <w:rFonts w:ascii="Times New Roman" w:hAnsi="Times New Roman" w:cs="Times New Roman"/>
        </w:rPr>
        <w:t xml:space="preserve">Similarly, for many of the manufacturing-intensive metro economies like Cleveland, Detroit, and Indianapolis, the recession accelerated what has been a secular decline in manufacturing employment. </w:t>
      </w:r>
    </w:p>
    <w:p w14:paraId="5E76D7D6" w14:textId="77777777" w:rsidR="008B6F17" w:rsidRPr="00304A3B" w:rsidRDefault="00FC1B3B" w:rsidP="00B97CC2">
      <w:pPr>
        <w:spacing w:line="240" w:lineRule="auto"/>
        <w:rPr>
          <w:rFonts w:ascii="Times New Roman" w:hAnsi="Times New Roman" w:cs="Times New Roman"/>
        </w:rPr>
      </w:pPr>
      <w:r w:rsidRPr="00304A3B">
        <w:rPr>
          <w:rFonts w:ascii="Times New Roman" w:hAnsi="Times New Roman" w:cs="Times New Roman"/>
        </w:rPr>
        <w:t xml:space="preserve">While these metros still maintain relevance globally through their specializations, retooling those key tradable industries </w:t>
      </w:r>
      <w:r w:rsidR="00B97CC2" w:rsidRPr="00304A3B">
        <w:rPr>
          <w:rFonts w:ascii="Times New Roman" w:hAnsi="Times New Roman" w:cs="Times New Roman"/>
        </w:rPr>
        <w:t>for the 21</w:t>
      </w:r>
      <w:r w:rsidR="00B97CC2" w:rsidRPr="00304A3B">
        <w:rPr>
          <w:rFonts w:ascii="Times New Roman" w:hAnsi="Times New Roman" w:cs="Times New Roman"/>
          <w:vertAlign w:val="superscript"/>
        </w:rPr>
        <w:t>st</w:t>
      </w:r>
      <w:r w:rsidR="00B97CC2" w:rsidRPr="00304A3B">
        <w:rPr>
          <w:rFonts w:ascii="Times New Roman" w:hAnsi="Times New Roman" w:cs="Times New Roman"/>
        </w:rPr>
        <w:t xml:space="preserve"> century is the urgent challenge for American Middleweights. For many of these metro areas, manufacturing has historically been their traded sector backbone, but has been challenged by competition from overseas and automation. These global forces have taken their toll, but now they may offer opportunities for new avenues of economic growth. The increasing reliance on </w:t>
      </w:r>
      <w:r w:rsidR="00A43113" w:rsidRPr="00304A3B">
        <w:rPr>
          <w:rFonts w:ascii="Times New Roman" w:hAnsi="Times New Roman" w:cs="Times New Roman"/>
        </w:rPr>
        <w:t xml:space="preserve">software </w:t>
      </w:r>
      <w:r w:rsidR="00B97CC2" w:rsidRPr="00304A3B">
        <w:rPr>
          <w:rFonts w:ascii="Times New Roman" w:hAnsi="Times New Roman" w:cs="Times New Roman"/>
        </w:rPr>
        <w:t>and the</w:t>
      </w:r>
      <w:r w:rsidR="00A43113" w:rsidRPr="00304A3B">
        <w:rPr>
          <w:rFonts w:ascii="Times New Roman" w:hAnsi="Times New Roman" w:cs="Times New Roman"/>
        </w:rPr>
        <w:t xml:space="preserve"> industrial internet demands the creation of protocols, software, and platforms to fully connect and automate production. Manufacturing in the 21</w:t>
      </w:r>
      <w:r w:rsidR="00A43113" w:rsidRPr="00304A3B">
        <w:rPr>
          <w:rFonts w:ascii="Times New Roman" w:hAnsi="Times New Roman" w:cs="Times New Roman"/>
          <w:vertAlign w:val="superscript"/>
        </w:rPr>
        <w:t>st</w:t>
      </w:r>
      <w:r w:rsidR="00A43113" w:rsidRPr="00304A3B">
        <w:rPr>
          <w:rFonts w:ascii="Times New Roman" w:hAnsi="Times New Roman" w:cs="Times New Roman"/>
        </w:rPr>
        <w:t xml:space="preserve"> century will require software to fully exploit the benefits of automation, and cities with the right combination of </w:t>
      </w:r>
      <w:r w:rsidR="004941C8" w:rsidRPr="00304A3B">
        <w:rPr>
          <w:rFonts w:ascii="Times New Roman" w:hAnsi="Times New Roman" w:cs="Times New Roman"/>
        </w:rPr>
        <w:t xml:space="preserve">a </w:t>
      </w:r>
      <w:r w:rsidR="00A43113" w:rsidRPr="00304A3B">
        <w:rPr>
          <w:rFonts w:ascii="Times New Roman" w:hAnsi="Times New Roman" w:cs="Times New Roman"/>
        </w:rPr>
        <w:t>manufacturing legacy and research universities have a good opportunity to insert themselves in this nascent value chain.</w:t>
      </w:r>
      <w:r w:rsidR="004941C8" w:rsidRPr="00304A3B">
        <w:rPr>
          <w:rStyle w:val="EndnoteReference"/>
          <w:rFonts w:ascii="Times New Roman" w:hAnsi="Times New Roman" w:cs="Times New Roman"/>
        </w:rPr>
        <w:endnoteReference w:id="93"/>
      </w:r>
      <w:r w:rsidR="00A43113" w:rsidRPr="00304A3B">
        <w:rPr>
          <w:rFonts w:ascii="Times New Roman" w:hAnsi="Times New Roman" w:cs="Times New Roman"/>
        </w:rPr>
        <w:t xml:space="preserve"> </w:t>
      </w:r>
      <w:r w:rsidR="003421D9" w:rsidRPr="00304A3B">
        <w:rPr>
          <w:rFonts w:ascii="Times New Roman" w:hAnsi="Times New Roman" w:cs="Times New Roman"/>
        </w:rPr>
        <w:t xml:space="preserve">For instance, </w:t>
      </w:r>
      <w:r w:rsidR="00A43113" w:rsidRPr="00304A3B">
        <w:rPr>
          <w:rFonts w:ascii="Times New Roman" w:hAnsi="Times New Roman" w:cs="Times New Roman"/>
        </w:rPr>
        <w:t xml:space="preserve">General Electric </w:t>
      </w:r>
      <w:r w:rsidR="003421D9" w:rsidRPr="00304A3B">
        <w:rPr>
          <w:rFonts w:ascii="Times New Roman" w:hAnsi="Times New Roman" w:cs="Times New Roman"/>
        </w:rPr>
        <w:t>has chosen Detroit as its base of operations to</w:t>
      </w:r>
      <w:r w:rsidR="00A43113" w:rsidRPr="00304A3B">
        <w:rPr>
          <w:rFonts w:ascii="Times New Roman" w:hAnsi="Times New Roman" w:cs="Times New Roman"/>
        </w:rPr>
        <w:t xml:space="preserve"> create software that will connect the machines of the future.</w:t>
      </w:r>
      <w:r w:rsidR="00A43113" w:rsidRPr="00304A3B">
        <w:rPr>
          <w:rStyle w:val="EndnoteReference"/>
          <w:rFonts w:ascii="Times New Roman" w:hAnsi="Times New Roman" w:cs="Times New Roman"/>
        </w:rPr>
        <w:endnoteReference w:id="94"/>
      </w:r>
    </w:p>
    <w:p w14:paraId="0DDCB466" w14:textId="6563F32D" w:rsidR="00A43113" w:rsidRPr="00304A3B" w:rsidRDefault="003421D9" w:rsidP="00A43113">
      <w:pPr>
        <w:spacing w:line="240" w:lineRule="auto"/>
        <w:rPr>
          <w:rFonts w:ascii="Times New Roman" w:hAnsi="Times New Roman" w:cs="Times New Roman"/>
        </w:rPr>
      </w:pPr>
      <w:r w:rsidRPr="00304A3B">
        <w:rPr>
          <w:rFonts w:ascii="Times New Roman" w:hAnsi="Times New Roman" w:cs="Times New Roman"/>
        </w:rPr>
        <w:t xml:space="preserve">The infusion of software will also touch non-tradable sectors </w:t>
      </w:r>
      <w:r w:rsidR="006D414A" w:rsidRPr="00304A3B">
        <w:rPr>
          <w:rFonts w:ascii="Times New Roman" w:hAnsi="Times New Roman" w:cs="Times New Roman"/>
        </w:rPr>
        <w:t>like</w:t>
      </w:r>
      <w:r w:rsidR="00A43113" w:rsidRPr="00304A3B">
        <w:rPr>
          <w:rFonts w:ascii="Times New Roman" w:hAnsi="Times New Roman" w:cs="Times New Roman"/>
        </w:rPr>
        <w:t xml:space="preserve"> health care and education, represent</w:t>
      </w:r>
      <w:r w:rsidRPr="00304A3B">
        <w:rPr>
          <w:rFonts w:ascii="Times New Roman" w:hAnsi="Times New Roman" w:cs="Times New Roman"/>
        </w:rPr>
        <w:t>ing</w:t>
      </w:r>
      <w:r w:rsidR="00A43113" w:rsidRPr="00304A3B">
        <w:rPr>
          <w:rFonts w:ascii="Times New Roman" w:hAnsi="Times New Roman" w:cs="Times New Roman"/>
        </w:rPr>
        <w:t xml:space="preserve"> growth opportunities </w:t>
      </w:r>
      <w:r w:rsidRPr="00304A3B">
        <w:rPr>
          <w:rFonts w:ascii="Times New Roman" w:hAnsi="Times New Roman" w:cs="Times New Roman"/>
        </w:rPr>
        <w:t>for</w:t>
      </w:r>
      <w:r w:rsidR="008B6F17" w:rsidRPr="00304A3B">
        <w:rPr>
          <w:rFonts w:ascii="Times New Roman" w:hAnsi="Times New Roman" w:cs="Times New Roman"/>
        </w:rPr>
        <w:t xml:space="preserve"> many of the</w:t>
      </w:r>
      <w:r w:rsidRPr="00304A3B">
        <w:rPr>
          <w:rFonts w:ascii="Times New Roman" w:hAnsi="Times New Roman" w:cs="Times New Roman"/>
        </w:rPr>
        <w:t xml:space="preserve"> metros in this </w:t>
      </w:r>
      <w:r w:rsidR="008B6F17" w:rsidRPr="00304A3B">
        <w:rPr>
          <w:rFonts w:ascii="Times New Roman" w:hAnsi="Times New Roman" w:cs="Times New Roman"/>
        </w:rPr>
        <w:t>group</w:t>
      </w:r>
      <w:r w:rsidRPr="00304A3B">
        <w:rPr>
          <w:rFonts w:ascii="Times New Roman" w:hAnsi="Times New Roman" w:cs="Times New Roman"/>
        </w:rPr>
        <w:t xml:space="preserve"> that have specialized in “</w:t>
      </w:r>
      <w:proofErr w:type="spellStart"/>
      <w:r w:rsidRPr="00304A3B">
        <w:rPr>
          <w:rFonts w:ascii="Times New Roman" w:hAnsi="Times New Roman" w:cs="Times New Roman"/>
        </w:rPr>
        <w:t>eds</w:t>
      </w:r>
      <w:proofErr w:type="spellEnd"/>
      <w:r w:rsidRPr="00304A3B">
        <w:rPr>
          <w:rFonts w:ascii="Times New Roman" w:hAnsi="Times New Roman" w:cs="Times New Roman"/>
        </w:rPr>
        <w:t xml:space="preserve"> and meds.”</w:t>
      </w:r>
      <w:r w:rsidR="00A43113" w:rsidRPr="00304A3B">
        <w:rPr>
          <w:rFonts w:ascii="Times New Roman" w:hAnsi="Times New Roman" w:cs="Times New Roman"/>
        </w:rPr>
        <w:t xml:space="preserve"> </w:t>
      </w:r>
      <w:r w:rsidRPr="00304A3B">
        <w:rPr>
          <w:rFonts w:ascii="Times New Roman" w:hAnsi="Times New Roman" w:cs="Times New Roman"/>
        </w:rPr>
        <w:t>Entrepreneurs</w:t>
      </w:r>
      <w:r w:rsidR="00A43113" w:rsidRPr="00304A3B">
        <w:rPr>
          <w:rFonts w:ascii="Times New Roman" w:hAnsi="Times New Roman" w:cs="Times New Roman"/>
        </w:rPr>
        <w:t xml:space="preserve"> </w:t>
      </w:r>
      <w:r w:rsidRPr="00304A3B">
        <w:rPr>
          <w:rFonts w:ascii="Times New Roman" w:hAnsi="Times New Roman" w:cs="Times New Roman"/>
        </w:rPr>
        <w:t xml:space="preserve">in many of these metros are eliminating </w:t>
      </w:r>
      <w:r w:rsidR="00A43113" w:rsidRPr="00304A3B">
        <w:rPr>
          <w:rFonts w:ascii="Times New Roman" w:hAnsi="Times New Roman" w:cs="Times New Roman"/>
        </w:rPr>
        <w:t>inefficiencies and develop</w:t>
      </w:r>
      <w:r w:rsidRPr="00304A3B">
        <w:rPr>
          <w:rFonts w:ascii="Times New Roman" w:hAnsi="Times New Roman" w:cs="Times New Roman"/>
        </w:rPr>
        <w:t>ing</w:t>
      </w:r>
      <w:r w:rsidR="00A43113" w:rsidRPr="00304A3B">
        <w:rPr>
          <w:rFonts w:ascii="Times New Roman" w:hAnsi="Times New Roman" w:cs="Times New Roman"/>
        </w:rPr>
        <w:t xml:space="preserve"> new platforms and business models. </w:t>
      </w:r>
      <w:r w:rsidR="006D414A" w:rsidRPr="00304A3B">
        <w:rPr>
          <w:rFonts w:ascii="Times New Roman" w:hAnsi="Times New Roman" w:cs="Times New Roman"/>
        </w:rPr>
        <w:t>For instance, t</w:t>
      </w:r>
      <w:r w:rsidR="00A43113" w:rsidRPr="00304A3B">
        <w:rPr>
          <w:rFonts w:ascii="Times New Roman" w:hAnsi="Times New Roman" w:cs="Times New Roman"/>
        </w:rPr>
        <w:t xml:space="preserve">he University of Pittsburgh, Carnegie Mellon University, and </w:t>
      </w:r>
      <w:r w:rsidRPr="00304A3B">
        <w:rPr>
          <w:rFonts w:ascii="Times New Roman" w:hAnsi="Times New Roman" w:cs="Times New Roman"/>
        </w:rPr>
        <w:t>the University of Pittsburgh Medical Campus</w:t>
      </w:r>
      <w:r w:rsidR="00A43113" w:rsidRPr="00304A3B">
        <w:rPr>
          <w:rFonts w:ascii="Times New Roman" w:hAnsi="Times New Roman" w:cs="Times New Roman"/>
        </w:rPr>
        <w:t>, the largest network of hospitals in western Pennsylvania, epitomize this bet to disrupt local services. Together they are digitizing the medical history of patients to apply advanced analytics to reduce health care costs, improve diagnostics, and fundamentally change the provision of healthcare.</w:t>
      </w:r>
      <w:r w:rsidR="00A43113" w:rsidRPr="00304A3B">
        <w:rPr>
          <w:rStyle w:val="EndnoteReference"/>
          <w:rFonts w:ascii="Times New Roman" w:hAnsi="Times New Roman" w:cs="Times New Roman"/>
        </w:rPr>
        <w:endnoteReference w:id="95"/>
      </w:r>
      <w:r w:rsidR="00A43113" w:rsidRPr="00304A3B">
        <w:rPr>
          <w:rFonts w:ascii="Times New Roman" w:hAnsi="Times New Roman" w:cs="Times New Roman"/>
        </w:rPr>
        <w:t xml:space="preserve"> By leveraging their unique combination of strengths</w:t>
      </w:r>
      <w:r w:rsidR="008B6F17" w:rsidRPr="00304A3B">
        <w:rPr>
          <w:rFonts w:ascii="Times New Roman" w:hAnsi="Times New Roman" w:cs="Times New Roman"/>
        </w:rPr>
        <w:t>,</w:t>
      </w:r>
      <w:r w:rsidR="00A43113" w:rsidRPr="00304A3B">
        <w:rPr>
          <w:rFonts w:ascii="Times New Roman" w:hAnsi="Times New Roman" w:cs="Times New Roman"/>
        </w:rPr>
        <w:t xml:space="preserve"> </w:t>
      </w:r>
      <w:r w:rsidR="008B6F17" w:rsidRPr="00304A3B">
        <w:rPr>
          <w:rFonts w:ascii="Times New Roman" w:hAnsi="Times New Roman" w:cs="Times New Roman"/>
        </w:rPr>
        <w:t>these</w:t>
      </w:r>
      <w:r w:rsidR="00A43113" w:rsidRPr="00304A3B">
        <w:rPr>
          <w:rFonts w:ascii="Times New Roman" w:hAnsi="Times New Roman" w:cs="Times New Roman"/>
        </w:rPr>
        <w:t xml:space="preserve"> three local actors are trying to create a completely new industry that could potentially transform Pittsburgh in a global</w:t>
      </w:r>
      <w:r w:rsidR="008B6F17" w:rsidRPr="00304A3B">
        <w:rPr>
          <w:rFonts w:ascii="Times New Roman" w:hAnsi="Times New Roman" w:cs="Times New Roman"/>
        </w:rPr>
        <w:t xml:space="preserve"> digital healthcare powerhouse, spawning novel technologies and services that can be deployed in markets well beyond Pittsburgh.   </w:t>
      </w:r>
    </w:p>
    <w:p w14:paraId="2A81D3EB" w14:textId="4D5834F6" w:rsidR="008B6F17" w:rsidRPr="00304A3B" w:rsidRDefault="003421D9" w:rsidP="008B6F17">
      <w:pPr>
        <w:spacing w:line="240" w:lineRule="auto"/>
        <w:rPr>
          <w:rFonts w:ascii="Times New Roman" w:hAnsi="Times New Roman" w:cs="Times New Roman"/>
        </w:rPr>
      </w:pPr>
      <w:r w:rsidRPr="00304A3B">
        <w:rPr>
          <w:rFonts w:ascii="Times New Roman" w:hAnsi="Times New Roman" w:cs="Times New Roman"/>
        </w:rPr>
        <w:t xml:space="preserve">American Middleweights have a base of educated workers, research universities and hospitals, and tradable </w:t>
      </w:r>
      <w:r w:rsidR="008B6F17" w:rsidRPr="00304A3B">
        <w:rPr>
          <w:rFonts w:ascii="Times New Roman" w:hAnsi="Times New Roman" w:cs="Times New Roman"/>
        </w:rPr>
        <w:t>clusters</w:t>
      </w:r>
      <w:r w:rsidRPr="00304A3B">
        <w:rPr>
          <w:rFonts w:ascii="Times New Roman" w:hAnsi="Times New Roman" w:cs="Times New Roman"/>
        </w:rPr>
        <w:t xml:space="preserve">. Aligning these assets to improve their export competitiveness through coordinated economic strategies will be critical if they are </w:t>
      </w:r>
      <w:r w:rsidR="00EF40B7" w:rsidRPr="00304A3B">
        <w:rPr>
          <w:rFonts w:ascii="Times New Roman" w:hAnsi="Times New Roman" w:cs="Times New Roman"/>
        </w:rPr>
        <w:t xml:space="preserve">to successfully compete in global markets. </w:t>
      </w:r>
      <w:r w:rsidR="008B6F17" w:rsidRPr="00304A3B">
        <w:rPr>
          <w:rFonts w:ascii="Times New Roman" w:hAnsi="Times New Roman" w:cs="Times New Roman"/>
        </w:rPr>
        <w:t xml:space="preserve">The urgency to engage globally has resulted in action; many metro areas in this group are aligning their local economic assets to promote the exports in sectors where they enjoy a competitive advantage. </w:t>
      </w:r>
      <w:r w:rsidR="007C15A8">
        <w:rPr>
          <w:rFonts w:ascii="Times New Roman" w:hAnsi="Times New Roman" w:cs="Times New Roman"/>
        </w:rPr>
        <w:t>I</w:t>
      </w:r>
      <w:r w:rsidR="007C15A8" w:rsidRPr="00304A3B">
        <w:rPr>
          <w:rFonts w:ascii="Times New Roman" w:hAnsi="Times New Roman" w:cs="Times New Roman"/>
        </w:rPr>
        <w:t>n an effort to better position themselves in the global economy</w:t>
      </w:r>
      <w:r w:rsidR="007C15A8">
        <w:rPr>
          <w:rFonts w:ascii="Times New Roman" w:hAnsi="Times New Roman" w:cs="Times New Roman"/>
        </w:rPr>
        <w:t>, h</w:t>
      </w:r>
      <w:r w:rsidR="008B6F17" w:rsidRPr="00304A3B">
        <w:rPr>
          <w:rFonts w:ascii="Times New Roman" w:hAnsi="Times New Roman" w:cs="Times New Roman"/>
        </w:rPr>
        <w:t>alf of all the metropolitan areas in this group have developed e</w:t>
      </w:r>
      <w:r w:rsidR="007C15A8">
        <w:rPr>
          <w:rFonts w:ascii="Times New Roman" w:hAnsi="Times New Roman" w:cs="Times New Roman"/>
        </w:rPr>
        <w:t>xports and FDI attraction plans</w:t>
      </w:r>
      <w:r w:rsidR="008B6F17" w:rsidRPr="00304A3B">
        <w:rPr>
          <w:rFonts w:ascii="Times New Roman" w:hAnsi="Times New Roman" w:cs="Times New Roman"/>
        </w:rPr>
        <w:t>.</w:t>
      </w:r>
      <w:r w:rsidR="008B6F17" w:rsidRPr="00304A3B">
        <w:rPr>
          <w:rStyle w:val="EndnoteReference"/>
          <w:rFonts w:ascii="Times New Roman" w:hAnsi="Times New Roman" w:cs="Times New Roman"/>
        </w:rPr>
        <w:endnoteReference w:id="96"/>
      </w:r>
    </w:p>
    <w:p w14:paraId="70AB7822" w14:textId="577B2681" w:rsidR="00A43113" w:rsidRPr="00304A3B" w:rsidRDefault="005D19A1" w:rsidP="00A43113">
      <w:pPr>
        <w:spacing w:line="240" w:lineRule="auto"/>
        <w:rPr>
          <w:rFonts w:ascii="Times New Roman" w:hAnsi="Times New Roman" w:cs="Times New Roman"/>
          <w:b/>
        </w:rPr>
      </w:pPr>
      <w:r w:rsidRPr="00304A3B">
        <w:rPr>
          <w:rFonts w:ascii="Times New Roman" w:hAnsi="Times New Roman" w:cs="Times New Roman"/>
          <w:b/>
        </w:rPr>
        <w:t>International Middleweights</w:t>
      </w:r>
    </w:p>
    <w:p w14:paraId="7D2CAC5B" w14:textId="03738883" w:rsidR="00A43113" w:rsidRPr="00304A3B" w:rsidRDefault="00ED22E9" w:rsidP="00A43113">
      <w:pPr>
        <w:spacing w:line="240" w:lineRule="auto"/>
        <w:rPr>
          <w:rFonts w:ascii="Times New Roman" w:hAnsi="Times New Roman" w:cs="Times New Roman"/>
        </w:rPr>
      </w:pPr>
      <w:r w:rsidRPr="00304A3B">
        <w:rPr>
          <w:rFonts w:ascii="Times New Roman" w:hAnsi="Times New Roman" w:cs="Times New Roman"/>
        </w:rPr>
        <w:t xml:space="preserve">This diverse cluster contains metro economies that have experienced middling growth, but remain relatively globally-connected on people and investment flows. </w:t>
      </w:r>
      <w:r w:rsidR="00A43113" w:rsidRPr="00304A3B">
        <w:rPr>
          <w:rFonts w:ascii="Times New Roman" w:hAnsi="Times New Roman" w:cs="Times New Roman"/>
        </w:rPr>
        <w:t>The economic crisis of 2008-2010 heavily impacted many of the cities in this group, particularly in Europe</w:t>
      </w:r>
      <w:r w:rsidR="006D414A" w:rsidRPr="00304A3B">
        <w:rPr>
          <w:rFonts w:ascii="Times New Roman" w:hAnsi="Times New Roman" w:cs="Times New Roman"/>
        </w:rPr>
        <w:t xml:space="preserve"> and Japan</w:t>
      </w:r>
      <w:r w:rsidR="00A43113" w:rsidRPr="00304A3B">
        <w:rPr>
          <w:rFonts w:ascii="Times New Roman" w:hAnsi="Times New Roman" w:cs="Times New Roman"/>
        </w:rPr>
        <w:t xml:space="preserve">, </w:t>
      </w:r>
      <w:r w:rsidRPr="00304A3B">
        <w:rPr>
          <w:rFonts w:ascii="Times New Roman" w:hAnsi="Times New Roman" w:cs="Times New Roman"/>
        </w:rPr>
        <w:t>and growth rates have not returned to pre-crisis levels</w:t>
      </w:r>
      <w:r w:rsidR="00A43113" w:rsidRPr="00304A3B">
        <w:rPr>
          <w:rFonts w:ascii="Times New Roman" w:hAnsi="Times New Roman" w:cs="Times New Roman"/>
        </w:rPr>
        <w:t xml:space="preserve">. </w:t>
      </w:r>
      <w:r w:rsidRPr="00304A3B">
        <w:rPr>
          <w:rFonts w:ascii="Times New Roman" w:hAnsi="Times New Roman" w:cs="Times New Roman"/>
        </w:rPr>
        <w:t xml:space="preserve">Some metro areas </w:t>
      </w:r>
      <w:r w:rsidR="00A43113" w:rsidRPr="00304A3B">
        <w:rPr>
          <w:rFonts w:ascii="Times New Roman" w:hAnsi="Times New Roman" w:cs="Times New Roman"/>
        </w:rPr>
        <w:t>in this group have yet to regain employment levels previous to the crisis.</w:t>
      </w:r>
    </w:p>
    <w:p w14:paraId="35DD1093" w14:textId="0A6DC77D" w:rsidR="00A43113" w:rsidRPr="00304A3B" w:rsidRDefault="00ED22E9" w:rsidP="00A43113">
      <w:pPr>
        <w:spacing w:line="240" w:lineRule="auto"/>
        <w:rPr>
          <w:rFonts w:ascii="Times New Roman" w:hAnsi="Times New Roman" w:cs="Times New Roman"/>
        </w:rPr>
      </w:pPr>
      <w:r w:rsidRPr="00304A3B">
        <w:rPr>
          <w:rFonts w:ascii="Times New Roman" w:hAnsi="Times New Roman" w:cs="Times New Roman"/>
        </w:rPr>
        <w:lastRenderedPageBreak/>
        <w:t xml:space="preserve">For </w:t>
      </w:r>
      <w:r w:rsidR="005D19A1" w:rsidRPr="00304A3B">
        <w:rPr>
          <w:rFonts w:ascii="Times New Roman" w:hAnsi="Times New Roman" w:cs="Times New Roman"/>
        </w:rPr>
        <w:t>International Middleweights</w:t>
      </w:r>
      <w:r w:rsidR="00A43113" w:rsidRPr="00304A3B">
        <w:rPr>
          <w:rFonts w:ascii="Times New Roman" w:hAnsi="Times New Roman" w:cs="Times New Roman"/>
        </w:rPr>
        <w:t xml:space="preserve">, the challenge is no longer to find economies of scale or how to optimize existing products and services, but rather how </w:t>
      </w:r>
      <w:r w:rsidRPr="00304A3B">
        <w:rPr>
          <w:rFonts w:ascii="Times New Roman" w:hAnsi="Times New Roman" w:cs="Times New Roman"/>
        </w:rPr>
        <w:t>to</w:t>
      </w:r>
      <w:r w:rsidR="00A43113" w:rsidRPr="00304A3B">
        <w:rPr>
          <w:rFonts w:ascii="Times New Roman" w:hAnsi="Times New Roman" w:cs="Times New Roman"/>
        </w:rPr>
        <w:t xml:space="preserve"> create new business models, products, and ideas</w:t>
      </w:r>
      <w:r w:rsidRPr="00304A3B">
        <w:rPr>
          <w:rFonts w:ascii="Times New Roman" w:hAnsi="Times New Roman" w:cs="Times New Roman"/>
        </w:rPr>
        <w:t>. Although this cluster does house some notable entrepreneurship hubs, these metro areas</w:t>
      </w:r>
      <w:r w:rsidR="00A43113" w:rsidRPr="00304A3B">
        <w:rPr>
          <w:rFonts w:ascii="Times New Roman" w:hAnsi="Times New Roman" w:cs="Times New Roman"/>
        </w:rPr>
        <w:t xml:space="preserve"> </w:t>
      </w:r>
      <w:r w:rsidRPr="00304A3B">
        <w:rPr>
          <w:rFonts w:ascii="Times New Roman" w:hAnsi="Times New Roman" w:cs="Times New Roman"/>
        </w:rPr>
        <w:t xml:space="preserve">as a whole have not been able to draw on high-growth entrepreneurs to the same extent as the Knowledge Capitals. </w:t>
      </w:r>
      <w:r w:rsidR="00A43113" w:rsidRPr="00304A3B">
        <w:rPr>
          <w:rFonts w:ascii="Times New Roman" w:hAnsi="Times New Roman" w:cs="Times New Roman"/>
        </w:rPr>
        <w:t>Insufficient levels of capital to fund the expansion of new firms are partly to blame in Canada.</w:t>
      </w:r>
      <w:r w:rsidR="00A43113" w:rsidRPr="00304A3B">
        <w:rPr>
          <w:rStyle w:val="EndnoteReference"/>
          <w:rFonts w:ascii="Times New Roman" w:hAnsi="Times New Roman" w:cs="Times New Roman"/>
        </w:rPr>
        <w:endnoteReference w:id="97"/>
      </w:r>
      <w:r w:rsidR="00A43113" w:rsidRPr="00304A3B">
        <w:rPr>
          <w:rFonts w:ascii="Times New Roman" w:hAnsi="Times New Roman" w:cs="Times New Roman"/>
        </w:rPr>
        <w:t xml:space="preserve"> Many Australian co</w:t>
      </w:r>
      <w:r w:rsidR="00E8679C" w:rsidRPr="00304A3B">
        <w:rPr>
          <w:rFonts w:ascii="Times New Roman" w:hAnsi="Times New Roman" w:cs="Times New Roman"/>
        </w:rPr>
        <w:t>mpanies face the same challenge, resulting in the Prime Minister’s i</w:t>
      </w:r>
      <w:r w:rsidR="00A43113" w:rsidRPr="00304A3B">
        <w:rPr>
          <w:rFonts w:ascii="Times New Roman" w:hAnsi="Times New Roman" w:cs="Times New Roman"/>
        </w:rPr>
        <w:t>nitiative to incr</w:t>
      </w:r>
      <w:r w:rsidR="00E8679C" w:rsidRPr="00304A3B">
        <w:rPr>
          <w:rFonts w:ascii="Times New Roman" w:hAnsi="Times New Roman" w:cs="Times New Roman"/>
        </w:rPr>
        <w:t xml:space="preserve">ease late funding for startups and provide </w:t>
      </w:r>
      <w:r w:rsidR="00A43113" w:rsidRPr="00304A3B">
        <w:rPr>
          <w:rFonts w:ascii="Times New Roman" w:hAnsi="Times New Roman" w:cs="Times New Roman"/>
        </w:rPr>
        <w:t>tax breaks for venture capitalists investing in tech companies.</w:t>
      </w:r>
      <w:r w:rsidR="00A43113" w:rsidRPr="00304A3B">
        <w:rPr>
          <w:rStyle w:val="EndnoteReference"/>
          <w:rFonts w:ascii="Times New Roman" w:hAnsi="Times New Roman" w:cs="Times New Roman"/>
        </w:rPr>
        <w:endnoteReference w:id="98"/>
      </w:r>
      <w:r w:rsidR="00A43113" w:rsidRPr="00304A3B">
        <w:rPr>
          <w:rFonts w:ascii="Times New Roman" w:hAnsi="Times New Roman" w:cs="Times New Roman"/>
        </w:rPr>
        <w:t xml:space="preserve"> </w:t>
      </w:r>
      <w:r w:rsidR="00E8679C" w:rsidRPr="00304A3B">
        <w:rPr>
          <w:rFonts w:ascii="Times New Roman" w:hAnsi="Times New Roman" w:cs="Times New Roman"/>
        </w:rPr>
        <w:t>R</w:t>
      </w:r>
      <w:r w:rsidR="00A43113" w:rsidRPr="00304A3B">
        <w:rPr>
          <w:rFonts w:ascii="Times New Roman" w:hAnsi="Times New Roman" w:cs="Times New Roman"/>
        </w:rPr>
        <w:t xml:space="preserve">egulatory hurdles are also preventing the adoption and grow of new business models. The constant legal battles that have engulfed tech companies like Amazon, Uber and Google in the European Union make it harder for startups to bet on the European market to test their products and services. </w:t>
      </w:r>
      <w:r w:rsidR="00404A96" w:rsidRPr="00304A3B">
        <w:rPr>
          <w:rFonts w:ascii="Times New Roman" w:hAnsi="Times New Roman" w:cs="Times New Roman"/>
        </w:rPr>
        <w:t>Drawing on the research and ideas produced in their notable concentration of leading universities will be a final critical pillar of boosting local innovation.</w:t>
      </w:r>
      <w:r w:rsidR="00DB4B45">
        <w:rPr>
          <w:rStyle w:val="EndnoteReference"/>
          <w:rFonts w:ascii="Times New Roman" w:hAnsi="Times New Roman" w:cs="Times New Roman"/>
        </w:rPr>
        <w:endnoteReference w:id="99"/>
      </w:r>
      <w:r w:rsidR="00404A96" w:rsidRPr="00304A3B">
        <w:rPr>
          <w:rFonts w:ascii="Times New Roman" w:hAnsi="Times New Roman" w:cs="Times New Roman"/>
        </w:rPr>
        <w:t xml:space="preserve"> </w:t>
      </w:r>
    </w:p>
    <w:p w14:paraId="7CD1B86E" w14:textId="7D793A12" w:rsidR="00A43113" w:rsidRPr="00304A3B" w:rsidRDefault="00A43113" w:rsidP="00A43113">
      <w:pPr>
        <w:spacing w:line="240" w:lineRule="auto"/>
        <w:rPr>
          <w:rFonts w:ascii="Times New Roman" w:hAnsi="Times New Roman" w:cs="Times New Roman"/>
        </w:rPr>
      </w:pPr>
      <w:r w:rsidRPr="00304A3B">
        <w:rPr>
          <w:rFonts w:ascii="Times New Roman" w:hAnsi="Times New Roman" w:cs="Times New Roman"/>
        </w:rPr>
        <w:t xml:space="preserve">Dwindling population growth is another trend that should worry </w:t>
      </w:r>
      <w:r w:rsidR="00E8679C" w:rsidRPr="00304A3B">
        <w:rPr>
          <w:rFonts w:ascii="Times New Roman" w:hAnsi="Times New Roman" w:cs="Times New Roman"/>
        </w:rPr>
        <w:t xml:space="preserve">government and business leaders in </w:t>
      </w:r>
      <w:r w:rsidR="005D19A1" w:rsidRPr="00304A3B">
        <w:rPr>
          <w:rFonts w:ascii="Times New Roman" w:hAnsi="Times New Roman" w:cs="Times New Roman"/>
        </w:rPr>
        <w:t>International Middleweights</w:t>
      </w:r>
      <w:r w:rsidRPr="00304A3B">
        <w:rPr>
          <w:rFonts w:ascii="Times New Roman" w:hAnsi="Times New Roman" w:cs="Times New Roman"/>
        </w:rPr>
        <w:t xml:space="preserve">. An aging workforce </w:t>
      </w:r>
      <w:r w:rsidR="00E8679C" w:rsidRPr="00304A3B">
        <w:rPr>
          <w:rFonts w:ascii="Times New Roman" w:hAnsi="Times New Roman" w:cs="Times New Roman"/>
        </w:rPr>
        <w:t>will</w:t>
      </w:r>
      <w:r w:rsidRPr="00304A3B">
        <w:rPr>
          <w:rFonts w:ascii="Times New Roman" w:hAnsi="Times New Roman" w:cs="Times New Roman"/>
        </w:rPr>
        <w:t xml:space="preserve"> add additional pressure to an already faltering economy by increasing the cost of hiring new workers and by effectively bringing overall lab</w:t>
      </w:r>
      <w:r w:rsidR="00E8679C" w:rsidRPr="00304A3B">
        <w:rPr>
          <w:rFonts w:ascii="Times New Roman" w:hAnsi="Times New Roman" w:cs="Times New Roman"/>
        </w:rPr>
        <w:t>or costs up. Germany, where the work</w:t>
      </w:r>
      <w:r w:rsidRPr="00304A3B">
        <w:rPr>
          <w:rFonts w:ascii="Times New Roman" w:hAnsi="Times New Roman" w:cs="Times New Roman"/>
        </w:rPr>
        <w:t>force is poised to</w:t>
      </w:r>
      <w:r w:rsidR="00E8679C" w:rsidRPr="00304A3B">
        <w:rPr>
          <w:rFonts w:ascii="Times New Roman" w:hAnsi="Times New Roman" w:cs="Times New Roman"/>
        </w:rPr>
        <w:t xml:space="preserve"> shrink 16 percent by 2030</w:t>
      </w:r>
      <w:r w:rsidRPr="00304A3B">
        <w:rPr>
          <w:rFonts w:ascii="Times New Roman" w:hAnsi="Times New Roman" w:cs="Times New Roman"/>
        </w:rPr>
        <w:t xml:space="preserve">, is facing a shortage of more than </w:t>
      </w:r>
      <w:r w:rsidR="00E8679C" w:rsidRPr="00304A3B">
        <w:rPr>
          <w:rFonts w:ascii="Times New Roman" w:hAnsi="Times New Roman" w:cs="Times New Roman"/>
        </w:rPr>
        <w:t>100,000</w:t>
      </w:r>
      <w:r w:rsidRPr="00304A3B">
        <w:rPr>
          <w:rFonts w:ascii="Times New Roman" w:hAnsi="Times New Roman" w:cs="Times New Roman"/>
        </w:rPr>
        <w:t xml:space="preserve"> skilled workers in STEM fields.</w:t>
      </w:r>
      <w:r w:rsidRPr="00304A3B">
        <w:rPr>
          <w:rStyle w:val="EndnoteReference"/>
          <w:rFonts w:ascii="Times New Roman" w:hAnsi="Times New Roman" w:cs="Times New Roman"/>
        </w:rPr>
        <w:endnoteReference w:id="100"/>
      </w:r>
      <w:r w:rsidRPr="00304A3B">
        <w:rPr>
          <w:rFonts w:ascii="Times New Roman" w:hAnsi="Times New Roman" w:cs="Times New Roman"/>
        </w:rPr>
        <w:t xml:space="preserve"> For Japanese metro areas this challenge is starker giving declining population and fertility rates, and extremely low levels of international migration, which combined have greatly reduced potential economic growth.</w:t>
      </w:r>
      <w:r w:rsidRPr="00304A3B">
        <w:rPr>
          <w:rStyle w:val="EndnoteReference"/>
          <w:rFonts w:ascii="Times New Roman" w:hAnsi="Times New Roman" w:cs="Times New Roman"/>
        </w:rPr>
        <w:endnoteReference w:id="101"/>
      </w:r>
      <w:r w:rsidRPr="00304A3B">
        <w:rPr>
          <w:rFonts w:ascii="Times New Roman" w:hAnsi="Times New Roman" w:cs="Times New Roman"/>
        </w:rPr>
        <w:t xml:space="preserve"> For European and Australian metropolitan areas</w:t>
      </w:r>
      <w:r w:rsidR="007C15A8">
        <w:rPr>
          <w:rFonts w:ascii="Times New Roman" w:hAnsi="Times New Roman" w:cs="Times New Roman"/>
        </w:rPr>
        <w:t xml:space="preserve"> in this group</w:t>
      </w:r>
      <w:r w:rsidRPr="00304A3B">
        <w:rPr>
          <w:rFonts w:ascii="Times New Roman" w:hAnsi="Times New Roman" w:cs="Times New Roman"/>
        </w:rPr>
        <w:t xml:space="preserve">, the influx of refugees produced by the upheaval in the Middle East </w:t>
      </w:r>
      <w:r w:rsidR="00E8679C" w:rsidRPr="00304A3B">
        <w:rPr>
          <w:rFonts w:ascii="Times New Roman" w:hAnsi="Times New Roman" w:cs="Times New Roman"/>
        </w:rPr>
        <w:t xml:space="preserve">represents </w:t>
      </w:r>
      <w:r w:rsidRPr="00304A3B">
        <w:rPr>
          <w:rFonts w:ascii="Times New Roman" w:hAnsi="Times New Roman" w:cs="Times New Roman"/>
        </w:rPr>
        <w:t>an opportunity to replenish a shrinking workforce</w:t>
      </w:r>
      <w:r w:rsidR="00E8679C" w:rsidRPr="00304A3B">
        <w:rPr>
          <w:rFonts w:ascii="Times New Roman" w:hAnsi="Times New Roman" w:cs="Times New Roman"/>
        </w:rPr>
        <w:t>, but only</w:t>
      </w:r>
      <w:r w:rsidRPr="00304A3B">
        <w:rPr>
          <w:rFonts w:ascii="Times New Roman" w:hAnsi="Times New Roman" w:cs="Times New Roman"/>
        </w:rPr>
        <w:t xml:space="preserve"> if they put in place the right policies to create a pipeline to fill </w:t>
      </w:r>
      <w:r w:rsidR="00E8679C" w:rsidRPr="00304A3B">
        <w:rPr>
          <w:rFonts w:ascii="Times New Roman" w:hAnsi="Times New Roman" w:cs="Times New Roman"/>
        </w:rPr>
        <w:t>job openings</w:t>
      </w:r>
      <w:r w:rsidRPr="00304A3B">
        <w:rPr>
          <w:rFonts w:ascii="Times New Roman" w:hAnsi="Times New Roman" w:cs="Times New Roman"/>
        </w:rPr>
        <w:t>. The apprenticeship models prevalent in many European nations could be tailored to provide the new influx of migrants with the nece</w:t>
      </w:r>
      <w:r w:rsidR="00E8679C" w:rsidRPr="00304A3B">
        <w:rPr>
          <w:rFonts w:ascii="Times New Roman" w:hAnsi="Times New Roman" w:cs="Times New Roman"/>
        </w:rPr>
        <w:t xml:space="preserve">ssary skills. Economic integration </w:t>
      </w:r>
      <w:r w:rsidR="001D3877" w:rsidRPr="00304A3B">
        <w:rPr>
          <w:rFonts w:ascii="Times New Roman" w:hAnsi="Times New Roman" w:cs="Times New Roman"/>
        </w:rPr>
        <w:t xml:space="preserve">of in-migrants will be critical to maintain stability in these markets. </w:t>
      </w:r>
    </w:p>
    <w:p w14:paraId="2F743865" w14:textId="77777777" w:rsidR="003C4C1B" w:rsidRPr="00304A3B" w:rsidRDefault="003C4C1B" w:rsidP="003C4C1B">
      <w:pPr>
        <w:spacing w:line="240" w:lineRule="auto"/>
        <w:rPr>
          <w:rFonts w:ascii="Times New Roman" w:hAnsi="Times New Roman" w:cs="Times New Roman"/>
          <w:b/>
        </w:rPr>
      </w:pPr>
      <w:r w:rsidRPr="00304A3B">
        <w:rPr>
          <w:rFonts w:ascii="Times New Roman" w:hAnsi="Times New Roman" w:cs="Times New Roman"/>
          <w:b/>
        </w:rPr>
        <w:t xml:space="preserve">Governing for Growth in Global Cities </w:t>
      </w:r>
    </w:p>
    <w:p w14:paraId="18A4586E" w14:textId="21D12AA9" w:rsidR="003C4C1B" w:rsidRPr="00304A3B" w:rsidRDefault="003C4C1B" w:rsidP="003C4C1B">
      <w:pPr>
        <w:spacing w:line="240" w:lineRule="auto"/>
        <w:rPr>
          <w:rFonts w:ascii="Times New Roman" w:hAnsi="Times New Roman" w:cs="Times New Roman"/>
        </w:rPr>
      </w:pPr>
      <w:r w:rsidRPr="00304A3B">
        <w:rPr>
          <w:rFonts w:ascii="Times New Roman" w:hAnsi="Times New Roman" w:cs="Times New Roman"/>
        </w:rPr>
        <w:t>The economic primacy of major cities is rarely matched by their</w:t>
      </w:r>
      <w:r w:rsidR="007C15A8">
        <w:rPr>
          <w:rFonts w:ascii="Times New Roman" w:hAnsi="Times New Roman" w:cs="Times New Roman"/>
        </w:rPr>
        <w:t xml:space="preserve"> formal</w:t>
      </w:r>
      <w:r w:rsidRPr="00304A3B">
        <w:rPr>
          <w:rFonts w:ascii="Times New Roman" w:hAnsi="Times New Roman" w:cs="Times New Roman"/>
        </w:rPr>
        <w:t xml:space="preserve"> governing powers. Governance matters for competitiveness because proactive government, public, and civic groups can marshal investment from a wide variety of domestic and international sources to enable new growth strategies. Central, provincial, and municipal governments also have unique and complementary roles to play in </w:t>
      </w:r>
      <w:r w:rsidR="007C15A8">
        <w:rPr>
          <w:rFonts w:ascii="Times New Roman" w:hAnsi="Times New Roman" w:cs="Times New Roman"/>
        </w:rPr>
        <w:t>supporting metropolitan competitiveness</w:t>
      </w:r>
      <w:r w:rsidRPr="00304A3B">
        <w:rPr>
          <w:rFonts w:ascii="Times New Roman" w:hAnsi="Times New Roman" w:cs="Times New Roman"/>
        </w:rPr>
        <w:t>.</w:t>
      </w:r>
      <w:r w:rsidRPr="00304A3B">
        <w:rPr>
          <w:rStyle w:val="EndnoteReference"/>
          <w:rFonts w:ascii="Times New Roman" w:hAnsi="Times New Roman" w:cs="Times New Roman"/>
        </w:rPr>
        <w:endnoteReference w:id="102"/>
      </w:r>
      <w:r w:rsidRPr="00304A3B">
        <w:rPr>
          <w:rFonts w:ascii="Times New Roman" w:hAnsi="Times New Roman" w:cs="Times New Roman"/>
        </w:rPr>
        <w:t xml:space="preserve"> </w:t>
      </w:r>
      <w:r w:rsidR="007C15A8">
        <w:rPr>
          <w:rFonts w:ascii="Times New Roman" w:hAnsi="Times New Roman" w:cs="Times New Roman"/>
        </w:rPr>
        <w:t xml:space="preserve">National governments—through policies governing tax, trade, and immigration as well as platform investments in R&amp;D and infrastructure—are critical investors in their urban hubs. </w:t>
      </w:r>
      <w:r w:rsidRPr="00304A3B">
        <w:rPr>
          <w:rFonts w:ascii="Times New Roman" w:hAnsi="Times New Roman" w:cs="Times New Roman"/>
        </w:rPr>
        <w:t>Notwithstanding the distinct starting points of global cities, cross-cut</w:t>
      </w:r>
      <w:r w:rsidR="006D414A" w:rsidRPr="00304A3B">
        <w:rPr>
          <w:rFonts w:ascii="Times New Roman" w:hAnsi="Times New Roman" w:cs="Times New Roman"/>
        </w:rPr>
        <w:t>ting priorities should frame a governing approach to growth</w:t>
      </w:r>
      <w:r w:rsidRPr="00304A3B">
        <w:rPr>
          <w:rFonts w:ascii="Times New Roman" w:hAnsi="Times New Roman" w:cs="Times New Roman"/>
        </w:rPr>
        <w:t xml:space="preserve">. </w:t>
      </w:r>
    </w:p>
    <w:p w14:paraId="73E1305A" w14:textId="192B5EBC" w:rsidR="003C4C1B" w:rsidRPr="00304A3B" w:rsidRDefault="003C4C1B" w:rsidP="003C4C1B">
      <w:pPr>
        <w:spacing w:line="240" w:lineRule="auto"/>
        <w:rPr>
          <w:rFonts w:ascii="Times New Roman" w:hAnsi="Times New Roman" w:cs="Times New Roman"/>
        </w:rPr>
      </w:pPr>
      <w:r w:rsidRPr="00304A3B">
        <w:rPr>
          <w:rFonts w:ascii="Times New Roman" w:hAnsi="Times New Roman" w:cs="Times New Roman"/>
        </w:rPr>
        <w:t>First, local leaders should map their economic starting point. What industries drive the tradable economy? How are local skills, innovation, and infrastructure assets performing relative to peers? Globalization and technolo</w:t>
      </w:r>
      <w:r w:rsidR="006D414A" w:rsidRPr="00304A3B">
        <w:rPr>
          <w:rFonts w:ascii="Times New Roman" w:hAnsi="Times New Roman" w:cs="Times New Roman"/>
        </w:rPr>
        <w:t xml:space="preserve">gical change are demanding a new vigilance in cities </w:t>
      </w:r>
      <w:r w:rsidRPr="00304A3B">
        <w:rPr>
          <w:rFonts w:ascii="Times New Roman" w:hAnsi="Times New Roman" w:cs="Times New Roman"/>
        </w:rPr>
        <w:t>about these challenging aspects of the local policy agenda. Decision-makers that take the time to dive into the data, talk with local firms, and engage with multiple stakeholders will be better positioned to get what our colleague Amy Liu calls “the markets” right.</w:t>
      </w:r>
      <w:r w:rsidRPr="00304A3B">
        <w:rPr>
          <w:rStyle w:val="EndnoteReference"/>
          <w:rFonts w:ascii="Times New Roman" w:hAnsi="Times New Roman" w:cs="Times New Roman"/>
        </w:rPr>
        <w:endnoteReference w:id="103"/>
      </w:r>
      <w:r w:rsidRPr="00304A3B">
        <w:rPr>
          <w:rFonts w:ascii="Times New Roman" w:hAnsi="Times New Roman" w:cs="Times New Roman"/>
        </w:rPr>
        <w:t xml:space="preserve"> </w:t>
      </w:r>
    </w:p>
    <w:p w14:paraId="2108D5F9" w14:textId="540DB672" w:rsidR="003C4C1B" w:rsidRPr="00304A3B" w:rsidRDefault="003C4C1B" w:rsidP="003C4C1B">
      <w:pPr>
        <w:spacing w:line="240" w:lineRule="auto"/>
        <w:rPr>
          <w:rFonts w:ascii="Times New Roman" w:hAnsi="Times New Roman" w:cs="Times New Roman"/>
        </w:rPr>
      </w:pPr>
      <w:r w:rsidRPr="00304A3B">
        <w:rPr>
          <w:rFonts w:ascii="Times New Roman" w:hAnsi="Times New Roman" w:cs="Times New Roman"/>
        </w:rPr>
        <w:t>Second, understanding this starting point, all levels of government must align policies and investments behind the assets</w:t>
      </w:r>
      <w:r w:rsidR="006D414A" w:rsidRPr="00304A3B">
        <w:rPr>
          <w:rFonts w:ascii="Times New Roman" w:hAnsi="Times New Roman" w:cs="Times New Roman"/>
        </w:rPr>
        <w:t xml:space="preserve"> </w:t>
      </w:r>
      <w:r w:rsidRPr="00304A3B">
        <w:rPr>
          <w:rFonts w:ascii="Times New Roman" w:hAnsi="Times New Roman" w:cs="Times New Roman"/>
        </w:rPr>
        <w:t>that undergird the competitiveness of critical industries</w:t>
      </w:r>
      <w:r w:rsidR="006D414A" w:rsidRPr="00304A3B">
        <w:rPr>
          <w:rFonts w:ascii="Times New Roman" w:hAnsi="Times New Roman" w:cs="Times New Roman"/>
        </w:rPr>
        <w:t>—innovation, talent, infrastructure</w:t>
      </w:r>
      <w:r w:rsidR="007C15A8">
        <w:rPr>
          <w:rFonts w:ascii="Times New Roman" w:hAnsi="Times New Roman" w:cs="Times New Roman"/>
        </w:rPr>
        <w:t xml:space="preserve"> connectivity</w:t>
      </w:r>
      <w:r w:rsidRPr="00304A3B">
        <w:rPr>
          <w:rFonts w:ascii="Times New Roman" w:hAnsi="Times New Roman" w:cs="Times New Roman"/>
        </w:rPr>
        <w:t xml:space="preserve">. Workforce development should align with growing sectors of comparative advantage. Universities can link their research agendas to the regional economies in which they locate. </w:t>
      </w:r>
      <w:r w:rsidR="00E12476" w:rsidRPr="00304A3B">
        <w:rPr>
          <w:rFonts w:ascii="Times New Roman" w:hAnsi="Times New Roman" w:cs="Times New Roman"/>
        </w:rPr>
        <w:t>Investments in digital and physical connectivity must be maintained</w:t>
      </w:r>
      <w:r w:rsidRPr="00304A3B">
        <w:rPr>
          <w:rFonts w:ascii="Times New Roman" w:hAnsi="Times New Roman" w:cs="Times New Roman"/>
        </w:rPr>
        <w:t xml:space="preserve">. Too often, however, the systems responsible for the skills, R&amp;D, and infrastructure agendas are too </w:t>
      </w:r>
      <w:proofErr w:type="spellStart"/>
      <w:r w:rsidRPr="00304A3B">
        <w:rPr>
          <w:rFonts w:ascii="Times New Roman" w:hAnsi="Times New Roman" w:cs="Times New Roman"/>
        </w:rPr>
        <w:t>siloed</w:t>
      </w:r>
      <w:proofErr w:type="spellEnd"/>
      <w:r w:rsidRPr="00304A3B">
        <w:rPr>
          <w:rFonts w:ascii="Times New Roman" w:hAnsi="Times New Roman" w:cs="Times New Roman"/>
        </w:rPr>
        <w:t xml:space="preserve"> to coordinate properly</w:t>
      </w:r>
      <w:r w:rsidR="006D414A" w:rsidRPr="00304A3B">
        <w:rPr>
          <w:rFonts w:ascii="Times New Roman" w:hAnsi="Times New Roman" w:cs="Times New Roman"/>
        </w:rPr>
        <w:t xml:space="preserve"> at the regional scale</w:t>
      </w:r>
      <w:r w:rsidRPr="00304A3B">
        <w:rPr>
          <w:rFonts w:ascii="Times New Roman" w:hAnsi="Times New Roman" w:cs="Times New Roman"/>
        </w:rPr>
        <w:t xml:space="preserve">, limiting the impact of implementation. And despite the critical role of cities, most national </w:t>
      </w:r>
      <w:r w:rsidRPr="00304A3B">
        <w:rPr>
          <w:rFonts w:ascii="Times New Roman" w:hAnsi="Times New Roman" w:cs="Times New Roman"/>
        </w:rPr>
        <w:lastRenderedPageBreak/>
        <w:t xml:space="preserve">economic plans rarely take into account sub-national variation when deploying platform investments and transfers. </w:t>
      </w:r>
    </w:p>
    <w:p w14:paraId="2375A7F6" w14:textId="11CCC90C" w:rsidR="003C4C1B" w:rsidRPr="00304A3B" w:rsidRDefault="003C4C1B" w:rsidP="00A43113">
      <w:pPr>
        <w:spacing w:line="240" w:lineRule="auto"/>
        <w:rPr>
          <w:rFonts w:ascii="Times New Roman" w:hAnsi="Times New Roman" w:cs="Times New Roman"/>
        </w:rPr>
      </w:pPr>
      <w:r w:rsidRPr="00304A3B">
        <w:rPr>
          <w:rFonts w:ascii="Times New Roman" w:hAnsi="Times New Roman" w:cs="Times New Roman"/>
        </w:rPr>
        <w:t>Finally, government, business, and civic coalitions—what the World Bank calls “growth coalitions”—can help lend more coherence, resources, and political will for economic development priorities. In metropolitan areas across the world, regional competitiveness is becoming an increasingly shared agenda. Formal and informal networks of public, private and civic leaders are coming together to design and implement economic strategies. These networked approaches, while certainly more complex, incorporate the market expertise, financial resources, and political will of a wider range of stakeholders, and thus make economic strategies more market-oriented, community-driven, and sustainable beyond political cycles.</w:t>
      </w:r>
      <w:r w:rsidRPr="00304A3B">
        <w:rPr>
          <w:rStyle w:val="EndnoteReference"/>
          <w:rFonts w:ascii="Times New Roman" w:hAnsi="Times New Roman" w:cs="Times New Roman"/>
        </w:rPr>
        <w:endnoteReference w:id="104"/>
      </w:r>
      <w:r w:rsidRPr="00304A3B">
        <w:rPr>
          <w:rFonts w:ascii="Times New Roman" w:hAnsi="Times New Roman" w:cs="Times New Roman"/>
        </w:rPr>
        <w:t xml:space="preserve"> Similarly, these networks can help advocate for more coordinated region-wide governments and overcome </w:t>
      </w:r>
      <w:r w:rsidR="006D414A" w:rsidRPr="00304A3B">
        <w:rPr>
          <w:rFonts w:ascii="Times New Roman" w:hAnsi="Times New Roman" w:cs="Times New Roman"/>
        </w:rPr>
        <w:t xml:space="preserve">productivity-limiting </w:t>
      </w:r>
      <w:r w:rsidRPr="00304A3B">
        <w:rPr>
          <w:rFonts w:ascii="Times New Roman" w:hAnsi="Times New Roman" w:cs="Times New Roman"/>
        </w:rPr>
        <w:t>fragmentation between jurisdictions.</w:t>
      </w:r>
      <w:r w:rsidR="006D414A" w:rsidRPr="00304A3B">
        <w:rPr>
          <w:rStyle w:val="EndnoteReference"/>
          <w:rFonts w:ascii="Times New Roman" w:hAnsi="Times New Roman" w:cs="Times New Roman"/>
        </w:rPr>
        <w:endnoteReference w:id="105"/>
      </w:r>
      <w:r w:rsidRPr="00304A3B">
        <w:rPr>
          <w:rFonts w:ascii="Times New Roman" w:hAnsi="Times New Roman" w:cs="Times New Roman"/>
        </w:rPr>
        <w:t xml:space="preserve"> </w:t>
      </w:r>
    </w:p>
    <w:p w14:paraId="44F4844C" w14:textId="5B0C6EF8" w:rsidR="00ED5BE7" w:rsidRPr="00304A3B" w:rsidRDefault="00ED5BE7" w:rsidP="00ED5BE7">
      <w:pPr>
        <w:spacing w:line="240" w:lineRule="auto"/>
        <w:rPr>
          <w:rFonts w:ascii="Times New Roman" w:hAnsi="Times New Roman" w:cs="Times New Roman"/>
        </w:rPr>
      </w:pPr>
      <w:r w:rsidRPr="00304A3B">
        <w:rPr>
          <w:rFonts w:ascii="Times New Roman" w:hAnsi="Times New Roman" w:cs="Times New Roman"/>
        </w:rPr>
        <w:t xml:space="preserve">The upshot: local and national leaders must govern in ways that deliver growth that is sustainable and inclusive. They often must make choices about policies and investments devoid of much-needed data. For decision-makers in global cities, this report—and its accompanying online interactive—can hopefully strengthen governance in a few key respects. First, as cities benchmark their comparative strengths and weaknesses, this report provides a framework for identifying the most relevant peer city comparisons. Second, peer identification can help reveal more relevant global innovations to local challenges. Policy innovations that thrived in one city may not always transition seamlessly to another, but those applications will be more likely to find relevance in markets that share similar economic challenges. Like the C40 has accomplished for climate and environmental policy, groups of cities that share similar economic priorities can exert influence with national and international bodies that help shade tax, trade, and immigration policy. And third, we hope that this report can help reinforce a city-region’s relative role and performance to inform economic strategies that ensure their ongoing prosperity. </w:t>
      </w:r>
    </w:p>
    <w:p w14:paraId="0114DE7F" w14:textId="66092553" w:rsidR="006C6510" w:rsidRPr="00304A3B" w:rsidRDefault="00A30BBA" w:rsidP="00E82374">
      <w:pPr>
        <w:spacing w:line="240" w:lineRule="auto"/>
        <w:rPr>
          <w:rFonts w:ascii="Times New Roman" w:hAnsi="Times New Roman" w:cs="Times New Roman"/>
          <w:b/>
        </w:rPr>
      </w:pPr>
      <w:r w:rsidRPr="00304A3B">
        <w:rPr>
          <w:rFonts w:ascii="Times New Roman" w:hAnsi="Times New Roman" w:cs="Times New Roman"/>
          <w:b/>
        </w:rPr>
        <w:t xml:space="preserve">VI. </w:t>
      </w:r>
      <w:r w:rsidR="009E6858" w:rsidRPr="00304A3B">
        <w:rPr>
          <w:rFonts w:ascii="Times New Roman" w:hAnsi="Times New Roman" w:cs="Times New Roman"/>
          <w:b/>
        </w:rPr>
        <w:t>Conclusion</w:t>
      </w:r>
    </w:p>
    <w:p w14:paraId="5D3A2EDC" w14:textId="0014EB1C" w:rsidR="003C4C1B" w:rsidRPr="00304A3B" w:rsidRDefault="003C4C1B" w:rsidP="003C4C1B">
      <w:pPr>
        <w:spacing w:line="240" w:lineRule="auto"/>
        <w:rPr>
          <w:rFonts w:ascii="Times New Roman" w:hAnsi="Times New Roman" w:cs="Times New Roman"/>
        </w:rPr>
      </w:pPr>
      <w:r w:rsidRPr="00304A3B">
        <w:rPr>
          <w:rFonts w:ascii="Times New Roman" w:hAnsi="Times New Roman" w:cs="Times New Roman"/>
        </w:rPr>
        <w:t>Urbanization has placed cities at the vanguard of global economic growth. And while the urbanized world extends far beyond the metro areas covered in this analysis, these large global cities exemplify the unique spatial concentration of the drivers of modern economic growth: trade, innovation, talent, and infrastructure</w:t>
      </w:r>
      <w:r w:rsidR="007C15A8">
        <w:rPr>
          <w:rFonts w:ascii="Times New Roman" w:hAnsi="Times New Roman" w:cs="Times New Roman"/>
        </w:rPr>
        <w:t xml:space="preserve"> connectivity</w:t>
      </w:r>
      <w:r w:rsidRPr="00304A3B">
        <w:rPr>
          <w:rFonts w:ascii="Times New Roman" w:hAnsi="Times New Roman" w:cs="Times New Roman"/>
        </w:rPr>
        <w:t xml:space="preserve">. Mapping these factors at the metropolitan scale reveals a highly differentiated landscape, offering new evidence that cities plug into the global economy based on their particular competitive assets. Indeed, there is no one way to be a global city. </w:t>
      </w:r>
    </w:p>
    <w:p w14:paraId="0F9546DC" w14:textId="44FA8B57" w:rsidR="00EC0CD0" w:rsidRPr="00304A3B" w:rsidRDefault="003C4C1B" w:rsidP="003C4C1B">
      <w:pPr>
        <w:spacing w:line="240" w:lineRule="auto"/>
        <w:rPr>
          <w:rFonts w:ascii="Times New Roman" w:hAnsi="Times New Roman" w:cs="Times New Roman"/>
        </w:rPr>
      </w:pPr>
      <w:r w:rsidRPr="00304A3B">
        <w:rPr>
          <w:rFonts w:ascii="Times New Roman" w:hAnsi="Times New Roman" w:cs="Times New Roman"/>
        </w:rPr>
        <w:t>Economic stagnation has heightened concerns about where the next round of global growth will emerge, which creates new urgency for the world’s major cities. Global governmental, corporate, and civic leaders must understand and adapt to significant currents—from technological advancement to global integration—that are roiling industries, labor markets, and even the social f</w:t>
      </w:r>
      <w:r w:rsidR="006D414A" w:rsidRPr="00304A3B">
        <w:rPr>
          <w:rFonts w:ascii="Times New Roman" w:hAnsi="Times New Roman" w:cs="Times New Roman"/>
        </w:rPr>
        <w:t>abric of their places. Decision-</w:t>
      </w:r>
      <w:r w:rsidRPr="00304A3B">
        <w:rPr>
          <w:rFonts w:ascii="Times New Roman" w:hAnsi="Times New Roman" w:cs="Times New Roman"/>
        </w:rPr>
        <w:t xml:space="preserve">makers must understand these trends and how they influence their region’s distinct competitive position, and respond accordingly through data-driven economic strategies. Sustained global prosperity depends on effective stewardship of its </w:t>
      </w:r>
      <w:r w:rsidR="006D414A" w:rsidRPr="00304A3B">
        <w:rPr>
          <w:rFonts w:ascii="Times New Roman" w:hAnsi="Times New Roman" w:cs="Times New Roman"/>
        </w:rPr>
        <w:t xml:space="preserve">major </w:t>
      </w:r>
      <w:r w:rsidRPr="00304A3B">
        <w:rPr>
          <w:rFonts w:ascii="Times New Roman" w:hAnsi="Times New Roman" w:cs="Times New Roman"/>
        </w:rPr>
        <w:t>urban areas. We hope that this report</w:t>
      </w:r>
      <w:r w:rsidRPr="00304A3B">
        <w:rPr>
          <w:rFonts w:ascii="Times New Roman" w:hAnsi="Times New Roman" w:cs="Times New Roman"/>
          <w:i/>
        </w:rPr>
        <w:t xml:space="preserve"> </w:t>
      </w:r>
      <w:r w:rsidRPr="00304A3B">
        <w:rPr>
          <w:rFonts w:ascii="Times New Roman" w:hAnsi="Times New Roman" w:cs="Times New Roman"/>
        </w:rPr>
        <w:t xml:space="preserve">proves a useful platform from which to build that understanding. </w:t>
      </w:r>
      <w:r w:rsidR="00EC0CD0" w:rsidRPr="00304A3B">
        <w:rPr>
          <w:rFonts w:ascii="Times New Roman" w:hAnsi="Times New Roman" w:cs="Times New Roman"/>
          <w:b/>
        </w:rPr>
        <w:br w:type="page"/>
      </w:r>
    </w:p>
    <w:p w14:paraId="4BD15622" w14:textId="4C2A5A35" w:rsidR="00EC0CD0" w:rsidRPr="00304A3B" w:rsidRDefault="00EC0CD0" w:rsidP="00EC0CD0">
      <w:pPr>
        <w:spacing w:line="240" w:lineRule="auto"/>
        <w:rPr>
          <w:rFonts w:ascii="Times New Roman" w:hAnsi="Times New Roman" w:cs="Times New Roman"/>
          <w:b/>
        </w:rPr>
      </w:pPr>
      <w:r w:rsidRPr="00304A3B">
        <w:rPr>
          <w:rFonts w:ascii="Times New Roman" w:hAnsi="Times New Roman" w:cs="Times New Roman"/>
          <w:b/>
        </w:rPr>
        <w:lastRenderedPageBreak/>
        <w:t>Appendix A</w:t>
      </w:r>
    </w:p>
    <w:p w14:paraId="4CB79816" w14:textId="77777777" w:rsidR="003C4C1B" w:rsidRPr="00304A3B" w:rsidRDefault="003C4C1B" w:rsidP="003C4C1B">
      <w:pPr>
        <w:spacing w:after="0" w:line="240" w:lineRule="auto"/>
        <w:outlineLvl w:val="0"/>
        <w:rPr>
          <w:rFonts w:ascii="Times New Roman" w:hAnsi="Times New Roman" w:cs="Times New Roman"/>
          <w:b/>
        </w:rPr>
      </w:pPr>
      <w:r w:rsidRPr="00304A3B">
        <w:rPr>
          <w:rFonts w:ascii="Times New Roman" w:hAnsi="Times New Roman" w:cs="Times New Roman"/>
          <w:b/>
        </w:rPr>
        <w:t>Selection and Definition of Metropolitan Areas</w:t>
      </w:r>
    </w:p>
    <w:p w14:paraId="3A527369" w14:textId="77777777" w:rsidR="003C4C1B" w:rsidRPr="00304A3B" w:rsidRDefault="003C4C1B" w:rsidP="003C4C1B">
      <w:pPr>
        <w:spacing w:after="0" w:line="240" w:lineRule="auto"/>
        <w:outlineLvl w:val="0"/>
        <w:rPr>
          <w:rFonts w:ascii="Times New Roman" w:hAnsi="Times New Roman" w:cs="Times New Roman"/>
          <w:u w:val="single"/>
        </w:rPr>
      </w:pPr>
    </w:p>
    <w:p w14:paraId="082260CF" w14:textId="691AFADF" w:rsidR="003C4C1B" w:rsidRPr="00304A3B" w:rsidRDefault="003C4C1B" w:rsidP="003C4C1B">
      <w:pPr>
        <w:spacing w:after="0" w:line="240" w:lineRule="auto"/>
        <w:rPr>
          <w:rFonts w:ascii="Times New Roman" w:hAnsi="Times New Roman" w:cs="Times New Roman"/>
        </w:rPr>
      </w:pPr>
      <w:r w:rsidRPr="00304A3B">
        <w:rPr>
          <w:rFonts w:ascii="Times New Roman" w:hAnsi="Times New Roman" w:cs="Times New Roman"/>
        </w:rPr>
        <w:t>The sample of metropolitan areas is based upon a list of international metros provided by Oxford Economics, as well as a list of the largest metropolitan economies in the United States built with data provided by Moody’s Analytics.</w:t>
      </w:r>
    </w:p>
    <w:p w14:paraId="29E89AA0" w14:textId="77777777" w:rsidR="003C4C1B" w:rsidRPr="00304A3B" w:rsidRDefault="003C4C1B" w:rsidP="003C4C1B">
      <w:pPr>
        <w:autoSpaceDE w:val="0"/>
        <w:autoSpaceDN w:val="0"/>
        <w:adjustRightInd w:val="0"/>
        <w:spacing w:after="0" w:line="240" w:lineRule="auto"/>
        <w:rPr>
          <w:rFonts w:ascii="Times New Roman" w:hAnsi="Times New Roman" w:cs="Times New Roman"/>
        </w:rPr>
      </w:pPr>
    </w:p>
    <w:p w14:paraId="5B80B328" w14:textId="77777777" w:rsidR="003C4C1B" w:rsidRPr="00304A3B" w:rsidRDefault="003C4C1B" w:rsidP="003C4C1B">
      <w:pPr>
        <w:autoSpaceDE w:val="0"/>
        <w:autoSpaceDN w:val="0"/>
        <w:adjustRightInd w:val="0"/>
        <w:spacing w:after="0" w:line="240" w:lineRule="auto"/>
        <w:rPr>
          <w:rFonts w:ascii="Times New Roman" w:hAnsi="Times New Roman" w:cs="Times New Roman"/>
        </w:rPr>
      </w:pPr>
      <w:r w:rsidRPr="00304A3B">
        <w:rPr>
          <w:rFonts w:ascii="Times New Roman" w:hAnsi="Times New Roman" w:cs="Times New Roman"/>
        </w:rPr>
        <w:t>This study uses the general definition of a metropolitan area as an economic region with one or more cities and their surrounding areas, all linked by economic and commuting ties.  In the United States, metro areas are defined by the federal Office of Management and Budget (OMB) to include one or more urbanized areas of at least 50,000 inhabitants, plus outlying areas connected by commuting flows.</w:t>
      </w:r>
      <w:r w:rsidRPr="00304A3B">
        <w:rPr>
          <w:rStyle w:val="EndnoteReference"/>
          <w:rFonts w:ascii="Times New Roman" w:hAnsi="Times New Roman" w:cs="Times New Roman"/>
        </w:rPr>
        <w:endnoteReference w:id="106"/>
      </w:r>
      <w:r w:rsidRPr="00304A3B">
        <w:rPr>
          <w:rFonts w:ascii="Times New Roman" w:hAnsi="Times New Roman" w:cs="Times New Roman"/>
        </w:rPr>
        <w:t xml:space="preserve">  For the European Union countries, Switzerland, and Norway, the European Observation Network for Territorial Development and Cohesion (ESPON) defines metro areas as having one or more functional urban areas of more than 500,000 inhabitants.</w:t>
      </w:r>
      <w:r w:rsidRPr="00304A3B">
        <w:rPr>
          <w:rStyle w:val="EndnoteReference"/>
          <w:rFonts w:ascii="Times New Roman" w:hAnsi="Times New Roman" w:cs="Times New Roman"/>
        </w:rPr>
        <w:endnoteReference w:id="107"/>
      </w:r>
      <w:r w:rsidRPr="00304A3B">
        <w:rPr>
          <w:rFonts w:ascii="Times New Roman" w:hAnsi="Times New Roman" w:cs="Times New Roman"/>
        </w:rPr>
        <w:t xml:space="preserve">  This study uses the most accurate metropolitan area compositions of European metro areas, because the current ESPON 2013 database employs commuting data at the municipal level to define functional urban areas, the building blocks of metropolitan areas.</w:t>
      </w:r>
      <w:r w:rsidRPr="00304A3B">
        <w:rPr>
          <w:rStyle w:val="EndnoteReference"/>
          <w:rFonts w:ascii="Times New Roman" w:hAnsi="Times New Roman" w:cs="Times New Roman"/>
        </w:rPr>
        <w:endnoteReference w:id="108"/>
      </w:r>
      <w:r w:rsidRPr="00304A3B">
        <w:rPr>
          <w:rFonts w:ascii="Times New Roman" w:hAnsi="Times New Roman" w:cs="Times New Roman"/>
        </w:rPr>
        <w:t xml:space="preserve">  This identification method is most consistent with the U.S. definition of metro areas based on commuting links, with the possibility of a metro area crossing jurisdictional borders, and having multiple cities included. </w:t>
      </w:r>
    </w:p>
    <w:p w14:paraId="7365E6DC" w14:textId="77777777" w:rsidR="003C4C1B" w:rsidRPr="00304A3B" w:rsidRDefault="003C4C1B" w:rsidP="003C4C1B">
      <w:pPr>
        <w:autoSpaceDE w:val="0"/>
        <w:autoSpaceDN w:val="0"/>
        <w:adjustRightInd w:val="0"/>
        <w:spacing w:after="0" w:line="240" w:lineRule="auto"/>
        <w:rPr>
          <w:rFonts w:ascii="Times New Roman" w:hAnsi="Times New Roman" w:cs="Times New Roman"/>
        </w:rPr>
      </w:pPr>
    </w:p>
    <w:p w14:paraId="27568441" w14:textId="3964A433" w:rsidR="003C4C1B" w:rsidRPr="00304A3B" w:rsidRDefault="003C4C1B" w:rsidP="003C4C1B">
      <w:pPr>
        <w:autoSpaceDE w:val="0"/>
        <w:autoSpaceDN w:val="0"/>
        <w:adjustRightInd w:val="0"/>
        <w:spacing w:after="0" w:line="240" w:lineRule="auto"/>
        <w:rPr>
          <w:rFonts w:ascii="Times New Roman" w:hAnsi="Times New Roman" w:cs="Times New Roman"/>
        </w:rPr>
      </w:pPr>
      <w:r w:rsidRPr="00304A3B">
        <w:rPr>
          <w:rFonts w:ascii="Times New Roman" w:hAnsi="Times New Roman" w:cs="Times New Roman"/>
        </w:rPr>
        <w:t>For metropolitan areas outside of the United States and Europe, this study uses the official metropolitan area definition from national statistics.  Not all countries, especially developing ones, have created statistical equivalents of a metropolitan area.  Due to data limitations, some metropolitan areas in this report do not properly reflect regional economies, but the federal city (Moscow), or provincial-level and prefecture-level cities in China.</w:t>
      </w:r>
      <w:r w:rsidR="003F3883" w:rsidRPr="00304A3B">
        <w:rPr>
          <w:rFonts w:ascii="Times New Roman" w:hAnsi="Times New Roman" w:cs="Times New Roman"/>
        </w:rPr>
        <w:t xml:space="preserve"> Additionally data at the city level for Singapore and Hong Kong </w:t>
      </w:r>
      <w:r w:rsidR="003F3883" w:rsidRPr="00304A3B">
        <w:rPr>
          <w:rFonts w:ascii="Arial" w:hAnsi="Arial" w:cs="Arial"/>
          <w:sz w:val="20"/>
          <w:szCs w:val="20"/>
        </w:rPr>
        <w:t>correspond to national statistics given their</w:t>
      </w:r>
      <w:r w:rsidR="003F3883" w:rsidRPr="00304A3B">
        <w:rPr>
          <w:rFonts w:ascii="Times New Roman" w:hAnsi="Times New Roman" w:cs="Times New Roman"/>
        </w:rPr>
        <w:t xml:space="preserve"> status as city states. </w:t>
      </w:r>
    </w:p>
    <w:p w14:paraId="1B3B84C6" w14:textId="77777777" w:rsidR="003C4C1B" w:rsidRPr="00304A3B" w:rsidRDefault="003C4C1B" w:rsidP="00EC0CD0">
      <w:pPr>
        <w:spacing w:line="240" w:lineRule="auto"/>
        <w:contextualSpacing/>
        <w:rPr>
          <w:rFonts w:ascii="Times New Roman" w:hAnsi="Times New Roman" w:cs="Times New Roman"/>
          <w:b/>
        </w:rPr>
      </w:pPr>
    </w:p>
    <w:p w14:paraId="11982C04" w14:textId="4D06DC3A" w:rsidR="00EC0CD0" w:rsidRPr="00304A3B" w:rsidRDefault="00EC0CD0" w:rsidP="00EC0CD0">
      <w:pPr>
        <w:spacing w:line="240" w:lineRule="auto"/>
        <w:contextualSpacing/>
        <w:rPr>
          <w:rFonts w:ascii="Times New Roman" w:hAnsi="Times New Roman" w:cs="Times New Roman"/>
          <w:b/>
        </w:rPr>
      </w:pPr>
      <w:r w:rsidRPr="00304A3B">
        <w:rPr>
          <w:rFonts w:ascii="Times New Roman" w:hAnsi="Times New Roman" w:cs="Times New Roman"/>
          <w:b/>
        </w:rPr>
        <w:t>Typology Development</w:t>
      </w:r>
    </w:p>
    <w:p w14:paraId="15DD4C3B" w14:textId="77777777" w:rsidR="00EC0CD0" w:rsidRPr="00304A3B" w:rsidRDefault="00EC0CD0" w:rsidP="00EC0CD0">
      <w:pPr>
        <w:spacing w:after="0" w:line="240" w:lineRule="auto"/>
        <w:rPr>
          <w:rFonts w:ascii="Times New Roman" w:hAnsi="Times New Roman" w:cs="Times New Roman"/>
        </w:rPr>
      </w:pPr>
    </w:p>
    <w:p w14:paraId="65C21E71" w14:textId="3F6A6CB4" w:rsidR="00EC0CD0" w:rsidRPr="00304A3B" w:rsidRDefault="00EC0CD0" w:rsidP="00EC0CD0">
      <w:pPr>
        <w:spacing w:after="0" w:line="240" w:lineRule="auto"/>
        <w:rPr>
          <w:rFonts w:ascii="Times New Roman" w:eastAsia="Times New Roman" w:hAnsi="Times New Roman" w:cs="Times New Roman"/>
        </w:rPr>
      </w:pPr>
      <w:r w:rsidRPr="00304A3B">
        <w:rPr>
          <w:rFonts w:ascii="Times New Roman" w:hAnsi="Times New Roman" w:cs="Times New Roman"/>
        </w:rPr>
        <w:t>The typology was developed based on economic characteristics and competitiveness factors. Classifying and identifying peers allows policymakers and stakeholders to better understand the position of their economies in a globalized context as well as to conduct constructive benchmarking</w:t>
      </w:r>
      <w:r w:rsidRPr="00304A3B">
        <w:rPr>
          <w:rFonts w:ascii="Times New Roman" w:eastAsia="Times New Roman" w:hAnsi="Times New Roman" w:cs="Times New Roman"/>
        </w:rPr>
        <w:t>.</w:t>
      </w:r>
    </w:p>
    <w:p w14:paraId="6316B8EE" w14:textId="77777777" w:rsidR="00EC0CD0" w:rsidRPr="00304A3B" w:rsidRDefault="00EC0CD0" w:rsidP="00EC0CD0">
      <w:pPr>
        <w:spacing w:after="0" w:line="240" w:lineRule="auto"/>
        <w:rPr>
          <w:rFonts w:ascii="Times New Roman" w:eastAsia="Times New Roman" w:hAnsi="Times New Roman" w:cs="Times New Roman"/>
        </w:rPr>
      </w:pPr>
    </w:p>
    <w:p w14:paraId="4395A27D" w14:textId="06DCDE70" w:rsidR="00837C51" w:rsidRPr="00304A3B" w:rsidRDefault="00EC0CD0" w:rsidP="00EC0CD0">
      <w:pPr>
        <w:pStyle w:val="NormalWeb"/>
        <w:spacing w:before="0" w:beforeAutospacing="0" w:after="0" w:afterAutospacing="0"/>
        <w:rPr>
          <w:sz w:val="22"/>
          <w:szCs w:val="22"/>
        </w:rPr>
      </w:pPr>
      <w:r w:rsidRPr="00304A3B">
        <w:rPr>
          <w:sz w:val="22"/>
          <w:szCs w:val="22"/>
        </w:rPr>
        <w:t>To select peers we utilized a combination of principal components analysis (PCA), k-means clustering, and agglomerative hierarchical clustering.</w:t>
      </w:r>
      <w:r w:rsidR="00A15AC9" w:rsidRPr="00304A3B">
        <w:rPr>
          <w:sz w:val="22"/>
          <w:szCs w:val="22"/>
          <w:vertAlign w:val="superscript"/>
        </w:rPr>
        <w:endnoteReference w:id="109"/>
      </w:r>
      <w:r w:rsidR="00A15AC9" w:rsidRPr="00304A3B">
        <w:rPr>
          <w:sz w:val="22"/>
          <w:szCs w:val="22"/>
        </w:rPr>
        <w:t xml:space="preserve"> These commonly used data science techniques allowed us to group metro areas with their closest peers given a set of economic and competitiveness indicators. For this report we selected 22 economic variables: population, nominal GDP, real GDP, real GDP per capita, productivity (defined as output per worker), total employment, share of the population in the labor force, industry share of total GDP (8 sectors), and productivity by sector (8 industries).</w:t>
      </w:r>
      <w:r w:rsidR="00A15AC9" w:rsidRPr="00304A3B">
        <w:rPr>
          <w:rStyle w:val="EndnoteReference"/>
          <w:sz w:val="22"/>
          <w:szCs w:val="22"/>
        </w:rPr>
        <w:endnoteReference w:id="110"/>
      </w:r>
      <w:r w:rsidR="00A15AC9" w:rsidRPr="00304A3B">
        <w:rPr>
          <w:sz w:val="22"/>
          <w:szCs w:val="22"/>
        </w:rPr>
        <w:t xml:space="preserve"> </w:t>
      </w:r>
    </w:p>
    <w:p w14:paraId="1E91C561" w14:textId="77777777" w:rsidR="00837C51" w:rsidRPr="00304A3B" w:rsidRDefault="00837C51" w:rsidP="00EC0CD0">
      <w:pPr>
        <w:pStyle w:val="NormalWeb"/>
        <w:spacing w:before="0" w:beforeAutospacing="0" w:after="0" w:afterAutospacing="0"/>
        <w:rPr>
          <w:sz w:val="22"/>
          <w:szCs w:val="22"/>
        </w:rPr>
      </w:pPr>
    </w:p>
    <w:p w14:paraId="79C1612B" w14:textId="14B4C8F7" w:rsidR="00EC0CD0" w:rsidRPr="00304A3B" w:rsidRDefault="00EC0CD0" w:rsidP="00EC0CD0">
      <w:pPr>
        <w:pStyle w:val="NormalWeb"/>
        <w:spacing w:before="0" w:beforeAutospacing="0" w:after="0" w:afterAutospacing="0"/>
        <w:rPr>
          <w:sz w:val="22"/>
          <w:szCs w:val="22"/>
        </w:rPr>
      </w:pPr>
      <w:r w:rsidRPr="00304A3B">
        <w:rPr>
          <w:sz w:val="22"/>
          <w:szCs w:val="22"/>
        </w:rPr>
        <w:t>We included 13 additional variables that measure one of the four quantitative dimensions of the competitiveness analysis framework used in this report. The variables included are: stock of Greenfield foreign direct investment (FDI) between 2009 and 2015 (traded clusters), stock of Greenfield FDI per capita between 2009 and 2015 (traded clusters), and total stock of jobs created by FDI between 2009 and 2015 (traded clusters); number of highly cited papers between 2010 and 2013 (innovation), mean citation score between 2010 and 2013 (innovation), total patents between 2008 and 2012 (innovation), and total patents per capita between 2008 and 2012 (innovation); share of the population with tertiary education (talent)</w:t>
      </w:r>
      <w:r w:rsidR="00837C51" w:rsidRPr="00304A3B">
        <w:rPr>
          <w:sz w:val="22"/>
          <w:szCs w:val="22"/>
        </w:rPr>
        <w:t xml:space="preserve"> and share of the foreign-born population (talent); and </w:t>
      </w:r>
      <w:r w:rsidRPr="00304A3B">
        <w:rPr>
          <w:sz w:val="22"/>
          <w:szCs w:val="22"/>
        </w:rPr>
        <w:t xml:space="preserve">number of </w:t>
      </w:r>
      <w:r w:rsidR="00837C51" w:rsidRPr="00304A3B">
        <w:rPr>
          <w:sz w:val="22"/>
          <w:szCs w:val="22"/>
        </w:rPr>
        <w:t>aviation</w:t>
      </w:r>
      <w:r w:rsidRPr="00304A3B">
        <w:rPr>
          <w:sz w:val="22"/>
          <w:szCs w:val="22"/>
        </w:rPr>
        <w:t xml:space="preserve"> passengers in 2014 (infrastructure), </w:t>
      </w:r>
      <w:r w:rsidR="00837C51" w:rsidRPr="00304A3B">
        <w:rPr>
          <w:sz w:val="22"/>
          <w:szCs w:val="22"/>
        </w:rPr>
        <w:t>number of aviation passengers per capita in 2014 (infrastructure)</w:t>
      </w:r>
      <w:r w:rsidRPr="00304A3B">
        <w:rPr>
          <w:sz w:val="22"/>
          <w:szCs w:val="22"/>
        </w:rPr>
        <w:t xml:space="preserve">, and average internet download speed in 2014 (infrastructure). </w:t>
      </w:r>
    </w:p>
    <w:p w14:paraId="768E698B" w14:textId="77777777" w:rsidR="001D7FCD" w:rsidRPr="00304A3B" w:rsidRDefault="001D7FCD" w:rsidP="00EC0CD0">
      <w:pPr>
        <w:pStyle w:val="NormalWeb"/>
        <w:spacing w:before="0" w:beforeAutospacing="0" w:after="0" w:afterAutospacing="0"/>
        <w:rPr>
          <w:sz w:val="22"/>
          <w:szCs w:val="22"/>
        </w:rPr>
      </w:pPr>
    </w:p>
    <w:p w14:paraId="22ADDD8F" w14:textId="77777777" w:rsidR="001D7FCD" w:rsidRPr="00304A3B" w:rsidRDefault="001D7FCD" w:rsidP="001D7FCD">
      <w:pPr>
        <w:tabs>
          <w:tab w:val="left" w:pos="3131"/>
        </w:tabs>
        <w:spacing w:line="240" w:lineRule="auto"/>
        <w:contextualSpacing/>
        <w:rPr>
          <w:rFonts w:ascii="Times New Roman" w:hAnsi="Times New Roman" w:cs="Times New Roman"/>
          <w:b/>
        </w:rPr>
      </w:pPr>
      <w:proofErr w:type="gramStart"/>
      <w:r w:rsidRPr="00304A3B">
        <w:rPr>
          <w:rFonts w:ascii="Times New Roman" w:hAnsi="Times New Roman" w:cs="Times New Roman"/>
          <w:b/>
        </w:rPr>
        <w:t>Table 1.</w:t>
      </w:r>
      <w:proofErr w:type="gramEnd"/>
      <w:r w:rsidRPr="00304A3B">
        <w:rPr>
          <w:rFonts w:ascii="Times New Roman" w:hAnsi="Times New Roman" w:cs="Times New Roman"/>
          <w:b/>
        </w:rPr>
        <w:t xml:space="preserve"> Indicators used in the clustering algorithm </w:t>
      </w:r>
    </w:p>
    <w:p w14:paraId="0319736C" w14:textId="77777777" w:rsidR="001D7FCD" w:rsidRPr="00304A3B" w:rsidRDefault="001D7FCD" w:rsidP="001D7FCD">
      <w:pPr>
        <w:tabs>
          <w:tab w:val="left" w:pos="3131"/>
        </w:tabs>
        <w:spacing w:line="240" w:lineRule="auto"/>
        <w:contextualSpacing/>
        <w:rPr>
          <w:rFonts w:ascii="Times New Roman" w:hAnsi="Times New Roman" w:cs="Times New Roman"/>
        </w:rPr>
      </w:pPr>
    </w:p>
    <w:tbl>
      <w:tblPr>
        <w:tblW w:w="9611" w:type="dxa"/>
        <w:tblInd w:w="93" w:type="dxa"/>
        <w:tblLook w:val="04A0" w:firstRow="1" w:lastRow="0" w:firstColumn="1" w:lastColumn="0" w:noHBand="0" w:noVBand="1"/>
      </w:tblPr>
      <w:tblGrid>
        <w:gridCol w:w="1679"/>
        <w:gridCol w:w="4430"/>
        <w:gridCol w:w="3502"/>
      </w:tblGrid>
      <w:tr w:rsidR="001D7FCD" w:rsidRPr="00304A3B" w14:paraId="3CDD4B42" w14:textId="77777777" w:rsidTr="00A15AC9">
        <w:trPr>
          <w:trHeight w:val="315"/>
        </w:trPr>
        <w:tc>
          <w:tcPr>
            <w:tcW w:w="1679" w:type="dxa"/>
            <w:tcBorders>
              <w:top w:val="nil"/>
              <w:left w:val="nil"/>
              <w:bottom w:val="single" w:sz="8" w:space="0" w:color="auto"/>
              <w:right w:val="nil"/>
            </w:tcBorders>
            <w:shd w:val="clear" w:color="auto" w:fill="auto"/>
            <w:vAlign w:val="center"/>
            <w:hideMark/>
          </w:tcPr>
          <w:p w14:paraId="026D99C1" w14:textId="77777777" w:rsidR="001D7FCD" w:rsidRPr="00304A3B" w:rsidRDefault="001D7FCD" w:rsidP="00ED22E9">
            <w:pPr>
              <w:spacing w:after="0" w:line="240" w:lineRule="auto"/>
              <w:jc w:val="center"/>
              <w:rPr>
                <w:rFonts w:ascii="Times New Roman" w:eastAsia="Times New Roman" w:hAnsi="Times New Roman" w:cs="Times New Roman"/>
                <w:b/>
                <w:bCs/>
                <w:sz w:val="20"/>
                <w:szCs w:val="20"/>
              </w:rPr>
            </w:pPr>
            <w:r w:rsidRPr="00304A3B">
              <w:rPr>
                <w:rFonts w:ascii="Times New Roman" w:eastAsia="Times New Roman" w:hAnsi="Times New Roman" w:cs="Times New Roman"/>
                <w:b/>
                <w:bCs/>
                <w:sz w:val="20"/>
                <w:szCs w:val="20"/>
              </w:rPr>
              <w:t>Dimension</w:t>
            </w:r>
          </w:p>
        </w:tc>
        <w:tc>
          <w:tcPr>
            <w:tcW w:w="4430" w:type="dxa"/>
            <w:tcBorders>
              <w:top w:val="nil"/>
              <w:left w:val="nil"/>
              <w:bottom w:val="single" w:sz="8" w:space="0" w:color="auto"/>
              <w:right w:val="nil"/>
            </w:tcBorders>
            <w:shd w:val="clear" w:color="auto" w:fill="auto"/>
            <w:vAlign w:val="center"/>
            <w:hideMark/>
          </w:tcPr>
          <w:p w14:paraId="41B03857" w14:textId="77777777" w:rsidR="001D7FCD" w:rsidRPr="00304A3B" w:rsidRDefault="001D7FCD" w:rsidP="00ED22E9">
            <w:pPr>
              <w:spacing w:after="0" w:line="240" w:lineRule="auto"/>
              <w:jc w:val="center"/>
              <w:rPr>
                <w:rFonts w:ascii="Times New Roman" w:eastAsia="Times New Roman" w:hAnsi="Times New Roman" w:cs="Times New Roman"/>
                <w:b/>
                <w:bCs/>
                <w:sz w:val="20"/>
                <w:szCs w:val="20"/>
              </w:rPr>
            </w:pPr>
            <w:r w:rsidRPr="00304A3B">
              <w:rPr>
                <w:rFonts w:ascii="Times New Roman" w:eastAsia="Times New Roman" w:hAnsi="Times New Roman" w:cs="Times New Roman"/>
                <w:b/>
                <w:bCs/>
                <w:sz w:val="20"/>
                <w:szCs w:val="20"/>
              </w:rPr>
              <w:t>Indicator</w:t>
            </w:r>
          </w:p>
        </w:tc>
        <w:tc>
          <w:tcPr>
            <w:tcW w:w="3502" w:type="dxa"/>
            <w:tcBorders>
              <w:top w:val="nil"/>
              <w:left w:val="nil"/>
              <w:bottom w:val="single" w:sz="8" w:space="0" w:color="auto"/>
              <w:right w:val="nil"/>
            </w:tcBorders>
            <w:shd w:val="clear" w:color="auto" w:fill="auto"/>
            <w:vAlign w:val="center"/>
            <w:hideMark/>
          </w:tcPr>
          <w:p w14:paraId="206E2710" w14:textId="77777777" w:rsidR="001D7FCD" w:rsidRPr="00304A3B" w:rsidRDefault="001D7FCD" w:rsidP="00ED22E9">
            <w:pPr>
              <w:spacing w:after="0" w:line="240" w:lineRule="auto"/>
              <w:jc w:val="center"/>
              <w:rPr>
                <w:rFonts w:ascii="Times New Roman" w:eastAsia="Times New Roman" w:hAnsi="Times New Roman" w:cs="Times New Roman"/>
                <w:b/>
                <w:bCs/>
                <w:sz w:val="20"/>
                <w:szCs w:val="20"/>
              </w:rPr>
            </w:pPr>
            <w:r w:rsidRPr="00304A3B">
              <w:rPr>
                <w:rFonts w:ascii="Times New Roman" w:eastAsia="Times New Roman" w:hAnsi="Times New Roman" w:cs="Times New Roman"/>
                <w:b/>
                <w:bCs/>
                <w:sz w:val="20"/>
                <w:szCs w:val="20"/>
              </w:rPr>
              <w:t>Source</w:t>
            </w:r>
          </w:p>
        </w:tc>
      </w:tr>
      <w:tr w:rsidR="001D7FCD" w:rsidRPr="00304A3B" w14:paraId="35CFB3AF" w14:textId="77777777" w:rsidTr="00A15AC9">
        <w:trPr>
          <w:trHeight w:val="315"/>
        </w:trPr>
        <w:tc>
          <w:tcPr>
            <w:tcW w:w="1679" w:type="dxa"/>
            <w:vMerge w:val="restart"/>
            <w:tcBorders>
              <w:top w:val="nil"/>
              <w:left w:val="nil"/>
              <w:right w:val="single" w:sz="8" w:space="0" w:color="auto"/>
            </w:tcBorders>
            <w:shd w:val="clear" w:color="auto" w:fill="auto"/>
            <w:vAlign w:val="center"/>
            <w:hideMark/>
          </w:tcPr>
          <w:p w14:paraId="109CF088" w14:textId="77777777" w:rsidR="001D7FCD" w:rsidRPr="00304A3B" w:rsidRDefault="001D7FCD" w:rsidP="00ED22E9">
            <w:pPr>
              <w:spacing w:after="0" w:line="240" w:lineRule="auto"/>
              <w:jc w:val="center"/>
              <w:rPr>
                <w:rFonts w:ascii="Times New Roman" w:eastAsia="Times New Roman" w:hAnsi="Times New Roman" w:cs="Times New Roman"/>
                <w:b/>
                <w:bCs/>
                <w:i/>
                <w:iCs/>
                <w:sz w:val="20"/>
                <w:szCs w:val="20"/>
              </w:rPr>
            </w:pPr>
            <w:r w:rsidRPr="00304A3B">
              <w:rPr>
                <w:rFonts w:ascii="Times New Roman" w:eastAsia="Times New Roman" w:hAnsi="Times New Roman" w:cs="Times New Roman"/>
                <w:b/>
                <w:bCs/>
                <w:i/>
                <w:iCs/>
                <w:sz w:val="20"/>
                <w:szCs w:val="20"/>
              </w:rPr>
              <w:t>Economic and Industrial Characteristics</w:t>
            </w:r>
          </w:p>
          <w:p w14:paraId="6FC444CE" w14:textId="77777777" w:rsidR="001D7FCD" w:rsidRPr="00304A3B" w:rsidRDefault="001D7FCD" w:rsidP="00ED22E9">
            <w:pPr>
              <w:spacing w:after="0" w:line="240" w:lineRule="auto"/>
              <w:rPr>
                <w:rFonts w:ascii="Times New Roman" w:eastAsia="Times New Roman" w:hAnsi="Times New Roman" w:cs="Times New Roman"/>
                <w:b/>
                <w:bCs/>
                <w:i/>
                <w:iCs/>
                <w:sz w:val="20"/>
                <w:szCs w:val="20"/>
              </w:rPr>
            </w:pPr>
            <w:r w:rsidRPr="00304A3B">
              <w:rPr>
                <w:rFonts w:ascii="Times New Roman" w:eastAsia="Times New Roman" w:hAnsi="Times New Roman" w:cs="Times New Roman"/>
                <w:b/>
                <w:bCs/>
                <w:i/>
                <w:iCs/>
                <w:sz w:val="20"/>
                <w:szCs w:val="20"/>
              </w:rPr>
              <w:t> </w:t>
            </w:r>
          </w:p>
        </w:tc>
        <w:tc>
          <w:tcPr>
            <w:tcW w:w="4430" w:type="dxa"/>
            <w:tcBorders>
              <w:top w:val="nil"/>
              <w:left w:val="nil"/>
              <w:bottom w:val="single" w:sz="8" w:space="0" w:color="auto"/>
              <w:right w:val="single" w:sz="8" w:space="0" w:color="auto"/>
            </w:tcBorders>
            <w:shd w:val="clear" w:color="auto" w:fill="auto"/>
            <w:vAlign w:val="center"/>
          </w:tcPr>
          <w:p w14:paraId="579083E7" w14:textId="77777777" w:rsidR="001D7FCD" w:rsidRPr="00304A3B" w:rsidRDefault="001D7FCD" w:rsidP="00ED22E9">
            <w:pPr>
              <w:spacing w:after="0" w:line="240" w:lineRule="auto"/>
              <w:rPr>
                <w:rFonts w:ascii="Times New Roman" w:eastAsia="Times New Roman" w:hAnsi="Times New Roman" w:cs="Times New Roman"/>
                <w:sz w:val="20"/>
                <w:szCs w:val="20"/>
              </w:rPr>
            </w:pPr>
            <w:r w:rsidRPr="00304A3B">
              <w:rPr>
                <w:rFonts w:ascii="Times New Roman" w:eastAsia="Times New Roman" w:hAnsi="Times New Roman" w:cs="Times New Roman"/>
                <w:sz w:val="20"/>
                <w:szCs w:val="20"/>
              </w:rPr>
              <w:t>Population, 2015</w:t>
            </w:r>
          </w:p>
        </w:tc>
        <w:tc>
          <w:tcPr>
            <w:tcW w:w="3502" w:type="dxa"/>
            <w:tcBorders>
              <w:top w:val="nil"/>
              <w:left w:val="nil"/>
              <w:bottom w:val="single" w:sz="8" w:space="0" w:color="auto"/>
              <w:right w:val="nil"/>
            </w:tcBorders>
            <w:shd w:val="clear" w:color="auto" w:fill="auto"/>
            <w:vAlign w:val="center"/>
          </w:tcPr>
          <w:p w14:paraId="5E211280" w14:textId="77777777" w:rsidR="001D7FCD" w:rsidRPr="00304A3B" w:rsidRDefault="001D7FCD" w:rsidP="00ED22E9">
            <w:pPr>
              <w:spacing w:after="0" w:line="240" w:lineRule="auto"/>
              <w:jc w:val="center"/>
              <w:rPr>
                <w:rFonts w:ascii="Times New Roman" w:eastAsia="Times New Roman" w:hAnsi="Times New Roman" w:cs="Times New Roman"/>
                <w:sz w:val="20"/>
                <w:szCs w:val="20"/>
              </w:rPr>
            </w:pPr>
            <w:r w:rsidRPr="00304A3B">
              <w:rPr>
                <w:rFonts w:ascii="Times New Roman" w:eastAsia="Times New Roman" w:hAnsi="Times New Roman" w:cs="Times New Roman"/>
                <w:sz w:val="20"/>
                <w:szCs w:val="20"/>
              </w:rPr>
              <w:t>Oxford Economics, U.S. Census Bureau</w:t>
            </w:r>
          </w:p>
        </w:tc>
      </w:tr>
      <w:tr w:rsidR="001D7FCD" w:rsidRPr="00304A3B" w14:paraId="36A7E7AC" w14:textId="77777777" w:rsidTr="00A15AC9">
        <w:trPr>
          <w:trHeight w:val="315"/>
        </w:trPr>
        <w:tc>
          <w:tcPr>
            <w:tcW w:w="1679" w:type="dxa"/>
            <w:vMerge/>
            <w:tcBorders>
              <w:left w:val="nil"/>
              <w:right w:val="single" w:sz="8" w:space="0" w:color="auto"/>
            </w:tcBorders>
            <w:vAlign w:val="center"/>
            <w:hideMark/>
          </w:tcPr>
          <w:p w14:paraId="7C2D0BB9" w14:textId="77777777" w:rsidR="001D7FCD" w:rsidRPr="00304A3B" w:rsidRDefault="001D7FCD" w:rsidP="00ED22E9">
            <w:pPr>
              <w:spacing w:after="0" w:line="240" w:lineRule="auto"/>
              <w:rPr>
                <w:rFonts w:ascii="Times New Roman" w:eastAsia="Times New Roman" w:hAnsi="Times New Roman" w:cs="Times New Roman"/>
                <w:b/>
                <w:bCs/>
                <w:i/>
                <w:iCs/>
                <w:sz w:val="20"/>
                <w:szCs w:val="20"/>
              </w:rPr>
            </w:pPr>
          </w:p>
        </w:tc>
        <w:tc>
          <w:tcPr>
            <w:tcW w:w="4430" w:type="dxa"/>
            <w:tcBorders>
              <w:top w:val="nil"/>
              <w:left w:val="nil"/>
              <w:bottom w:val="single" w:sz="8" w:space="0" w:color="auto"/>
              <w:right w:val="single" w:sz="8" w:space="0" w:color="auto"/>
            </w:tcBorders>
            <w:shd w:val="clear" w:color="auto" w:fill="auto"/>
            <w:vAlign w:val="center"/>
          </w:tcPr>
          <w:p w14:paraId="6727BF87" w14:textId="77777777" w:rsidR="001D7FCD" w:rsidRPr="00304A3B" w:rsidRDefault="001D7FCD" w:rsidP="00ED22E9">
            <w:pPr>
              <w:spacing w:after="0" w:line="240" w:lineRule="auto"/>
              <w:rPr>
                <w:rFonts w:ascii="Times New Roman" w:eastAsia="Times New Roman" w:hAnsi="Times New Roman" w:cs="Times New Roman"/>
                <w:sz w:val="20"/>
                <w:szCs w:val="20"/>
              </w:rPr>
            </w:pPr>
            <w:r w:rsidRPr="00304A3B">
              <w:rPr>
                <w:rFonts w:ascii="Times New Roman" w:eastAsia="Times New Roman" w:hAnsi="Times New Roman" w:cs="Times New Roman"/>
                <w:sz w:val="20"/>
                <w:szCs w:val="20"/>
              </w:rPr>
              <w:t>Gross Domestic Product, 2015</w:t>
            </w:r>
          </w:p>
        </w:tc>
        <w:tc>
          <w:tcPr>
            <w:tcW w:w="3502" w:type="dxa"/>
            <w:tcBorders>
              <w:top w:val="nil"/>
              <w:left w:val="nil"/>
              <w:bottom w:val="single" w:sz="8" w:space="0" w:color="auto"/>
              <w:right w:val="nil"/>
            </w:tcBorders>
            <w:shd w:val="clear" w:color="auto" w:fill="auto"/>
            <w:vAlign w:val="center"/>
          </w:tcPr>
          <w:p w14:paraId="7AEB79AD" w14:textId="77777777" w:rsidR="001D7FCD" w:rsidRPr="00304A3B" w:rsidRDefault="001D7FCD" w:rsidP="00ED22E9">
            <w:pPr>
              <w:spacing w:after="0" w:line="240" w:lineRule="auto"/>
              <w:jc w:val="center"/>
              <w:rPr>
                <w:rFonts w:ascii="Times New Roman" w:eastAsia="Times New Roman" w:hAnsi="Times New Roman" w:cs="Times New Roman"/>
                <w:sz w:val="20"/>
                <w:szCs w:val="20"/>
              </w:rPr>
            </w:pPr>
            <w:r w:rsidRPr="00304A3B">
              <w:rPr>
                <w:rFonts w:ascii="Times New Roman" w:eastAsia="Times New Roman" w:hAnsi="Times New Roman" w:cs="Times New Roman"/>
                <w:sz w:val="20"/>
                <w:szCs w:val="20"/>
              </w:rPr>
              <w:t>Oxford Economics, Moody's Analytics</w:t>
            </w:r>
          </w:p>
        </w:tc>
      </w:tr>
      <w:tr w:rsidR="001D7FCD" w:rsidRPr="00304A3B" w14:paraId="432ECF64" w14:textId="77777777" w:rsidTr="00A15AC9">
        <w:trPr>
          <w:trHeight w:val="315"/>
        </w:trPr>
        <w:tc>
          <w:tcPr>
            <w:tcW w:w="1679" w:type="dxa"/>
            <w:vMerge/>
            <w:tcBorders>
              <w:left w:val="nil"/>
              <w:right w:val="single" w:sz="8" w:space="0" w:color="auto"/>
            </w:tcBorders>
            <w:vAlign w:val="center"/>
            <w:hideMark/>
          </w:tcPr>
          <w:p w14:paraId="626F74D8" w14:textId="77777777" w:rsidR="001D7FCD" w:rsidRPr="00304A3B" w:rsidRDefault="001D7FCD" w:rsidP="00ED22E9">
            <w:pPr>
              <w:spacing w:after="0" w:line="240" w:lineRule="auto"/>
              <w:rPr>
                <w:rFonts w:ascii="Times New Roman" w:eastAsia="Times New Roman" w:hAnsi="Times New Roman" w:cs="Times New Roman"/>
                <w:b/>
                <w:bCs/>
                <w:i/>
                <w:iCs/>
                <w:sz w:val="20"/>
                <w:szCs w:val="20"/>
              </w:rPr>
            </w:pPr>
          </w:p>
        </w:tc>
        <w:tc>
          <w:tcPr>
            <w:tcW w:w="4430" w:type="dxa"/>
            <w:tcBorders>
              <w:top w:val="nil"/>
              <w:left w:val="nil"/>
              <w:bottom w:val="single" w:sz="8" w:space="0" w:color="auto"/>
              <w:right w:val="single" w:sz="8" w:space="0" w:color="auto"/>
            </w:tcBorders>
            <w:shd w:val="clear" w:color="auto" w:fill="auto"/>
            <w:vAlign w:val="center"/>
          </w:tcPr>
          <w:p w14:paraId="68E2679F" w14:textId="77777777" w:rsidR="001D7FCD" w:rsidRPr="00304A3B" w:rsidRDefault="001D7FCD" w:rsidP="00ED22E9">
            <w:pPr>
              <w:spacing w:after="0" w:line="240" w:lineRule="auto"/>
              <w:rPr>
                <w:rFonts w:ascii="Times New Roman" w:eastAsia="Times New Roman" w:hAnsi="Times New Roman" w:cs="Times New Roman"/>
                <w:sz w:val="20"/>
                <w:szCs w:val="20"/>
              </w:rPr>
            </w:pPr>
            <w:r w:rsidRPr="00304A3B">
              <w:rPr>
                <w:rFonts w:ascii="Times New Roman" w:eastAsia="Times New Roman" w:hAnsi="Times New Roman" w:cs="Times New Roman"/>
                <w:sz w:val="20"/>
                <w:szCs w:val="20"/>
              </w:rPr>
              <w:t>Employment, 2015</w:t>
            </w:r>
          </w:p>
        </w:tc>
        <w:tc>
          <w:tcPr>
            <w:tcW w:w="3502" w:type="dxa"/>
            <w:tcBorders>
              <w:top w:val="nil"/>
              <w:left w:val="nil"/>
              <w:bottom w:val="single" w:sz="8" w:space="0" w:color="auto"/>
              <w:right w:val="nil"/>
            </w:tcBorders>
            <w:shd w:val="clear" w:color="auto" w:fill="auto"/>
            <w:vAlign w:val="center"/>
          </w:tcPr>
          <w:p w14:paraId="50AE20D8" w14:textId="77777777" w:rsidR="001D7FCD" w:rsidRPr="00304A3B" w:rsidRDefault="001D7FCD" w:rsidP="00ED22E9">
            <w:pPr>
              <w:spacing w:after="0" w:line="240" w:lineRule="auto"/>
              <w:jc w:val="center"/>
              <w:rPr>
                <w:rFonts w:ascii="Times New Roman" w:eastAsia="Times New Roman" w:hAnsi="Times New Roman" w:cs="Times New Roman"/>
                <w:sz w:val="20"/>
                <w:szCs w:val="20"/>
              </w:rPr>
            </w:pPr>
            <w:r w:rsidRPr="00304A3B">
              <w:rPr>
                <w:rFonts w:ascii="Times New Roman" w:eastAsia="Times New Roman" w:hAnsi="Times New Roman" w:cs="Times New Roman"/>
                <w:sz w:val="20"/>
                <w:szCs w:val="20"/>
              </w:rPr>
              <w:t>Oxford Economics, Moody's Analytics</w:t>
            </w:r>
          </w:p>
        </w:tc>
      </w:tr>
      <w:tr w:rsidR="001D7FCD" w:rsidRPr="00304A3B" w14:paraId="573C5306" w14:textId="77777777" w:rsidTr="00A15AC9">
        <w:trPr>
          <w:trHeight w:val="315"/>
        </w:trPr>
        <w:tc>
          <w:tcPr>
            <w:tcW w:w="1679" w:type="dxa"/>
            <w:vMerge/>
            <w:tcBorders>
              <w:left w:val="nil"/>
              <w:right w:val="single" w:sz="8" w:space="0" w:color="auto"/>
            </w:tcBorders>
            <w:shd w:val="clear" w:color="auto" w:fill="auto"/>
            <w:vAlign w:val="center"/>
            <w:hideMark/>
          </w:tcPr>
          <w:p w14:paraId="75D70FC2" w14:textId="77777777" w:rsidR="001D7FCD" w:rsidRPr="00304A3B" w:rsidRDefault="001D7FCD" w:rsidP="00ED22E9">
            <w:pPr>
              <w:spacing w:after="0" w:line="240" w:lineRule="auto"/>
              <w:rPr>
                <w:rFonts w:ascii="Times New Roman" w:eastAsia="Times New Roman" w:hAnsi="Times New Roman" w:cs="Times New Roman"/>
                <w:b/>
                <w:bCs/>
                <w:i/>
                <w:iCs/>
                <w:sz w:val="20"/>
                <w:szCs w:val="20"/>
              </w:rPr>
            </w:pPr>
          </w:p>
        </w:tc>
        <w:tc>
          <w:tcPr>
            <w:tcW w:w="4430" w:type="dxa"/>
            <w:tcBorders>
              <w:top w:val="nil"/>
              <w:left w:val="nil"/>
              <w:bottom w:val="single" w:sz="8" w:space="0" w:color="auto"/>
              <w:right w:val="single" w:sz="8" w:space="0" w:color="auto"/>
            </w:tcBorders>
            <w:shd w:val="clear" w:color="auto" w:fill="auto"/>
            <w:vAlign w:val="center"/>
          </w:tcPr>
          <w:p w14:paraId="56847CE9" w14:textId="77777777" w:rsidR="001D7FCD" w:rsidRPr="00304A3B" w:rsidRDefault="001D7FCD" w:rsidP="00ED22E9">
            <w:pPr>
              <w:spacing w:after="0" w:line="240" w:lineRule="auto"/>
              <w:rPr>
                <w:rFonts w:ascii="Times New Roman" w:eastAsia="Times New Roman" w:hAnsi="Times New Roman" w:cs="Times New Roman"/>
                <w:sz w:val="20"/>
                <w:szCs w:val="20"/>
              </w:rPr>
            </w:pPr>
            <w:r w:rsidRPr="00304A3B">
              <w:rPr>
                <w:rFonts w:ascii="Times New Roman" w:eastAsia="Times New Roman" w:hAnsi="Times New Roman" w:cs="Times New Roman"/>
                <w:sz w:val="20"/>
                <w:szCs w:val="20"/>
              </w:rPr>
              <w:t>Gross Domestic Product per capita, 2015</w:t>
            </w:r>
          </w:p>
        </w:tc>
        <w:tc>
          <w:tcPr>
            <w:tcW w:w="3502" w:type="dxa"/>
            <w:tcBorders>
              <w:top w:val="nil"/>
              <w:left w:val="nil"/>
              <w:bottom w:val="single" w:sz="8" w:space="0" w:color="auto"/>
              <w:right w:val="nil"/>
            </w:tcBorders>
            <w:shd w:val="clear" w:color="auto" w:fill="auto"/>
            <w:vAlign w:val="center"/>
          </w:tcPr>
          <w:p w14:paraId="33B8E52A" w14:textId="77777777" w:rsidR="001D7FCD" w:rsidRPr="00304A3B" w:rsidRDefault="001D7FCD" w:rsidP="00ED22E9">
            <w:pPr>
              <w:spacing w:after="0" w:line="240" w:lineRule="auto"/>
              <w:jc w:val="center"/>
              <w:rPr>
                <w:rFonts w:ascii="Times New Roman" w:eastAsia="Times New Roman" w:hAnsi="Times New Roman" w:cs="Times New Roman"/>
                <w:sz w:val="20"/>
                <w:szCs w:val="20"/>
              </w:rPr>
            </w:pPr>
            <w:r w:rsidRPr="00304A3B">
              <w:rPr>
                <w:rFonts w:ascii="Times New Roman" w:eastAsia="Times New Roman" w:hAnsi="Times New Roman" w:cs="Times New Roman"/>
                <w:sz w:val="20"/>
                <w:szCs w:val="20"/>
              </w:rPr>
              <w:t>Oxford Economics, Moody's Analytics, U.S. Census Bureau</w:t>
            </w:r>
          </w:p>
        </w:tc>
      </w:tr>
      <w:tr w:rsidR="001D7FCD" w:rsidRPr="00304A3B" w14:paraId="37182A0E" w14:textId="77777777" w:rsidTr="00A15AC9">
        <w:trPr>
          <w:trHeight w:val="315"/>
        </w:trPr>
        <w:tc>
          <w:tcPr>
            <w:tcW w:w="1679" w:type="dxa"/>
            <w:vMerge/>
            <w:tcBorders>
              <w:left w:val="nil"/>
              <w:right w:val="single" w:sz="8" w:space="0" w:color="auto"/>
            </w:tcBorders>
            <w:shd w:val="clear" w:color="auto" w:fill="auto"/>
            <w:vAlign w:val="center"/>
          </w:tcPr>
          <w:p w14:paraId="4049F40E" w14:textId="77777777" w:rsidR="001D7FCD" w:rsidRPr="00304A3B" w:rsidRDefault="001D7FCD" w:rsidP="00ED22E9">
            <w:pPr>
              <w:spacing w:after="0" w:line="240" w:lineRule="auto"/>
              <w:rPr>
                <w:rFonts w:ascii="Times New Roman" w:eastAsia="Times New Roman" w:hAnsi="Times New Roman" w:cs="Times New Roman"/>
                <w:b/>
                <w:bCs/>
                <w:i/>
                <w:iCs/>
                <w:sz w:val="20"/>
                <w:szCs w:val="20"/>
              </w:rPr>
            </w:pPr>
          </w:p>
        </w:tc>
        <w:tc>
          <w:tcPr>
            <w:tcW w:w="4430" w:type="dxa"/>
            <w:tcBorders>
              <w:top w:val="nil"/>
              <w:left w:val="nil"/>
              <w:bottom w:val="single" w:sz="8" w:space="0" w:color="auto"/>
              <w:right w:val="single" w:sz="8" w:space="0" w:color="auto"/>
            </w:tcBorders>
            <w:shd w:val="clear" w:color="auto" w:fill="auto"/>
            <w:vAlign w:val="center"/>
          </w:tcPr>
          <w:p w14:paraId="7024A5FC" w14:textId="77777777" w:rsidR="001D7FCD" w:rsidRPr="00304A3B" w:rsidRDefault="001D7FCD" w:rsidP="00ED22E9">
            <w:pPr>
              <w:spacing w:after="0" w:line="240" w:lineRule="auto"/>
              <w:rPr>
                <w:rFonts w:ascii="Times New Roman" w:eastAsia="Times New Roman" w:hAnsi="Times New Roman" w:cs="Times New Roman"/>
                <w:sz w:val="20"/>
                <w:szCs w:val="20"/>
              </w:rPr>
            </w:pPr>
            <w:r w:rsidRPr="00304A3B">
              <w:rPr>
                <w:rFonts w:ascii="Times New Roman" w:eastAsia="Times New Roman" w:hAnsi="Times New Roman" w:cs="Times New Roman"/>
                <w:sz w:val="20"/>
                <w:szCs w:val="20"/>
              </w:rPr>
              <w:t>Output per worker, 2015</w:t>
            </w:r>
          </w:p>
        </w:tc>
        <w:tc>
          <w:tcPr>
            <w:tcW w:w="3502" w:type="dxa"/>
            <w:tcBorders>
              <w:top w:val="nil"/>
              <w:left w:val="nil"/>
              <w:bottom w:val="single" w:sz="8" w:space="0" w:color="auto"/>
              <w:right w:val="nil"/>
            </w:tcBorders>
            <w:shd w:val="clear" w:color="auto" w:fill="auto"/>
            <w:vAlign w:val="center"/>
          </w:tcPr>
          <w:p w14:paraId="490099C6" w14:textId="77777777" w:rsidR="001D7FCD" w:rsidRPr="00304A3B" w:rsidRDefault="001D7FCD" w:rsidP="00ED22E9">
            <w:pPr>
              <w:spacing w:after="0" w:line="240" w:lineRule="auto"/>
              <w:jc w:val="center"/>
              <w:rPr>
                <w:rFonts w:ascii="Times New Roman" w:eastAsia="Times New Roman" w:hAnsi="Times New Roman" w:cs="Times New Roman"/>
                <w:sz w:val="20"/>
                <w:szCs w:val="20"/>
              </w:rPr>
            </w:pPr>
            <w:r w:rsidRPr="00304A3B">
              <w:rPr>
                <w:rFonts w:ascii="Times New Roman" w:eastAsia="Times New Roman" w:hAnsi="Times New Roman" w:cs="Times New Roman"/>
                <w:sz w:val="20"/>
                <w:szCs w:val="20"/>
              </w:rPr>
              <w:t>Oxford Economics, Moody's Analytics</w:t>
            </w:r>
          </w:p>
        </w:tc>
      </w:tr>
      <w:tr w:rsidR="001D7FCD" w:rsidRPr="00304A3B" w14:paraId="49130BCE" w14:textId="77777777" w:rsidTr="00A15AC9">
        <w:trPr>
          <w:trHeight w:val="315"/>
        </w:trPr>
        <w:tc>
          <w:tcPr>
            <w:tcW w:w="1679" w:type="dxa"/>
            <w:vMerge/>
            <w:tcBorders>
              <w:left w:val="nil"/>
              <w:bottom w:val="single" w:sz="8" w:space="0" w:color="000000"/>
              <w:right w:val="single" w:sz="8" w:space="0" w:color="auto"/>
            </w:tcBorders>
            <w:shd w:val="clear" w:color="auto" w:fill="auto"/>
            <w:vAlign w:val="center"/>
          </w:tcPr>
          <w:p w14:paraId="35122EDB" w14:textId="77777777" w:rsidR="001D7FCD" w:rsidRPr="00304A3B" w:rsidRDefault="001D7FCD" w:rsidP="00ED22E9">
            <w:pPr>
              <w:spacing w:after="0" w:line="240" w:lineRule="auto"/>
              <w:rPr>
                <w:rFonts w:ascii="Times New Roman" w:eastAsia="Times New Roman" w:hAnsi="Times New Roman" w:cs="Times New Roman"/>
                <w:b/>
                <w:bCs/>
                <w:i/>
                <w:iCs/>
                <w:sz w:val="20"/>
                <w:szCs w:val="20"/>
              </w:rPr>
            </w:pPr>
          </w:p>
        </w:tc>
        <w:tc>
          <w:tcPr>
            <w:tcW w:w="4430" w:type="dxa"/>
            <w:tcBorders>
              <w:top w:val="nil"/>
              <w:left w:val="nil"/>
              <w:bottom w:val="single" w:sz="8" w:space="0" w:color="auto"/>
              <w:right w:val="single" w:sz="8" w:space="0" w:color="auto"/>
            </w:tcBorders>
            <w:shd w:val="clear" w:color="auto" w:fill="auto"/>
            <w:vAlign w:val="center"/>
          </w:tcPr>
          <w:p w14:paraId="159C643F" w14:textId="77777777" w:rsidR="001D7FCD" w:rsidRPr="00304A3B" w:rsidRDefault="001D7FCD" w:rsidP="00ED22E9">
            <w:pPr>
              <w:spacing w:after="0" w:line="240" w:lineRule="auto"/>
              <w:rPr>
                <w:rFonts w:ascii="Times New Roman" w:eastAsia="Times New Roman" w:hAnsi="Times New Roman" w:cs="Times New Roman"/>
                <w:sz w:val="20"/>
                <w:szCs w:val="20"/>
              </w:rPr>
            </w:pPr>
            <w:r w:rsidRPr="00304A3B">
              <w:rPr>
                <w:rFonts w:ascii="Times New Roman" w:eastAsia="Times New Roman" w:hAnsi="Times New Roman" w:cs="Times New Roman"/>
                <w:sz w:val="20"/>
                <w:szCs w:val="20"/>
              </w:rPr>
              <w:t>Industry GVA and Employment, 2015</w:t>
            </w:r>
          </w:p>
        </w:tc>
        <w:tc>
          <w:tcPr>
            <w:tcW w:w="3502" w:type="dxa"/>
            <w:tcBorders>
              <w:top w:val="nil"/>
              <w:left w:val="nil"/>
              <w:bottom w:val="single" w:sz="8" w:space="0" w:color="auto"/>
              <w:right w:val="nil"/>
            </w:tcBorders>
            <w:shd w:val="clear" w:color="auto" w:fill="auto"/>
            <w:vAlign w:val="center"/>
          </w:tcPr>
          <w:p w14:paraId="2BBE92D0" w14:textId="77777777" w:rsidR="001D7FCD" w:rsidRPr="00304A3B" w:rsidRDefault="001D7FCD" w:rsidP="00ED22E9">
            <w:pPr>
              <w:spacing w:after="0" w:line="240" w:lineRule="auto"/>
              <w:jc w:val="center"/>
              <w:rPr>
                <w:rFonts w:ascii="Times New Roman" w:eastAsia="Times New Roman" w:hAnsi="Times New Roman" w:cs="Times New Roman"/>
                <w:sz w:val="20"/>
                <w:szCs w:val="20"/>
              </w:rPr>
            </w:pPr>
            <w:r w:rsidRPr="00304A3B">
              <w:rPr>
                <w:rFonts w:ascii="Times New Roman" w:eastAsia="Times New Roman" w:hAnsi="Times New Roman" w:cs="Times New Roman"/>
                <w:sz w:val="20"/>
                <w:szCs w:val="20"/>
              </w:rPr>
              <w:t>Oxford Economics, Moody's Analytics</w:t>
            </w:r>
          </w:p>
        </w:tc>
      </w:tr>
      <w:tr w:rsidR="001D7FCD" w:rsidRPr="00304A3B" w14:paraId="7E50D0F1" w14:textId="77777777" w:rsidTr="00A15AC9">
        <w:trPr>
          <w:trHeight w:val="315"/>
        </w:trPr>
        <w:tc>
          <w:tcPr>
            <w:tcW w:w="1679" w:type="dxa"/>
            <w:vMerge w:val="restart"/>
            <w:tcBorders>
              <w:top w:val="nil"/>
              <w:left w:val="nil"/>
              <w:bottom w:val="nil"/>
              <w:right w:val="single" w:sz="8" w:space="0" w:color="auto"/>
            </w:tcBorders>
            <w:shd w:val="clear" w:color="auto" w:fill="auto"/>
            <w:vAlign w:val="center"/>
            <w:hideMark/>
          </w:tcPr>
          <w:p w14:paraId="7AB8BA4B" w14:textId="77777777" w:rsidR="001D7FCD" w:rsidRPr="00304A3B" w:rsidRDefault="001D7FCD" w:rsidP="00ED22E9">
            <w:pPr>
              <w:spacing w:after="0" w:line="240" w:lineRule="auto"/>
              <w:jc w:val="center"/>
              <w:rPr>
                <w:rFonts w:ascii="Times New Roman" w:eastAsia="Times New Roman" w:hAnsi="Times New Roman" w:cs="Times New Roman"/>
                <w:b/>
                <w:bCs/>
                <w:i/>
                <w:iCs/>
                <w:sz w:val="20"/>
                <w:szCs w:val="20"/>
              </w:rPr>
            </w:pPr>
            <w:r w:rsidRPr="00304A3B">
              <w:rPr>
                <w:rFonts w:ascii="Times New Roman" w:eastAsia="Times New Roman" w:hAnsi="Times New Roman" w:cs="Times New Roman"/>
                <w:b/>
                <w:bCs/>
                <w:i/>
                <w:iCs/>
                <w:sz w:val="20"/>
                <w:szCs w:val="20"/>
              </w:rPr>
              <w:t>Traded Clusters</w:t>
            </w:r>
          </w:p>
        </w:tc>
        <w:tc>
          <w:tcPr>
            <w:tcW w:w="4430" w:type="dxa"/>
            <w:tcBorders>
              <w:top w:val="nil"/>
              <w:left w:val="nil"/>
              <w:bottom w:val="single" w:sz="8" w:space="0" w:color="auto"/>
              <w:right w:val="single" w:sz="8" w:space="0" w:color="auto"/>
            </w:tcBorders>
            <w:shd w:val="clear" w:color="auto" w:fill="auto"/>
            <w:vAlign w:val="center"/>
          </w:tcPr>
          <w:p w14:paraId="1BCFD4FF" w14:textId="77777777" w:rsidR="001D7FCD" w:rsidRPr="00304A3B" w:rsidRDefault="001D7FCD" w:rsidP="00ED22E9">
            <w:pPr>
              <w:spacing w:after="0" w:line="240" w:lineRule="auto"/>
              <w:rPr>
                <w:rFonts w:ascii="Times New Roman" w:eastAsia="Times New Roman" w:hAnsi="Times New Roman" w:cs="Times New Roman"/>
                <w:sz w:val="20"/>
                <w:szCs w:val="20"/>
              </w:rPr>
            </w:pPr>
            <w:r w:rsidRPr="00304A3B">
              <w:rPr>
                <w:rFonts w:ascii="Times New Roman" w:eastAsia="Times New Roman" w:hAnsi="Times New Roman" w:cs="Times New Roman"/>
                <w:sz w:val="20"/>
                <w:szCs w:val="20"/>
              </w:rPr>
              <w:t>Greenfield Foreign Direct Investment, 2009-2015</w:t>
            </w:r>
          </w:p>
        </w:tc>
        <w:tc>
          <w:tcPr>
            <w:tcW w:w="3502" w:type="dxa"/>
            <w:vMerge w:val="restart"/>
            <w:tcBorders>
              <w:top w:val="nil"/>
              <w:left w:val="nil"/>
              <w:right w:val="nil"/>
            </w:tcBorders>
            <w:shd w:val="clear" w:color="auto" w:fill="auto"/>
            <w:vAlign w:val="center"/>
          </w:tcPr>
          <w:p w14:paraId="0F2AF6F5" w14:textId="77777777" w:rsidR="001D7FCD" w:rsidRPr="00304A3B" w:rsidRDefault="001D7FCD" w:rsidP="00ED22E9">
            <w:pPr>
              <w:spacing w:after="0" w:line="240" w:lineRule="auto"/>
              <w:jc w:val="center"/>
              <w:rPr>
                <w:rFonts w:ascii="Times New Roman" w:eastAsia="Times New Roman" w:hAnsi="Times New Roman" w:cs="Times New Roman"/>
                <w:sz w:val="20"/>
                <w:szCs w:val="20"/>
              </w:rPr>
            </w:pPr>
            <w:proofErr w:type="spellStart"/>
            <w:r w:rsidRPr="00304A3B">
              <w:rPr>
                <w:rFonts w:ascii="Times New Roman" w:eastAsia="Times New Roman" w:hAnsi="Times New Roman" w:cs="Times New Roman"/>
                <w:sz w:val="20"/>
                <w:szCs w:val="20"/>
              </w:rPr>
              <w:t>fDi</w:t>
            </w:r>
            <w:proofErr w:type="spellEnd"/>
            <w:r w:rsidRPr="00304A3B">
              <w:rPr>
                <w:rFonts w:ascii="Times New Roman" w:eastAsia="Times New Roman" w:hAnsi="Times New Roman" w:cs="Times New Roman"/>
                <w:sz w:val="20"/>
                <w:szCs w:val="20"/>
              </w:rPr>
              <w:t xml:space="preserve"> Intelligence data</w:t>
            </w:r>
          </w:p>
        </w:tc>
      </w:tr>
      <w:tr w:rsidR="001D7FCD" w:rsidRPr="00304A3B" w14:paraId="7119D292" w14:textId="77777777" w:rsidTr="00A15AC9">
        <w:trPr>
          <w:trHeight w:val="315"/>
        </w:trPr>
        <w:tc>
          <w:tcPr>
            <w:tcW w:w="1679" w:type="dxa"/>
            <w:vMerge/>
            <w:tcBorders>
              <w:top w:val="nil"/>
              <w:left w:val="nil"/>
              <w:bottom w:val="nil"/>
              <w:right w:val="single" w:sz="8" w:space="0" w:color="auto"/>
            </w:tcBorders>
            <w:vAlign w:val="center"/>
            <w:hideMark/>
          </w:tcPr>
          <w:p w14:paraId="7D6CB9BD" w14:textId="77777777" w:rsidR="001D7FCD" w:rsidRPr="00304A3B" w:rsidRDefault="001D7FCD" w:rsidP="00ED22E9">
            <w:pPr>
              <w:spacing w:after="0" w:line="240" w:lineRule="auto"/>
              <w:rPr>
                <w:rFonts w:ascii="Times New Roman" w:eastAsia="Times New Roman" w:hAnsi="Times New Roman" w:cs="Times New Roman"/>
                <w:b/>
                <w:bCs/>
                <w:i/>
                <w:iCs/>
                <w:sz w:val="20"/>
                <w:szCs w:val="20"/>
              </w:rPr>
            </w:pPr>
          </w:p>
        </w:tc>
        <w:tc>
          <w:tcPr>
            <w:tcW w:w="4430" w:type="dxa"/>
            <w:tcBorders>
              <w:top w:val="nil"/>
              <w:left w:val="nil"/>
              <w:bottom w:val="single" w:sz="8" w:space="0" w:color="auto"/>
              <w:right w:val="single" w:sz="8" w:space="0" w:color="auto"/>
            </w:tcBorders>
            <w:shd w:val="clear" w:color="auto" w:fill="auto"/>
            <w:vAlign w:val="center"/>
          </w:tcPr>
          <w:p w14:paraId="4F1E822B" w14:textId="77777777" w:rsidR="001D7FCD" w:rsidRPr="00304A3B" w:rsidRDefault="001D7FCD" w:rsidP="00ED22E9">
            <w:pPr>
              <w:spacing w:after="0" w:line="240" w:lineRule="auto"/>
              <w:rPr>
                <w:rFonts w:ascii="Times New Roman" w:eastAsia="Times New Roman" w:hAnsi="Times New Roman" w:cs="Times New Roman"/>
                <w:sz w:val="20"/>
                <w:szCs w:val="20"/>
              </w:rPr>
            </w:pPr>
            <w:r w:rsidRPr="00304A3B">
              <w:rPr>
                <w:rFonts w:ascii="Times New Roman" w:eastAsia="Times New Roman" w:hAnsi="Times New Roman" w:cs="Times New Roman"/>
                <w:sz w:val="20"/>
                <w:szCs w:val="20"/>
              </w:rPr>
              <w:t>Greenfield Foreign Direct Investment Per Capita, 2009-2015</w:t>
            </w:r>
          </w:p>
        </w:tc>
        <w:tc>
          <w:tcPr>
            <w:tcW w:w="3502" w:type="dxa"/>
            <w:vMerge/>
            <w:tcBorders>
              <w:left w:val="nil"/>
              <w:right w:val="nil"/>
            </w:tcBorders>
            <w:shd w:val="clear" w:color="auto" w:fill="auto"/>
            <w:vAlign w:val="center"/>
          </w:tcPr>
          <w:p w14:paraId="607484DC" w14:textId="77777777" w:rsidR="001D7FCD" w:rsidRPr="00304A3B" w:rsidRDefault="001D7FCD" w:rsidP="00ED22E9">
            <w:pPr>
              <w:spacing w:after="0" w:line="240" w:lineRule="auto"/>
              <w:jc w:val="center"/>
              <w:rPr>
                <w:rFonts w:ascii="Times New Roman" w:eastAsia="Times New Roman" w:hAnsi="Times New Roman" w:cs="Times New Roman"/>
                <w:sz w:val="20"/>
                <w:szCs w:val="20"/>
              </w:rPr>
            </w:pPr>
          </w:p>
        </w:tc>
      </w:tr>
      <w:tr w:rsidR="001D7FCD" w:rsidRPr="00304A3B" w14:paraId="12867DE4" w14:textId="77777777" w:rsidTr="00A15AC9">
        <w:trPr>
          <w:trHeight w:val="315"/>
        </w:trPr>
        <w:tc>
          <w:tcPr>
            <w:tcW w:w="1679" w:type="dxa"/>
            <w:tcBorders>
              <w:top w:val="nil"/>
              <w:left w:val="nil"/>
              <w:bottom w:val="single" w:sz="8" w:space="0" w:color="000000"/>
              <w:right w:val="single" w:sz="8" w:space="0" w:color="auto"/>
            </w:tcBorders>
            <w:shd w:val="clear" w:color="auto" w:fill="auto"/>
            <w:vAlign w:val="center"/>
            <w:hideMark/>
          </w:tcPr>
          <w:p w14:paraId="06B02567" w14:textId="77777777" w:rsidR="001D7FCD" w:rsidRPr="00304A3B" w:rsidRDefault="001D7FCD" w:rsidP="00ED22E9">
            <w:pPr>
              <w:spacing w:after="0" w:line="240" w:lineRule="auto"/>
              <w:rPr>
                <w:rFonts w:ascii="Times New Roman" w:eastAsia="Times New Roman" w:hAnsi="Times New Roman" w:cs="Times New Roman"/>
                <w:b/>
                <w:bCs/>
                <w:i/>
                <w:iCs/>
                <w:sz w:val="20"/>
                <w:szCs w:val="20"/>
              </w:rPr>
            </w:pPr>
            <w:r w:rsidRPr="00304A3B">
              <w:rPr>
                <w:rFonts w:ascii="Times New Roman" w:eastAsia="Times New Roman" w:hAnsi="Times New Roman" w:cs="Times New Roman"/>
                <w:b/>
                <w:bCs/>
                <w:i/>
                <w:iCs/>
                <w:sz w:val="20"/>
                <w:szCs w:val="20"/>
              </w:rPr>
              <w:t> </w:t>
            </w:r>
          </w:p>
        </w:tc>
        <w:tc>
          <w:tcPr>
            <w:tcW w:w="4430" w:type="dxa"/>
            <w:tcBorders>
              <w:top w:val="nil"/>
              <w:left w:val="nil"/>
              <w:bottom w:val="single" w:sz="8" w:space="0" w:color="auto"/>
              <w:right w:val="single" w:sz="8" w:space="0" w:color="auto"/>
            </w:tcBorders>
            <w:shd w:val="clear" w:color="auto" w:fill="auto"/>
            <w:vAlign w:val="center"/>
            <w:hideMark/>
          </w:tcPr>
          <w:p w14:paraId="2E97855C" w14:textId="77777777" w:rsidR="001D7FCD" w:rsidRPr="00304A3B" w:rsidRDefault="001D7FCD" w:rsidP="00ED22E9">
            <w:pPr>
              <w:spacing w:after="0" w:line="240" w:lineRule="auto"/>
              <w:rPr>
                <w:rFonts w:ascii="Times New Roman" w:eastAsia="Times New Roman" w:hAnsi="Times New Roman" w:cs="Times New Roman"/>
                <w:sz w:val="20"/>
                <w:szCs w:val="20"/>
              </w:rPr>
            </w:pPr>
            <w:r w:rsidRPr="00304A3B">
              <w:rPr>
                <w:rFonts w:ascii="Times New Roman" w:eastAsia="Times New Roman" w:hAnsi="Times New Roman" w:cs="Times New Roman"/>
                <w:sz w:val="20"/>
                <w:szCs w:val="20"/>
              </w:rPr>
              <w:t>Greenfield Foreign Direct Investment Jobs Created, 2009-2015</w:t>
            </w:r>
          </w:p>
        </w:tc>
        <w:tc>
          <w:tcPr>
            <w:tcW w:w="3502" w:type="dxa"/>
            <w:vMerge/>
            <w:tcBorders>
              <w:left w:val="nil"/>
              <w:bottom w:val="single" w:sz="8" w:space="0" w:color="auto"/>
              <w:right w:val="nil"/>
            </w:tcBorders>
            <w:shd w:val="clear" w:color="auto" w:fill="auto"/>
            <w:vAlign w:val="center"/>
            <w:hideMark/>
          </w:tcPr>
          <w:p w14:paraId="05E3E2F5" w14:textId="77777777" w:rsidR="001D7FCD" w:rsidRPr="00304A3B" w:rsidRDefault="001D7FCD" w:rsidP="00ED22E9">
            <w:pPr>
              <w:spacing w:after="0" w:line="240" w:lineRule="auto"/>
              <w:jc w:val="center"/>
              <w:rPr>
                <w:rFonts w:ascii="Times New Roman" w:eastAsia="Times New Roman" w:hAnsi="Times New Roman" w:cs="Times New Roman"/>
                <w:i/>
                <w:iCs/>
                <w:sz w:val="20"/>
                <w:szCs w:val="20"/>
              </w:rPr>
            </w:pPr>
          </w:p>
        </w:tc>
      </w:tr>
      <w:tr w:rsidR="001D7FCD" w:rsidRPr="00304A3B" w14:paraId="6D09EBA4" w14:textId="77777777" w:rsidTr="00A15AC9">
        <w:trPr>
          <w:trHeight w:val="525"/>
        </w:trPr>
        <w:tc>
          <w:tcPr>
            <w:tcW w:w="1679" w:type="dxa"/>
            <w:vMerge w:val="restart"/>
            <w:tcBorders>
              <w:top w:val="nil"/>
              <w:left w:val="nil"/>
              <w:right w:val="single" w:sz="8" w:space="0" w:color="auto"/>
            </w:tcBorders>
            <w:shd w:val="clear" w:color="auto" w:fill="auto"/>
            <w:vAlign w:val="center"/>
            <w:hideMark/>
          </w:tcPr>
          <w:p w14:paraId="4C983FBC" w14:textId="77777777" w:rsidR="001D7FCD" w:rsidRPr="00304A3B" w:rsidRDefault="001D7FCD" w:rsidP="00ED22E9">
            <w:pPr>
              <w:spacing w:after="0" w:line="240" w:lineRule="auto"/>
              <w:jc w:val="center"/>
              <w:rPr>
                <w:rFonts w:ascii="Times New Roman" w:eastAsia="Times New Roman" w:hAnsi="Times New Roman" w:cs="Times New Roman"/>
                <w:b/>
                <w:bCs/>
                <w:i/>
                <w:iCs/>
                <w:sz w:val="20"/>
                <w:szCs w:val="20"/>
              </w:rPr>
            </w:pPr>
            <w:r w:rsidRPr="00304A3B">
              <w:rPr>
                <w:rFonts w:ascii="Times New Roman" w:eastAsia="Times New Roman" w:hAnsi="Times New Roman" w:cs="Times New Roman"/>
                <w:b/>
                <w:bCs/>
                <w:i/>
                <w:iCs/>
                <w:sz w:val="20"/>
                <w:szCs w:val="20"/>
              </w:rPr>
              <w:t>Innovation</w:t>
            </w:r>
          </w:p>
        </w:tc>
        <w:tc>
          <w:tcPr>
            <w:tcW w:w="4430" w:type="dxa"/>
            <w:tcBorders>
              <w:top w:val="nil"/>
              <w:left w:val="nil"/>
              <w:bottom w:val="single" w:sz="8" w:space="0" w:color="auto"/>
              <w:right w:val="single" w:sz="8" w:space="0" w:color="auto"/>
            </w:tcBorders>
            <w:shd w:val="clear" w:color="auto" w:fill="auto"/>
            <w:vAlign w:val="center"/>
            <w:hideMark/>
          </w:tcPr>
          <w:p w14:paraId="07D1FA13" w14:textId="77777777" w:rsidR="001D7FCD" w:rsidRPr="00304A3B" w:rsidRDefault="001D7FCD" w:rsidP="00ED22E9">
            <w:pPr>
              <w:spacing w:after="0" w:line="240" w:lineRule="auto"/>
              <w:rPr>
                <w:rFonts w:ascii="Times New Roman" w:eastAsia="Times New Roman" w:hAnsi="Times New Roman" w:cs="Times New Roman"/>
                <w:sz w:val="20"/>
                <w:szCs w:val="20"/>
              </w:rPr>
            </w:pPr>
            <w:r w:rsidRPr="00304A3B">
              <w:rPr>
                <w:rFonts w:ascii="Times New Roman" w:eastAsia="Times New Roman" w:hAnsi="Times New Roman" w:cs="Times New Roman"/>
                <w:sz w:val="20"/>
                <w:szCs w:val="20"/>
              </w:rPr>
              <w:t>Share of total publications in top 10 percent cited papers, 2010-2013</w:t>
            </w:r>
          </w:p>
        </w:tc>
        <w:tc>
          <w:tcPr>
            <w:tcW w:w="3502" w:type="dxa"/>
            <w:vMerge w:val="restart"/>
            <w:tcBorders>
              <w:top w:val="nil"/>
              <w:left w:val="single" w:sz="8" w:space="0" w:color="auto"/>
              <w:bottom w:val="nil"/>
              <w:right w:val="nil"/>
            </w:tcBorders>
            <w:shd w:val="clear" w:color="auto" w:fill="auto"/>
            <w:vAlign w:val="center"/>
            <w:hideMark/>
          </w:tcPr>
          <w:p w14:paraId="1D735829" w14:textId="77777777" w:rsidR="001D7FCD" w:rsidRPr="00304A3B" w:rsidRDefault="001D7FCD" w:rsidP="00ED22E9">
            <w:pPr>
              <w:spacing w:after="0" w:line="240" w:lineRule="auto"/>
              <w:jc w:val="center"/>
              <w:rPr>
                <w:rFonts w:ascii="Times New Roman" w:eastAsia="Times New Roman" w:hAnsi="Times New Roman" w:cs="Times New Roman"/>
                <w:sz w:val="20"/>
                <w:szCs w:val="20"/>
              </w:rPr>
            </w:pPr>
            <w:r w:rsidRPr="00304A3B">
              <w:rPr>
                <w:rFonts w:ascii="Times New Roman" w:eastAsia="Times New Roman" w:hAnsi="Times New Roman" w:cs="Times New Roman"/>
                <w:sz w:val="20"/>
                <w:szCs w:val="20"/>
              </w:rPr>
              <w:t>Centre for Science and Technology Studies (CWTS) and Leiden University data</w:t>
            </w:r>
          </w:p>
        </w:tc>
      </w:tr>
      <w:tr w:rsidR="001D7FCD" w:rsidRPr="00304A3B" w14:paraId="04CCB35B" w14:textId="77777777" w:rsidTr="00A15AC9">
        <w:trPr>
          <w:trHeight w:val="315"/>
        </w:trPr>
        <w:tc>
          <w:tcPr>
            <w:tcW w:w="1679" w:type="dxa"/>
            <w:vMerge/>
            <w:tcBorders>
              <w:left w:val="nil"/>
              <w:right w:val="single" w:sz="8" w:space="0" w:color="auto"/>
            </w:tcBorders>
            <w:vAlign w:val="center"/>
            <w:hideMark/>
          </w:tcPr>
          <w:p w14:paraId="30A1EF1C" w14:textId="77777777" w:rsidR="001D7FCD" w:rsidRPr="00304A3B" w:rsidRDefault="001D7FCD" w:rsidP="00ED22E9">
            <w:pPr>
              <w:spacing w:after="0" w:line="240" w:lineRule="auto"/>
              <w:rPr>
                <w:rFonts w:ascii="Times New Roman" w:eastAsia="Times New Roman" w:hAnsi="Times New Roman" w:cs="Times New Roman"/>
                <w:b/>
                <w:bCs/>
                <w:i/>
                <w:iCs/>
                <w:sz w:val="20"/>
                <w:szCs w:val="20"/>
              </w:rPr>
            </w:pPr>
          </w:p>
        </w:tc>
        <w:tc>
          <w:tcPr>
            <w:tcW w:w="4430" w:type="dxa"/>
            <w:tcBorders>
              <w:top w:val="nil"/>
              <w:left w:val="nil"/>
              <w:bottom w:val="single" w:sz="8" w:space="0" w:color="auto"/>
              <w:right w:val="single" w:sz="8" w:space="0" w:color="auto"/>
            </w:tcBorders>
            <w:shd w:val="clear" w:color="auto" w:fill="auto"/>
            <w:vAlign w:val="center"/>
            <w:hideMark/>
          </w:tcPr>
          <w:p w14:paraId="4F5EDAD0" w14:textId="77777777" w:rsidR="001D7FCD" w:rsidRPr="00304A3B" w:rsidRDefault="001D7FCD" w:rsidP="00ED22E9">
            <w:pPr>
              <w:spacing w:after="0" w:line="240" w:lineRule="auto"/>
              <w:rPr>
                <w:rFonts w:ascii="Times New Roman" w:eastAsia="Times New Roman" w:hAnsi="Times New Roman" w:cs="Times New Roman"/>
                <w:sz w:val="20"/>
                <w:szCs w:val="20"/>
              </w:rPr>
            </w:pPr>
            <w:r w:rsidRPr="00304A3B">
              <w:rPr>
                <w:rFonts w:ascii="Times New Roman" w:eastAsia="Times New Roman" w:hAnsi="Times New Roman" w:cs="Times New Roman"/>
                <w:sz w:val="20"/>
                <w:szCs w:val="20"/>
              </w:rPr>
              <w:t>Share of total publications done with industry, 2010-2013</w:t>
            </w:r>
          </w:p>
        </w:tc>
        <w:tc>
          <w:tcPr>
            <w:tcW w:w="3502" w:type="dxa"/>
            <w:vMerge/>
            <w:tcBorders>
              <w:top w:val="nil"/>
              <w:left w:val="single" w:sz="8" w:space="0" w:color="auto"/>
              <w:bottom w:val="single" w:sz="8" w:space="0" w:color="auto"/>
              <w:right w:val="nil"/>
            </w:tcBorders>
            <w:vAlign w:val="center"/>
            <w:hideMark/>
          </w:tcPr>
          <w:p w14:paraId="04FD4F02" w14:textId="77777777" w:rsidR="001D7FCD" w:rsidRPr="00304A3B" w:rsidRDefault="001D7FCD" w:rsidP="00ED22E9">
            <w:pPr>
              <w:spacing w:after="0" w:line="240" w:lineRule="auto"/>
              <w:rPr>
                <w:rFonts w:ascii="Times New Roman" w:eastAsia="Times New Roman" w:hAnsi="Times New Roman" w:cs="Times New Roman"/>
                <w:sz w:val="20"/>
                <w:szCs w:val="20"/>
              </w:rPr>
            </w:pPr>
          </w:p>
        </w:tc>
      </w:tr>
      <w:tr w:rsidR="001D7FCD" w:rsidRPr="00304A3B" w14:paraId="554E36E3" w14:textId="77777777" w:rsidTr="00A15AC9">
        <w:trPr>
          <w:trHeight w:val="315"/>
        </w:trPr>
        <w:tc>
          <w:tcPr>
            <w:tcW w:w="1679" w:type="dxa"/>
            <w:vMerge/>
            <w:tcBorders>
              <w:left w:val="nil"/>
              <w:right w:val="single" w:sz="8" w:space="0" w:color="auto"/>
            </w:tcBorders>
            <w:vAlign w:val="center"/>
            <w:hideMark/>
          </w:tcPr>
          <w:p w14:paraId="3C09634E" w14:textId="77777777" w:rsidR="001D7FCD" w:rsidRPr="00304A3B" w:rsidRDefault="001D7FCD" w:rsidP="00ED22E9">
            <w:pPr>
              <w:spacing w:after="0" w:line="240" w:lineRule="auto"/>
              <w:rPr>
                <w:rFonts w:ascii="Times New Roman" w:eastAsia="Times New Roman" w:hAnsi="Times New Roman" w:cs="Times New Roman"/>
                <w:b/>
                <w:bCs/>
                <w:i/>
                <w:iCs/>
                <w:sz w:val="20"/>
                <w:szCs w:val="20"/>
              </w:rPr>
            </w:pPr>
          </w:p>
        </w:tc>
        <w:tc>
          <w:tcPr>
            <w:tcW w:w="4430" w:type="dxa"/>
            <w:tcBorders>
              <w:top w:val="nil"/>
              <w:left w:val="nil"/>
              <w:bottom w:val="single" w:sz="8" w:space="0" w:color="auto"/>
              <w:right w:val="single" w:sz="8" w:space="0" w:color="auto"/>
            </w:tcBorders>
            <w:shd w:val="clear" w:color="auto" w:fill="auto"/>
            <w:vAlign w:val="center"/>
            <w:hideMark/>
          </w:tcPr>
          <w:p w14:paraId="4F33787C" w14:textId="77777777" w:rsidR="001D7FCD" w:rsidRPr="00304A3B" w:rsidRDefault="001D7FCD" w:rsidP="00ED22E9">
            <w:pPr>
              <w:spacing w:after="0" w:line="240" w:lineRule="auto"/>
              <w:rPr>
                <w:rFonts w:ascii="Times New Roman" w:eastAsia="Times New Roman" w:hAnsi="Times New Roman" w:cs="Times New Roman"/>
                <w:sz w:val="20"/>
                <w:szCs w:val="20"/>
              </w:rPr>
            </w:pPr>
            <w:r w:rsidRPr="00304A3B">
              <w:rPr>
                <w:rFonts w:ascii="Times New Roman" w:eastAsia="Times New Roman" w:hAnsi="Times New Roman" w:cs="Times New Roman"/>
                <w:sz w:val="20"/>
                <w:szCs w:val="20"/>
              </w:rPr>
              <w:t>Total Patent output, 2008-2012</w:t>
            </w:r>
          </w:p>
        </w:tc>
        <w:tc>
          <w:tcPr>
            <w:tcW w:w="3502" w:type="dxa"/>
            <w:vMerge w:val="restart"/>
            <w:tcBorders>
              <w:top w:val="single" w:sz="8" w:space="0" w:color="auto"/>
              <w:left w:val="nil"/>
              <w:right w:val="nil"/>
            </w:tcBorders>
            <w:shd w:val="clear" w:color="auto" w:fill="auto"/>
            <w:vAlign w:val="center"/>
            <w:hideMark/>
          </w:tcPr>
          <w:p w14:paraId="04A1FC06" w14:textId="77777777" w:rsidR="001D7FCD" w:rsidRPr="00304A3B" w:rsidRDefault="001D7FCD" w:rsidP="00ED22E9">
            <w:pPr>
              <w:spacing w:after="0" w:line="240" w:lineRule="auto"/>
              <w:jc w:val="center"/>
              <w:rPr>
                <w:rFonts w:ascii="Times New Roman" w:eastAsia="Times New Roman" w:hAnsi="Times New Roman" w:cs="Times New Roman"/>
                <w:sz w:val="20"/>
                <w:szCs w:val="20"/>
              </w:rPr>
            </w:pPr>
            <w:r w:rsidRPr="00304A3B">
              <w:rPr>
                <w:rFonts w:ascii="Times New Roman" w:eastAsia="Times New Roman" w:hAnsi="Times New Roman" w:cs="Times New Roman"/>
                <w:sz w:val="20"/>
                <w:szCs w:val="20"/>
              </w:rPr>
              <w:t>REGPAT</w:t>
            </w:r>
          </w:p>
        </w:tc>
      </w:tr>
      <w:tr w:rsidR="001D7FCD" w:rsidRPr="00304A3B" w14:paraId="73C923DF" w14:textId="77777777" w:rsidTr="00A15AC9">
        <w:trPr>
          <w:trHeight w:val="315"/>
        </w:trPr>
        <w:tc>
          <w:tcPr>
            <w:tcW w:w="1679" w:type="dxa"/>
            <w:vMerge/>
            <w:tcBorders>
              <w:left w:val="nil"/>
              <w:right w:val="single" w:sz="8" w:space="0" w:color="auto"/>
            </w:tcBorders>
            <w:vAlign w:val="center"/>
          </w:tcPr>
          <w:p w14:paraId="349C91F6" w14:textId="77777777" w:rsidR="001D7FCD" w:rsidRPr="00304A3B" w:rsidRDefault="001D7FCD" w:rsidP="00ED22E9">
            <w:pPr>
              <w:spacing w:after="0" w:line="240" w:lineRule="auto"/>
              <w:rPr>
                <w:rFonts w:ascii="Times New Roman" w:eastAsia="Times New Roman" w:hAnsi="Times New Roman" w:cs="Times New Roman"/>
                <w:b/>
                <w:bCs/>
                <w:i/>
                <w:iCs/>
                <w:sz w:val="20"/>
                <w:szCs w:val="20"/>
              </w:rPr>
            </w:pPr>
          </w:p>
        </w:tc>
        <w:tc>
          <w:tcPr>
            <w:tcW w:w="4430" w:type="dxa"/>
            <w:tcBorders>
              <w:top w:val="nil"/>
              <w:left w:val="nil"/>
              <w:bottom w:val="single" w:sz="8" w:space="0" w:color="auto"/>
              <w:right w:val="single" w:sz="8" w:space="0" w:color="auto"/>
            </w:tcBorders>
            <w:shd w:val="clear" w:color="auto" w:fill="auto"/>
            <w:vAlign w:val="center"/>
          </w:tcPr>
          <w:p w14:paraId="759848A1" w14:textId="77777777" w:rsidR="001D7FCD" w:rsidRPr="00304A3B" w:rsidRDefault="001D7FCD" w:rsidP="00ED22E9">
            <w:pPr>
              <w:spacing w:after="0" w:line="240" w:lineRule="auto"/>
              <w:rPr>
                <w:rFonts w:ascii="Times New Roman" w:eastAsia="Times New Roman" w:hAnsi="Times New Roman" w:cs="Times New Roman"/>
                <w:sz w:val="20"/>
                <w:szCs w:val="20"/>
              </w:rPr>
            </w:pPr>
            <w:r w:rsidRPr="00304A3B">
              <w:rPr>
                <w:rFonts w:ascii="Times New Roman" w:eastAsia="Times New Roman" w:hAnsi="Times New Roman" w:cs="Times New Roman"/>
                <w:sz w:val="20"/>
                <w:szCs w:val="20"/>
              </w:rPr>
              <w:t>Total Patent output per capita, 2008-2012</w:t>
            </w:r>
          </w:p>
        </w:tc>
        <w:tc>
          <w:tcPr>
            <w:tcW w:w="3502" w:type="dxa"/>
            <w:vMerge/>
            <w:tcBorders>
              <w:left w:val="nil"/>
              <w:bottom w:val="single" w:sz="8" w:space="0" w:color="auto"/>
              <w:right w:val="nil"/>
            </w:tcBorders>
            <w:shd w:val="clear" w:color="auto" w:fill="auto"/>
            <w:vAlign w:val="center"/>
          </w:tcPr>
          <w:p w14:paraId="6E274684" w14:textId="77777777" w:rsidR="001D7FCD" w:rsidRPr="00304A3B" w:rsidRDefault="001D7FCD" w:rsidP="00ED22E9">
            <w:pPr>
              <w:spacing w:after="0" w:line="240" w:lineRule="auto"/>
              <w:jc w:val="center"/>
              <w:rPr>
                <w:rFonts w:ascii="Times New Roman" w:eastAsia="Times New Roman" w:hAnsi="Times New Roman" w:cs="Times New Roman"/>
                <w:sz w:val="20"/>
                <w:szCs w:val="20"/>
              </w:rPr>
            </w:pPr>
          </w:p>
        </w:tc>
      </w:tr>
      <w:tr w:rsidR="001D7FCD" w:rsidRPr="00304A3B" w14:paraId="55A91169" w14:textId="77777777" w:rsidTr="00A15AC9">
        <w:trPr>
          <w:trHeight w:val="525"/>
        </w:trPr>
        <w:tc>
          <w:tcPr>
            <w:tcW w:w="1679" w:type="dxa"/>
            <w:vMerge/>
            <w:tcBorders>
              <w:left w:val="nil"/>
              <w:right w:val="single" w:sz="8" w:space="0" w:color="auto"/>
            </w:tcBorders>
            <w:vAlign w:val="center"/>
            <w:hideMark/>
          </w:tcPr>
          <w:p w14:paraId="06720DD6" w14:textId="77777777" w:rsidR="001D7FCD" w:rsidRPr="00304A3B" w:rsidRDefault="001D7FCD" w:rsidP="00ED22E9">
            <w:pPr>
              <w:spacing w:after="0" w:line="240" w:lineRule="auto"/>
              <w:rPr>
                <w:rFonts w:ascii="Times New Roman" w:eastAsia="Times New Roman" w:hAnsi="Times New Roman" w:cs="Times New Roman"/>
                <w:b/>
                <w:bCs/>
                <w:i/>
                <w:iCs/>
                <w:sz w:val="20"/>
                <w:szCs w:val="20"/>
              </w:rPr>
            </w:pPr>
          </w:p>
        </w:tc>
        <w:tc>
          <w:tcPr>
            <w:tcW w:w="4430" w:type="dxa"/>
            <w:tcBorders>
              <w:top w:val="nil"/>
              <w:left w:val="nil"/>
              <w:bottom w:val="single" w:sz="8" w:space="0" w:color="auto"/>
              <w:right w:val="single" w:sz="8" w:space="0" w:color="auto"/>
            </w:tcBorders>
            <w:shd w:val="clear" w:color="auto" w:fill="auto"/>
            <w:vAlign w:val="center"/>
            <w:hideMark/>
          </w:tcPr>
          <w:p w14:paraId="60898CE7" w14:textId="77777777" w:rsidR="001D7FCD" w:rsidRPr="00304A3B" w:rsidRDefault="001D7FCD" w:rsidP="00ED22E9">
            <w:pPr>
              <w:spacing w:after="0" w:line="240" w:lineRule="auto"/>
              <w:rPr>
                <w:rFonts w:ascii="Times New Roman" w:eastAsia="Times New Roman" w:hAnsi="Times New Roman" w:cs="Times New Roman"/>
                <w:sz w:val="20"/>
                <w:szCs w:val="20"/>
              </w:rPr>
            </w:pPr>
            <w:r w:rsidRPr="00304A3B">
              <w:rPr>
                <w:rFonts w:ascii="Times New Roman" w:eastAsia="Times New Roman" w:hAnsi="Times New Roman" w:cs="Times New Roman"/>
                <w:sz w:val="20"/>
                <w:szCs w:val="20"/>
              </w:rPr>
              <w:t>Venture Capital Investments, millions of dollars per 1,000 inhabitants, 2006-2015</w:t>
            </w:r>
          </w:p>
        </w:tc>
        <w:tc>
          <w:tcPr>
            <w:tcW w:w="3502" w:type="dxa"/>
            <w:tcBorders>
              <w:top w:val="nil"/>
              <w:left w:val="nil"/>
              <w:bottom w:val="nil"/>
              <w:right w:val="nil"/>
            </w:tcBorders>
            <w:shd w:val="clear" w:color="auto" w:fill="auto"/>
            <w:vAlign w:val="center"/>
            <w:hideMark/>
          </w:tcPr>
          <w:p w14:paraId="17EF62AC" w14:textId="77777777" w:rsidR="001D7FCD" w:rsidRPr="00304A3B" w:rsidRDefault="001D7FCD" w:rsidP="00ED22E9">
            <w:pPr>
              <w:spacing w:after="0" w:line="240" w:lineRule="auto"/>
              <w:jc w:val="center"/>
              <w:rPr>
                <w:rFonts w:ascii="Times New Roman" w:eastAsia="Times New Roman" w:hAnsi="Times New Roman" w:cs="Times New Roman"/>
                <w:sz w:val="20"/>
                <w:szCs w:val="20"/>
              </w:rPr>
            </w:pPr>
            <w:proofErr w:type="spellStart"/>
            <w:r w:rsidRPr="00304A3B">
              <w:rPr>
                <w:rFonts w:ascii="Times New Roman" w:eastAsia="Times New Roman" w:hAnsi="Times New Roman" w:cs="Times New Roman"/>
                <w:sz w:val="20"/>
                <w:szCs w:val="20"/>
              </w:rPr>
              <w:t>Pitchbook</w:t>
            </w:r>
            <w:proofErr w:type="spellEnd"/>
          </w:p>
        </w:tc>
      </w:tr>
      <w:tr w:rsidR="001D7FCD" w:rsidRPr="00304A3B" w14:paraId="3EC8FA23" w14:textId="77777777" w:rsidTr="00A15AC9">
        <w:trPr>
          <w:trHeight w:val="525"/>
        </w:trPr>
        <w:tc>
          <w:tcPr>
            <w:tcW w:w="1679" w:type="dxa"/>
            <w:vMerge/>
            <w:tcBorders>
              <w:left w:val="nil"/>
              <w:bottom w:val="single" w:sz="8" w:space="0" w:color="000000"/>
              <w:right w:val="single" w:sz="8" w:space="0" w:color="auto"/>
            </w:tcBorders>
            <w:vAlign w:val="center"/>
          </w:tcPr>
          <w:p w14:paraId="520DDA6F" w14:textId="77777777" w:rsidR="001D7FCD" w:rsidRPr="00304A3B" w:rsidRDefault="001D7FCD" w:rsidP="00ED22E9">
            <w:pPr>
              <w:spacing w:after="0" w:line="240" w:lineRule="auto"/>
              <w:rPr>
                <w:rFonts w:ascii="Times New Roman" w:eastAsia="Times New Roman" w:hAnsi="Times New Roman" w:cs="Times New Roman"/>
                <w:b/>
                <w:bCs/>
                <w:i/>
                <w:iCs/>
                <w:sz w:val="20"/>
                <w:szCs w:val="20"/>
              </w:rPr>
            </w:pPr>
          </w:p>
        </w:tc>
        <w:tc>
          <w:tcPr>
            <w:tcW w:w="4430" w:type="dxa"/>
            <w:tcBorders>
              <w:top w:val="nil"/>
              <w:left w:val="nil"/>
              <w:bottom w:val="single" w:sz="8" w:space="0" w:color="auto"/>
              <w:right w:val="single" w:sz="8" w:space="0" w:color="auto"/>
            </w:tcBorders>
            <w:shd w:val="clear" w:color="auto" w:fill="auto"/>
            <w:vAlign w:val="center"/>
          </w:tcPr>
          <w:p w14:paraId="7881C6BD" w14:textId="77777777" w:rsidR="001D7FCD" w:rsidRPr="00304A3B" w:rsidRDefault="001D7FCD" w:rsidP="00ED22E9">
            <w:pPr>
              <w:spacing w:after="0" w:line="240" w:lineRule="auto"/>
              <w:rPr>
                <w:rFonts w:ascii="Times New Roman" w:eastAsia="Times New Roman" w:hAnsi="Times New Roman" w:cs="Times New Roman"/>
                <w:sz w:val="20"/>
                <w:szCs w:val="20"/>
              </w:rPr>
            </w:pPr>
            <w:r w:rsidRPr="00304A3B">
              <w:rPr>
                <w:rFonts w:ascii="Times New Roman" w:eastAsia="Times New Roman" w:hAnsi="Times New Roman" w:cs="Times New Roman"/>
                <w:sz w:val="20"/>
                <w:szCs w:val="20"/>
              </w:rPr>
              <w:t>Venture Capital Investments, millions of dollars, 2006-2015</w:t>
            </w:r>
          </w:p>
        </w:tc>
        <w:tc>
          <w:tcPr>
            <w:tcW w:w="3502" w:type="dxa"/>
            <w:tcBorders>
              <w:top w:val="nil"/>
              <w:left w:val="nil"/>
              <w:bottom w:val="nil"/>
              <w:right w:val="nil"/>
            </w:tcBorders>
            <w:shd w:val="clear" w:color="auto" w:fill="auto"/>
            <w:vAlign w:val="center"/>
          </w:tcPr>
          <w:p w14:paraId="25B22883" w14:textId="77777777" w:rsidR="001D7FCD" w:rsidRPr="00304A3B" w:rsidRDefault="001D7FCD" w:rsidP="00ED22E9">
            <w:pPr>
              <w:spacing w:after="0" w:line="240" w:lineRule="auto"/>
              <w:jc w:val="center"/>
              <w:rPr>
                <w:rFonts w:ascii="Times New Roman" w:eastAsia="Times New Roman" w:hAnsi="Times New Roman" w:cs="Times New Roman"/>
                <w:sz w:val="20"/>
                <w:szCs w:val="20"/>
              </w:rPr>
            </w:pPr>
          </w:p>
        </w:tc>
      </w:tr>
      <w:tr w:rsidR="001D7FCD" w:rsidRPr="00304A3B" w14:paraId="01A90BC0" w14:textId="77777777" w:rsidTr="00A15AC9">
        <w:trPr>
          <w:trHeight w:val="315"/>
        </w:trPr>
        <w:tc>
          <w:tcPr>
            <w:tcW w:w="1679" w:type="dxa"/>
            <w:vMerge w:val="restart"/>
            <w:tcBorders>
              <w:top w:val="nil"/>
              <w:left w:val="nil"/>
              <w:bottom w:val="single" w:sz="8" w:space="0" w:color="000000"/>
              <w:right w:val="single" w:sz="8" w:space="0" w:color="auto"/>
            </w:tcBorders>
            <w:shd w:val="clear" w:color="auto" w:fill="auto"/>
            <w:noWrap/>
            <w:vAlign w:val="center"/>
            <w:hideMark/>
          </w:tcPr>
          <w:p w14:paraId="3F30F4AB" w14:textId="77777777" w:rsidR="001D7FCD" w:rsidRPr="00304A3B" w:rsidRDefault="001D7FCD" w:rsidP="00ED22E9">
            <w:pPr>
              <w:spacing w:after="0" w:line="240" w:lineRule="auto"/>
              <w:jc w:val="center"/>
              <w:rPr>
                <w:rFonts w:ascii="Times New Roman" w:eastAsia="Times New Roman" w:hAnsi="Times New Roman" w:cs="Times New Roman"/>
                <w:b/>
                <w:bCs/>
                <w:i/>
                <w:iCs/>
                <w:sz w:val="20"/>
                <w:szCs w:val="20"/>
              </w:rPr>
            </w:pPr>
            <w:r w:rsidRPr="00304A3B">
              <w:rPr>
                <w:rFonts w:ascii="Times New Roman" w:eastAsia="Times New Roman" w:hAnsi="Times New Roman" w:cs="Times New Roman"/>
                <w:b/>
                <w:bCs/>
                <w:i/>
                <w:iCs/>
                <w:sz w:val="20"/>
                <w:szCs w:val="20"/>
              </w:rPr>
              <w:t>Talent</w:t>
            </w:r>
          </w:p>
        </w:tc>
        <w:tc>
          <w:tcPr>
            <w:tcW w:w="4430" w:type="dxa"/>
            <w:tcBorders>
              <w:top w:val="nil"/>
              <w:left w:val="nil"/>
              <w:bottom w:val="single" w:sz="8" w:space="0" w:color="auto"/>
              <w:right w:val="single" w:sz="8" w:space="0" w:color="auto"/>
            </w:tcBorders>
            <w:shd w:val="clear" w:color="auto" w:fill="auto"/>
            <w:vAlign w:val="center"/>
            <w:hideMark/>
          </w:tcPr>
          <w:p w14:paraId="542729CC" w14:textId="77777777" w:rsidR="001D7FCD" w:rsidRPr="00304A3B" w:rsidRDefault="001D7FCD" w:rsidP="00ED22E9">
            <w:pPr>
              <w:spacing w:after="0" w:line="240" w:lineRule="auto"/>
              <w:rPr>
                <w:rFonts w:ascii="Times New Roman" w:eastAsia="Times New Roman" w:hAnsi="Times New Roman" w:cs="Times New Roman"/>
                <w:sz w:val="20"/>
                <w:szCs w:val="20"/>
              </w:rPr>
            </w:pPr>
            <w:r w:rsidRPr="00304A3B">
              <w:rPr>
                <w:rFonts w:ascii="Times New Roman" w:eastAsia="Times New Roman" w:hAnsi="Times New Roman" w:cs="Times New Roman"/>
                <w:sz w:val="20"/>
                <w:szCs w:val="20"/>
              </w:rPr>
              <w:t>Share of Population 15+ with Tertiary Education, latest year available</w:t>
            </w:r>
          </w:p>
        </w:tc>
        <w:tc>
          <w:tcPr>
            <w:tcW w:w="3502" w:type="dxa"/>
            <w:vMerge w:val="restart"/>
            <w:tcBorders>
              <w:top w:val="single" w:sz="8" w:space="0" w:color="auto"/>
              <w:left w:val="single" w:sz="8" w:space="0" w:color="auto"/>
              <w:bottom w:val="nil"/>
              <w:right w:val="nil"/>
            </w:tcBorders>
            <w:shd w:val="clear" w:color="auto" w:fill="auto"/>
            <w:vAlign w:val="center"/>
            <w:hideMark/>
          </w:tcPr>
          <w:p w14:paraId="7D7B639A" w14:textId="77777777" w:rsidR="001D7FCD" w:rsidRPr="00304A3B" w:rsidRDefault="001D7FCD" w:rsidP="00ED22E9">
            <w:pPr>
              <w:spacing w:after="0" w:line="240" w:lineRule="auto"/>
              <w:jc w:val="center"/>
              <w:rPr>
                <w:rFonts w:ascii="Times New Roman" w:eastAsia="Times New Roman" w:hAnsi="Times New Roman" w:cs="Times New Roman"/>
                <w:sz w:val="20"/>
                <w:szCs w:val="20"/>
              </w:rPr>
            </w:pPr>
            <w:r w:rsidRPr="00304A3B">
              <w:rPr>
                <w:rFonts w:ascii="Times New Roman" w:eastAsia="Times New Roman" w:hAnsi="Times New Roman" w:cs="Times New Roman"/>
                <w:sz w:val="20"/>
                <w:szCs w:val="20"/>
              </w:rPr>
              <w:t>Oxford Economics, U.S. Census Bureau</w:t>
            </w:r>
          </w:p>
        </w:tc>
      </w:tr>
      <w:tr w:rsidR="001D7FCD" w:rsidRPr="00304A3B" w14:paraId="409D8A3D" w14:textId="77777777" w:rsidTr="00A15AC9">
        <w:trPr>
          <w:trHeight w:val="315"/>
        </w:trPr>
        <w:tc>
          <w:tcPr>
            <w:tcW w:w="1679" w:type="dxa"/>
            <w:vMerge/>
            <w:tcBorders>
              <w:top w:val="nil"/>
              <w:left w:val="nil"/>
              <w:bottom w:val="single" w:sz="8" w:space="0" w:color="000000"/>
              <w:right w:val="single" w:sz="8" w:space="0" w:color="auto"/>
            </w:tcBorders>
            <w:vAlign w:val="center"/>
            <w:hideMark/>
          </w:tcPr>
          <w:p w14:paraId="4D348184" w14:textId="77777777" w:rsidR="001D7FCD" w:rsidRPr="00304A3B" w:rsidRDefault="001D7FCD" w:rsidP="00ED22E9">
            <w:pPr>
              <w:spacing w:after="0" w:line="240" w:lineRule="auto"/>
              <w:rPr>
                <w:rFonts w:ascii="Times New Roman" w:eastAsia="Times New Roman" w:hAnsi="Times New Roman" w:cs="Times New Roman"/>
                <w:b/>
                <w:bCs/>
                <w:i/>
                <w:iCs/>
                <w:sz w:val="20"/>
                <w:szCs w:val="20"/>
              </w:rPr>
            </w:pPr>
          </w:p>
        </w:tc>
        <w:tc>
          <w:tcPr>
            <w:tcW w:w="4430" w:type="dxa"/>
            <w:tcBorders>
              <w:top w:val="nil"/>
              <w:left w:val="nil"/>
              <w:bottom w:val="single" w:sz="8" w:space="0" w:color="auto"/>
              <w:right w:val="single" w:sz="8" w:space="0" w:color="auto"/>
            </w:tcBorders>
            <w:shd w:val="clear" w:color="auto" w:fill="auto"/>
            <w:vAlign w:val="center"/>
            <w:hideMark/>
          </w:tcPr>
          <w:p w14:paraId="72598AB4" w14:textId="77777777" w:rsidR="001D7FCD" w:rsidRPr="00304A3B" w:rsidRDefault="001D7FCD" w:rsidP="00ED22E9">
            <w:pPr>
              <w:spacing w:after="0" w:line="240" w:lineRule="auto"/>
              <w:rPr>
                <w:rFonts w:ascii="Times New Roman" w:eastAsia="Times New Roman" w:hAnsi="Times New Roman" w:cs="Times New Roman"/>
                <w:sz w:val="20"/>
                <w:szCs w:val="20"/>
              </w:rPr>
            </w:pPr>
            <w:r w:rsidRPr="00304A3B">
              <w:rPr>
                <w:rFonts w:ascii="Times New Roman" w:eastAsia="Times New Roman" w:hAnsi="Times New Roman" w:cs="Times New Roman"/>
                <w:sz w:val="20"/>
                <w:szCs w:val="20"/>
              </w:rPr>
              <w:t>Foreign-Born Share of Total Population, latest year available</w:t>
            </w:r>
          </w:p>
        </w:tc>
        <w:tc>
          <w:tcPr>
            <w:tcW w:w="3502" w:type="dxa"/>
            <w:vMerge/>
            <w:tcBorders>
              <w:top w:val="single" w:sz="8" w:space="0" w:color="auto"/>
              <w:left w:val="single" w:sz="8" w:space="0" w:color="auto"/>
              <w:bottom w:val="single" w:sz="8" w:space="0" w:color="auto"/>
              <w:right w:val="nil"/>
            </w:tcBorders>
            <w:vAlign w:val="center"/>
            <w:hideMark/>
          </w:tcPr>
          <w:p w14:paraId="702B1A51" w14:textId="77777777" w:rsidR="001D7FCD" w:rsidRPr="00304A3B" w:rsidRDefault="001D7FCD" w:rsidP="00ED22E9">
            <w:pPr>
              <w:spacing w:after="0" w:line="240" w:lineRule="auto"/>
              <w:rPr>
                <w:rFonts w:ascii="Times New Roman" w:eastAsia="Times New Roman" w:hAnsi="Times New Roman" w:cs="Times New Roman"/>
                <w:sz w:val="20"/>
                <w:szCs w:val="20"/>
              </w:rPr>
            </w:pPr>
          </w:p>
        </w:tc>
      </w:tr>
      <w:tr w:rsidR="001D7FCD" w:rsidRPr="00304A3B" w14:paraId="78A16DFE" w14:textId="77777777" w:rsidTr="00A15AC9">
        <w:trPr>
          <w:trHeight w:val="315"/>
        </w:trPr>
        <w:tc>
          <w:tcPr>
            <w:tcW w:w="1679" w:type="dxa"/>
            <w:vMerge w:val="restart"/>
            <w:tcBorders>
              <w:top w:val="nil"/>
              <w:left w:val="nil"/>
              <w:bottom w:val="single" w:sz="8" w:space="0" w:color="000000"/>
              <w:right w:val="single" w:sz="8" w:space="0" w:color="auto"/>
            </w:tcBorders>
            <w:shd w:val="clear" w:color="auto" w:fill="auto"/>
            <w:vAlign w:val="center"/>
            <w:hideMark/>
          </w:tcPr>
          <w:p w14:paraId="76CD26E4" w14:textId="77777777" w:rsidR="001D7FCD" w:rsidRPr="00304A3B" w:rsidRDefault="001D7FCD" w:rsidP="00ED22E9">
            <w:pPr>
              <w:spacing w:after="0" w:line="240" w:lineRule="auto"/>
              <w:jc w:val="center"/>
              <w:rPr>
                <w:rFonts w:ascii="Times New Roman" w:eastAsia="Times New Roman" w:hAnsi="Times New Roman" w:cs="Times New Roman"/>
                <w:b/>
                <w:bCs/>
                <w:i/>
                <w:iCs/>
                <w:sz w:val="20"/>
                <w:szCs w:val="20"/>
              </w:rPr>
            </w:pPr>
            <w:r w:rsidRPr="00304A3B">
              <w:rPr>
                <w:rFonts w:ascii="Times New Roman" w:eastAsia="Times New Roman" w:hAnsi="Times New Roman" w:cs="Times New Roman"/>
                <w:b/>
                <w:bCs/>
                <w:i/>
                <w:iCs/>
                <w:sz w:val="20"/>
                <w:szCs w:val="20"/>
              </w:rPr>
              <w:t>Infrastructure</w:t>
            </w:r>
          </w:p>
        </w:tc>
        <w:tc>
          <w:tcPr>
            <w:tcW w:w="4430" w:type="dxa"/>
            <w:tcBorders>
              <w:top w:val="nil"/>
              <w:left w:val="nil"/>
              <w:bottom w:val="single" w:sz="8" w:space="0" w:color="auto"/>
              <w:right w:val="single" w:sz="8" w:space="0" w:color="auto"/>
            </w:tcBorders>
            <w:shd w:val="clear" w:color="auto" w:fill="auto"/>
            <w:vAlign w:val="center"/>
            <w:hideMark/>
          </w:tcPr>
          <w:p w14:paraId="3759E5C6" w14:textId="77777777" w:rsidR="001D7FCD" w:rsidRPr="00304A3B" w:rsidRDefault="001D7FCD" w:rsidP="00ED22E9">
            <w:pPr>
              <w:spacing w:after="0" w:line="240" w:lineRule="auto"/>
              <w:rPr>
                <w:rFonts w:ascii="Times New Roman" w:eastAsia="Times New Roman" w:hAnsi="Times New Roman" w:cs="Times New Roman"/>
                <w:sz w:val="20"/>
                <w:szCs w:val="20"/>
              </w:rPr>
            </w:pPr>
            <w:r w:rsidRPr="00304A3B">
              <w:rPr>
                <w:rFonts w:ascii="Times New Roman" w:eastAsia="Times New Roman" w:hAnsi="Times New Roman" w:cs="Times New Roman"/>
                <w:sz w:val="20"/>
                <w:szCs w:val="20"/>
              </w:rPr>
              <w:t>Total Aviation Passengers, 2014</w:t>
            </w:r>
          </w:p>
        </w:tc>
        <w:tc>
          <w:tcPr>
            <w:tcW w:w="3502" w:type="dxa"/>
            <w:vMerge w:val="restart"/>
            <w:tcBorders>
              <w:top w:val="single" w:sz="8" w:space="0" w:color="auto"/>
              <w:left w:val="nil"/>
              <w:right w:val="nil"/>
            </w:tcBorders>
            <w:shd w:val="clear" w:color="auto" w:fill="auto"/>
            <w:vAlign w:val="center"/>
            <w:hideMark/>
          </w:tcPr>
          <w:p w14:paraId="0ED0BAF8" w14:textId="77777777" w:rsidR="001D7FCD" w:rsidRPr="00304A3B" w:rsidRDefault="001D7FCD" w:rsidP="00ED22E9">
            <w:pPr>
              <w:spacing w:after="0" w:line="240" w:lineRule="auto"/>
              <w:jc w:val="center"/>
              <w:rPr>
                <w:rFonts w:ascii="Times New Roman" w:eastAsia="Times New Roman" w:hAnsi="Times New Roman" w:cs="Times New Roman"/>
                <w:sz w:val="20"/>
                <w:szCs w:val="20"/>
              </w:rPr>
            </w:pPr>
            <w:r w:rsidRPr="00304A3B">
              <w:rPr>
                <w:rFonts w:ascii="Times New Roman" w:eastAsia="Times New Roman" w:hAnsi="Times New Roman" w:cs="Times New Roman"/>
                <w:sz w:val="20"/>
                <w:szCs w:val="20"/>
              </w:rPr>
              <w:t>SABRE</w:t>
            </w:r>
          </w:p>
        </w:tc>
      </w:tr>
      <w:tr w:rsidR="001D7FCD" w:rsidRPr="00304A3B" w14:paraId="5E58E209" w14:textId="77777777" w:rsidTr="00A15AC9">
        <w:trPr>
          <w:trHeight w:val="315"/>
        </w:trPr>
        <w:tc>
          <w:tcPr>
            <w:tcW w:w="1679" w:type="dxa"/>
            <w:vMerge/>
            <w:tcBorders>
              <w:top w:val="nil"/>
              <w:left w:val="nil"/>
              <w:bottom w:val="single" w:sz="8" w:space="0" w:color="000000"/>
              <w:right w:val="single" w:sz="8" w:space="0" w:color="auto"/>
            </w:tcBorders>
            <w:shd w:val="clear" w:color="auto" w:fill="auto"/>
            <w:vAlign w:val="center"/>
          </w:tcPr>
          <w:p w14:paraId="6405A86D" w14:textId="77777777" w:rsidR="001D7FCD" w:rsidRPr="00304A3B" w:rsidRDefault="001D7FCD" w:rsidP="00ED22E9">
            <w:pPr>
              <w:spacing w:after="0" w:line="240" w:lineRule="auto"/>
              <w:jc w:val="center"/>
              <w:rPr>
                <w:rFonts w:ascii="Times New Roman" w:eastAsia="Times New Roman" w:hAnsi="Times New Roman" w:cs="Times New Roman"/>
                <w:b/>
                <w:bCs/>
                <w:i/>
                <w:iCs/>
                <w:sz w:val="20"/>
                <w:szCs w:val="20"/>
              </w:rPr>
            </w:pPr>
          </w:p>
        </w:tc>
        <w:tc>
          <w:tcPr>
            <w:tcW w:w="4430" w:type="dxa"/>
            <w:tcBorders>
              <w:top w:val="nil"/>
              <w:left w:val="nil"/>
              <w:bottom w:val="single" w:sz="8" w:space="0" w:color="auto"/>
              <w:right w:val="single" w:sz="8" w:space="0" w:color="auto"/>
            </w:tcBorders>
            <w:shd w:val="clear" w:color="auto" w:fill="auto"/>
            <w:vAlign w:val="center"/>
          </w:tcPr>
          <w:p w14:paraId="481B40E1" w14:textId="77777777" w:rsidR="001D7FCD" w:rsidRPr="00304A3B" w:rsidRDefault="001D7FCD" w:rsidP="00ED22E9">
            <w:pPr>
              <w:spacing w:after="0" w:line="240" w:lineRule="auto"/>
              <w:rPr>
                <w:rFonts w:ascii="Times New Roman" w:eastAsia="Times New Roman" w:hAnsi="Times New Roman" w:cs="Times New Roman"/>
                <w:sz w:val="20"/>
                <w:szCs w:val="20"/>
              </w:rPr>
            </w:pPr>
            <w:r w:rsidRPr="00304A3B">
              <w:rPr>
                <w:rFonts w:ascii="Times New Roman" w:eastAsia="Times New Roman" w:hAnsi="Times New Roman" w:cs="Times New Roman"/>
                <w:sz w:val="20"/>
                <w:szCs w:val="20"/>
              </w:rPr>
              <w:t>Total Aviation Passengers Per Capita, 2014</w:t>
            </w:r>
          </w:p>
        </w:tc>
        <w:tc>
          <w:tcPr>
            <w:tcW w:w="3502" w:type="dxa"/>
            <w:vMerge/>
            <w:tcBorders>
              <w:left w:val="nil"/>
              <w:bottom w:val="single" w:sz="8" w:space="0" w:color="auto"/>
              <w:right w:val="nil"/>
            </w:tcBorders>
            <w:shd w:val="clear" w:color="auto" w:fill="auto"/>
            <w:vAlign w:val="center"/>
          </w:tcPr>
          <w:p w14:paraId="5894C510" w14:textId="77777777" w:rsidR="001D7FCD" w:rsidRPr="00304A3B" w:rsidRDefault="001D7FCD" w:rsidP="00ED22E9">
            <w:pPr>
              <w:spacing w:after="0" w:line="240" w:lineRule="auto"/>
              <w:jc w:val="center"/>
              <w:rPr>
                <w:rFonts w:ascii="Times New Roman" w:eastAsia="Times New Roman" w:hAnsi="Times New Roman" w:cs="Times New Roman"/>
                <w:sz w:val="20"/>
                <w:szCs w:val="20"/>
              </w:rPr>
            </w:pPr>
          </w:p>
        </w:tc>
      </w:tr>
      <w:tr w:rsidR="001D7FCD" w:rsidRPr="00304A3B" w14:paraId="74ED05A4" w14:textId="77777777" w:rsidTr="00A15AC9">
        <w:trPr>
          <w:trHeight w:val="315"/>
        </w:trPr>
        <w:tc>
          <w:tcPr>
            <w:tcW w:w="1679" w:type="dxa"/>
            <w:vMerge/>
            <w:tcBorders>
              <w:top w:val="nil"/>
              <w:left w:val="nil"/>
              <w:bottom w:val="single" w:sz="8" w:space="0" w:color="000000"/>
              <w:right w:val="single" w:sz="8" w:space="0" w:color="auto"/>
            </w:tcBorders>
            <w:vAlign w:val="center"/>
            <w:hideMark/>
          </w:tcPr>
          <w:p w14:paraId="12E44A57" w14:textId="77777777" w:rsidR="001D7FCD" w:rsidRPr="00304A3B" w:rsidRDefault="001D7FCD" w:rsidP="00ED22E9">
            <w:pPr>
              <w:spacing w:after="0" w:line="240" w:lineRule="auto"/>
              <w:rPr>
                <w:rFonts w:ascii="Times New Roman" w:eastAsia="Times New Roman" w:hAnsi="Times New Roman" w:cs="Times New Roman"/>
                <w:b/>
                <w:bCs/>
                <w:i/>
                <w:iCs/>
                <w:sz w:val="20"/>
                <w:szCs w:val="20"/>
              </w:rPr>
            </w:pPr>
          </w:p>
        </w:tc>
        <w:tc>
          <w:tcPr>
            <w:tcW w:w="4430" w:type="dxa"/>
            <w:tcBorders>
              <w:top w:val="nil"/>
              <w:left w:val="nil"/>
              <w:bottom w:val="single" w:sz="8" w:space="0" w:color="auto"/>
              <w:right w:val="single" w:sz="8" w:space="0" w:color="auto"/>
            </w:tcBorders>
            <w:shd w:val="clear" w:color="auto" w:fill="auto"/>
            <w:vAlign w:val="center"/>
          </w:tcPr>
          <w:p w14:paraId="5B04A1A1" w14:textId="77777777" w:rsidR="001D7FCD" w:rsidRPr="00304A3B" w:rsidRDefault="001D7FCD" w:rsidP="00ED22E9">
            <w:pPr>
              <w:spacing w:after="0" w:line="240" w:lineRule="auto"/>
              <w:rPr>
                <w:rFonts w:ascii="Times New Roman" w:eastAsia="Times New Roman" w:hAnsi="Times New Roman" w:cs="Times New Roman"/>
                <w:sz w:val="20"/>
                <w:szCs w:val="20"/>
              </w:rPr>
            </w:pPr>
            <w:r w:rsidRPr="00304A3B">
              <w:rPr>
                <w:rFonts w:ascii="Times New Roman" w:eastAsia="Times New Roman" w:hAnsi="Times New Roman" w:cs="Times New Roman"/>
                <w:sz w:val="20"/>
                <w:szCs w:val="20"/>
              </w:rPr>
              <w:t>Average Download Speed, 2015</w:t>
            </w:r>
          </w:p>
        </w:tc>
        <w:tc>
          <w:tcPr>
            <w:tcW w:w="3502" w:type="dxa"/>
            <w:tcBorders>
              <w:top w:val="nil"/>
              <w:left w:val="nil"/>
              <w:bottom w:val="single" w:sz="8" w:space="0" w:color="auto"/>
              <w:right w:val="nil"/>
            </w:tcBorders>
            <w:shd w:val="clear" w:color="auto" w:fill="auto"/>
            <w:vAlign w:val="center"/>
          </w:tcPr>
          <w:p w14:paraId="5BB975E7" w14:textId="77777777" w:rsidR="001D7FCD" w:rsidRPr="00304A3B" w:rsidRDefault="001D7FCD" w:rsidP="00ED22E9">
            <w:pPr>
              <w:spacing w:after="0" w:line="240" w:lineRule="auto"/>
              <w:jc w:val="center"/>
              <w:rPr>
                <w:rFonts w:ascii="Times New Roman" w:eastAsia="Times New Roman" w:hAnsi="Times New Roman" w:cs="Times New Roman"/>
                <w:sz w:val="20"/>
                <w:szCs w:val="20"/>
              </w:rPr>
            </w:pPr>
            <w:r w:rsidRPr="00304A3B">
              <w:rPr>
                <w:rFonts w:ascii="Times New Roman" w:eastAsia="Times New Roman" w:hAnsi="Times New Roman" w:cs="Times New Roman"/>
                <w:sz w:val="20"/>
                <w:szCs w:val="20"/>
              </w:rPr>
              <w:t>Net Index</w:t>
            </w:r>
          </w:p>
        </w:tc>
      </w:tr>
    </w:tbl>
    <w:p w14:paraId="43FE65E8" w14:textId="77777777" w:rsidR="001D7FCD" w:rsidRPr="00304A3B" w:rsidRDefault="001D7FCD" w:rsidP="001D7FCD">
      <w:pPr>
        <w:tabs>
          <w:tab w:val="left" w:pos="3131"/>
        </w:tabs>
        <w:spacing w:line="240" w:lineRule="auto"/>
        <w:contextualSpacing/>
        <w:rPr>
          <w:rFonts w:ascii="Times New Roman" w:hAnsi="Times New Roman" w:cs="Times New Roman"/>
        </w:rPr>
      </w:pPr>
    </w:p>
    <w:p w14:paraId="0E1EC14D" w14:textId="66AD8AAB" w:rsidR="00A15AC9" w:rsidRPr="00304A3B" w:rsidRDefault="00EC0CD0" w:rsidP="00EC0CD0">
      <w:pPr>
        <w:spacing w:after="0" w:line="240" w:lineRule="auto"/>
        <w:rPr>
          <w:rFonts w:ascii="Times New Roman" w:hAnsi="Times New Roman" w:cs="Times New Roman"/>
        </w:rPr>
      </w:pPr>
      <w:r w:rsidRPr="00304A3B">
        <w:rPr>
          <w:rFonts w:ascii="Times New Roman" w:hAnsi="Times New Roman" w:cs="Times New Roman"/>
        </w:rPr>
        <w:t>Our analysis proceeded in three steps. First, we applied PCA to reduce the number of dimensions of our data by filtering variables that are highly interrelated while retaining as much variance as possible. PCA generates “components” by applying a linear transformation to all the variables.</w:t>
      </w:r>
      <w:r w:rsidRPr="00304A3B">
        <w:rPr>
          <w:rStyle w:val="FootnoteReference"/>
          <w:rFonts w:ascii="Times New Roman" w:hAnsi="Times New Roman" w:cs="Times New Roman"/>
        </w:rPr>
        <w:t xml:space="preserve"> </w:t>
      </w:r>
      <w:r w:rsidR="00A15AC9" w:rsidRPr="00304A3B">
        <w:rPr>
          <w:rStyle w:val="EndnoteReference"/>
          <w:rFonts w:ascii="Times New Roman" w:hAnsi="Times New Roman" w:cs="Times New Roman"/>
        </w:rPr>
        <w:endnoteReference w:id="111"/>
      </w:r>
      <w:r w:rsidR="00A15AC9" w:rsidRPr="00304A3B">
        <w:rPr>
          <w:rFonts w:ascii="Times New Roman" w:hAnsi="Times New Roman" w:cs="Times New Roman"/>
        </w:rPr>
        <w:t xml:space="preserve"> To successfully perform our clustering algorithm we selected the number of components that explain 80 to 90 percent of the variance of a dataset. For this report we selected the nine principal components, which accounted for 86 percent of the total variation of the data.</w:t>
      </w:r>
    </w:p>
    <w:p w14:paraId="4CEA6E27" w14:textId="77777777" w:rsidR="00A15AC9" w:rsidRPr="00304A3B" w:rsidRDefault="00A15AC9" w:rsidP="00EC0CD0">
      <w:pPr>
        <w:spacing w:after="0" w:line="240" w:lineRule="auto"/>
        <w:rPr>
          <w:rFonts w:ascii="Times New Roman" w:hAnsi="Times New Roman" w:cs="Times New Roman"/>
        </w:rPr>
      </w:pPr>
    </w:p>
    <w:p w14:paraId="5890BD6F" w14:textId="0638606A" w:rsidR="00EC0CD0" w:rsidRPr="00304A3B" w:rsidRDefault="00A15AC9" w:rsidP="00EC0CD0">
      <w:pPr>
        <w:spacing w:after="0" w:line="240" w:lineRule="auto"/>
        <w:rPr>
          <w:rFonts w:ascii="Times New Roman" w:hAnsi="Times New Roman" w:cs="Times New Roman"/>
        </w:rPr>
      </w:pPr>
      <w:r w:rsidRPr="00304A3B">
        <w:rPr>
          <w:rFonts w:ascii="Times New Roman" w:hAnsi="Times New Roman" w:cs="Times New Roman"/>
        </w:rPr>
        <w:t>The second stage applied a k-means algorithm to the nine components, a process which calculates the distance of every observation in our dataset to each other, then generates a cluster centroid and assigns each data point to the closest cluster.</w:t>
      </w:r>
      <w:r w:rsidRPr="00304A3B">
        <w:rPr>
          <w:rStyle w:val="EndnoteReference"/>
          <w:rFonts w:ascii="Times New Roman" w:hAnsi="Times New Roman" w:cs="Times New Roman"/>
        </w:rPr>
        <w:endnoteReference w:id="112"/>
      </w:r>
      <w:r w:rsidRPr="00304A3B">
        <w:rPr>
          <w:rFonts w:ascii="Times New Roman" w:hAnsi="Times New Roman" w:cs="Times New Roman"/>
        </w:rPr>
        <w:t xml:space="preserve"> K-means repeats this procedure until a local solution is found. This algorithm provides a good segmentation of our data and under most circumstances it is a sufficient method for partitioning data.</w:t>
      </w:r>
      <w:r w:rsidRPr="00304A3B">
        <w:rPr>
          <w:rStyle w:val="EndnoteReference"/>
          <w:rFonts w:ascii="Times New Roman" w:hAnsi="Times New Roman" w:cs="Times New Roman"/>
        </w:rPr>
        <w:endnoteReference w:id="113"/>
      </w:r>
      <w:r w:rsidRPr="00304A3B">
        <w:rPr>
          <w:rFonts w:ascii="Times New Roman" w:hAnsi="Times New Roman" w:cs="Times New Roman"/>
        </w:rPr>
        <w:t xml:space="preserve"> </w:t>
      </w:r>
      <w:r w:rsidR="00EC0CD0" w:rsidRPr="00304A3B">
        <w:rPr>
          <w:rFonts w:ascii="Times New Roman" w:hAnsi="Times New Roman" w:cs="Times New Roman"/>
        </w:rPr>
        <w:t xml:space="preserve">However k-means sometimes generates clusters with multiple observations, thus obscuring some of the closest economic relationships between metro areas. To improve </w:t>
      </w:r>
      <w:r w:rsidR="00EC0CD0" w:rsidRPr="00304A3B">
        <w:rPr>
          <w:rFonts w:ascii="Times New Roman" w:hAnsi="Times New Roman" w:cs="Times New Roman"/>
        </w:rPr>
        <w:lastRenderedPageBreak/>
        <w:t>the results of k-means we implemented a third step, hierarchical clustering, which follows a similar approach to k-means. Hierarchical clustering calculates Euclidean distances to all other observations, but generates a more granular clustering that permits clearer peer-to-peer comparison.</w:t>
      </w:r>
    </w:p>
    <w:p w14:paraId="43C04169" w14:textId="77777777" w:rsidR="00EC0CD0" w:rsidRPr="00304A3B" w:rsidRDefault="00EC0CD0" w:rsidP="00EC0CD0">
      <w:pPr>
        <w:spacing w:line="240" w:lineRule="auto"/>
        <w:contextualSpacing/>
        <w:rPr>
          <w:rFonts w:ascii="Times New Roman" w:hAnsi="Times New Roman" w:cs="Times New Roman"/>
        </w:rPr>
      </w:pPr>
    </w:p>
    <w:p w14:paraId="0F94DF93" w14:textId="77777777" w:rsidR="00EC0CD0" w:rsidRPr="00304A3B" w:rsidRDefault="00EC0CD0" w:rsidP="00EC0CD0">
      <w:pPr>
        <w:tabs>
          <w:tab w:val="left" w:pos="3131"/>
        </w:tabs>
        <w:spacing w:line="240" w:lineRule="auto"/>
        <w:contextualSpacing/>
        <w:rPr>
          <w:rFonts w:ascii="Times New Roman" w:hAnsi="Times New Roman" w:cs="Times New Roman"/>
        </w:rPr>
      </w:pPr>
      <w:r w:rsidRPr="00304A3B">
        <w:rPr>
          <w:rFonts w:ascii="Times New Roman" w:hAnsi="Times New Roman" w:cs="Times New Roman"/>
          <w:b/>
        </w:rPr>
        <w:t>Data sources</w:t>
      </w:r>
    </w:p>
    <w:p w14:paraId="5D51C884" w14:textId="77777777" w:rsidR="00EC0CD0" w:rsidRPr="00304A3B" w:rsidRDefault="00EC0CD0" w:rsidP="00EC0CD0">
      <w:pPr>
        <w:tabs>
          <w:tab w:val="left" w:pos="3131"/>
        </w:tabs>
        <w:spacing w:line="240" w:lineRule="auto"/>
        <w:contextualSpacing/>
        <w:rPr>
          <w:rFonts w:ascii="Times New Roman" w:hAnsi="Times New Roman" w:cs="Times New Roman"/>
        </w:rPr>
      </w:pPr>
    </w:p>
    <w:p w14:paraId="65E535C9" w14:textId="61ECB6A4" w:rsidR="00EC0CD0" w:rsidRPr="00304A3B" w:rsidRDefault="00A15AC9" w:rsidP="00A15AC9">
      <w:pPr>
        <w:tabs>
          <w:tab w:val="left" w:pos="3131"/>
        </w:tabs>
        <w:spacing w:line="240" w:lineRule="auto"/>
        <w:contextualSpacing/>
        <w:rPr>
          <w:rFonts w:ascii="Times New Roman" w:hAnsi="Times New Roman" w:cs="Times New Roman"/>
        </w:rPr>
      </w:pPr>
      <w:r w:rsidRPr="00304A3B">
        <w:rPr>
          <w:rFonts w:ascii="Times New Roman" w:hAnsi="Times New Roman" w:cs="Times New Roman"/>
          <w:b/>
        </w:rPr>
        <w:t>Oxford Economics:</w:t>
      </w:r>
      <w:r w:rsidRPr="00304A3B">
        <w:rPr>
          <w:rFonts w:ascii="Times New Roman" w:hAnsi="Times New Roman" w:cs="Times New Roman"/>
        </w:rPr>
        <w:t xml:space="preserve"> </w:t>
      </w:r>
      <w:r w:rsidR="00EC0CD0" w:rsidRPr="00304A3B">
        <w:rPr>
          <w:rFonts w:ascii="Times New Roman" w:hAnsi="Times New Roman" w:cs="Times New Roman"/>
        </w:rPr>
        <w:t xml:space="preserve">Economic indicators as well as selected indicators corresponding to talent for non-U.S. metropolitan areas were provided by Oxford Economics (OE). Economic variable such as GDP, Gross Value Added (GVA), employment, unemployment rates, educational attainment, and industry-level employment and output were collected by OE from national statistics bureaus in each country or from providers such as </w:t>
      </w:r>
      <w:proofErr w:type="spellStart"/>
      <w:r w:rsidR="00EC0CD0" w:rsidRPr="00304A3B">
        <w:rPr>
          <w:rFonts w:ascii="Times New Roman" w:hAnsi="Times New Roman" w:cs="Times New Roman"/>
        </w:rPr>
        <w:t>Haver</w:t>
      </w:r>
      <w:proofErr w:type="spellEnd"/>
      <w:r w:rsidR="00EC0CD0" w:rsidRPr="00304A3B">
        <w:rPr>
          <w:rFonts w:ascii="Times New Roman" w:hAnsi="Times New Roman" w:cs="Times New Roman"/>
        </w:rPr>
        <w:t>, ISI Emerging Markets, and Eurostat. Population estimates and the share of the foreign-born population were based on official population projections produced by national statistical agencies and or organizations such as Eurostat, adjusting migration assumptions on a case-by case basis. The study uses gross value added (GVA) and Gross Domestic Product (GDP) in nominal terms at purchasing power parity rates, and in real terms at 2009 prices and expressed in U.S. dollars. All the indicators were provided at the metropolitan level.</w:t>
      </w:r>
    </w:p>
    <w:p w14:paraId="254D50CA" w14:textId="77777777" w:rsidR="00EC0CD0" w:rsidRPr="00304A3B" w:rsidRDefault="00EC0CD0" w:rsidP="00EC0CD0">
      <w:pPr>
        <w:spacing w:after="0" w:line="240" w:lineRule="auto"/>
        <w:rPr>
          <w:rFonts w:ascii="Times New Roman" w:hAnsi="Times New Roman" w:cs="Times New Roman"/>
        </w:rPr>
      </w:pPr>
    </w:p>
    <w:p w14:paraId="576F1AF1" w14:textId="66A773C0" w:rsidR="00EC0CD0" w:rsidRPr="00304A3B" w:rsidRDefault="00A15AC9" w:rsidP="00EC0CD0">
      <w:pPr>
        <w:spacing w:after="0" w:line="240" w:lineRule="auto"/>
        <w:rPr>
          <w:rFonts w:ascii="Times New Roman" w:hAnsi="Times New Roman" w:cs="Times New Roman"/>
        </w:rPr>
      </w:pPr>
      <w:r w:rsidRPr="00304A3B">
        <w:rPr>
          <w:rFonts w:ascii="Times New Roman" w:hAnsi="Times New Roman" w:cs="Times New Roman"/>
          <w:b/>
        </w:rPr>
        <w:t>Moody’s Analytics:</w:t>
      </w:r>
      <w:r w:rsidRPr="00304A3B">
        <w:rPr>
          <w:rFonts w:ascii="Times New Roman" w:hAnsi="Times New Roman" w:cs="Times New Roman"/>
        </w:rPr>
        <w:t xml:space="preserve"> </w:t>
      </w:r>
      <w:r w:rsidR="00EC0CD0" w:rsidRPr="00304A3B">
        <w:rPr>
          <w:rFonts w:ascii="Times New Roman" w:hAnsi="Times New Roman" w:cs="Times New Roman"/>
        </w:rPr>
        <w:t>Economic indicators for U.S. metro areas were provided by Moody’s Analytics. Moody’s uses data published by the Bureau of Labor Statistics (BLS) and by the Bureau of Economic Analysis (BEA) to generate their estimates of employment and GDP at the county level. We aggregated those estimates to metropolitan areas using the current Census Bureau definition. For real GDP, both total and at the industry level, Moody’s provides 2009 chained dollars. For nominal analysis they report their estimates in current dollar.</w:t>
      </w:r>
    </w:p>
    <w:p w14:paraId="5C697E38" w14:textId="77777777" w:rsidR="00EC0CD0" w:rsidRPr="00304A3B" w:rsidRDefault="00EC0CD0" w:rsidP="00EC0CD0">
      <w:pPr>
        <w:tabs>
          <w:tab w:val="left" w:pos="3131"/>
        </w:tabs>
        <w:spacing w:line="240" w:lineRule="auto"/>
        <w:contextualSpacing/>
        <w:rPr>
          <w:rFonts w:ascii="Times New Roman" w:hAnsi="Times New Roman" w:cs="Times New Roman"/>
        </w:rPr>
      </w:pPr>
    </w:p>
    <w:p w14:paraId="795C9E92" w14:textId="2236FF5B" w:rsidR="00EC0CD0" w:rsidRPr="00304A3B" w:rsidRDefault="00A15AC9" w:rsidP="00A15AC9">
      <w:pPr>
        <w:tabs>
          <w:tab w:val="left" w:pos="3131"/>
        </w:tabs>
        <w:spacing w:line="240" w:lineRule="auto"/>
        <w:contextualSpacing/>
        <w:rPr>
          <w:rStyle w:val="Strong"/>
          <w:rFonts w:ascii="Times New Roman" w:hAnsi="Times New Roman" w:cs="Times New Roman"/>
          <w:b w:val="0"/>
          <w:bCs w:val="0"/>
        </w:rPr>
      </w:pPr>
      <w:r w:rsidRPr="00304A3B">
        <w:rPr>
          <w:rFonts w:ascii="Times New Roman" w:hAnsi="Times New Roman" w:cs="Times New Roman"/>
          <w:b/>
        </w:rPr>
        <w:t>U.S. Census Bureau:</w:t>
      </w:r>
      <w:r w:rsidRPr="00304A3B">
        <w:rPr>
          <w:rFonts w:ascii="Times New Roman" w:hAnsi="Times New Roman" w:cs="Times New Roman"/>
        </w:rPr>
        <w:t xml:space="preserve"> </w:t>
      </w:r>
      <w:r w:rsidR="00EC0CD0" w:rsidRPr="00304A3B">
        <w:rPr>
          <w:rFonts w:ascii="Times New Roman" w:hAnsi="Times New Roman" w:cs="Times New Roman"/>
        </w:rPr>
        <w:t xml:space="preserve">The indicators for talent for U.S. metro areas come from a variety of surveys published by the U.S. Census Bureau. The population estimates were created using </w:t>
      </w:r>
      <w:proofErr w:type="spellStart"/>
      <w:r w:rsidR="00EC0CD0" w:rsidRPr="00304A3B">
        <w:rPr>
          <w:rFonts w:ascii="Times New Roman" w:hAnsi="Times New Roman" w:cs="Times New Roman"/>
        </w:rPr>
        <w:t>intercensal</w:t>
      </w:r>
      <w:proofErr w:type="spellEnd"/>
      <w:r w:rsidR="00EC0CD0" w:rsidRPr="00304A3B">
        <w:rPr>
          <w:rFonts w:ascii="Times New Roman" w:hAnsi="Times New Roman" w:cs="Times New Roman"/>
        </w:rPr>
        <w:t xml:space="preserve"> population estimates at the county level and then aggregating those estimates to the metro level using the current definitions of metropolitan areas. For the foreign-born share of the population and unemployment rates, we utilized American Community Surveys at the county levels and aggregated them at the metropolitan level. The educational attainment variables were obtained through the Integrated Public Use Microdata Series platform (IPUMS) from the Minnesota Population Center. Data was built up from PUMA level microdata on the educational attainment and age of residents. These age intervals were utilized to comport with the internation</w:t>
      </w:r>
      <w:r w:rsidRPr="00304A3B">
        <w:rPr>
          <w:rFonts w:ascii="Times New Roman" w:hAnsi="Times New Roman" w:cs="Times New Roman"/>
        </w:rPr>
        <w:t xml:space="preserve">al education attainment levels. </w:t>
      </w:r>
      <w:r w:rsidR="00EC0CD0" w:rsidRPr="00304A3B">
        <w:rPr>
          <w:rStyle w:val="Strong"/>
          <w:rFonts w:ascii="Times New Roman" w:hAnsi="Times New Roman" w:cs="Times New Roman"/>
          <w:b w:val="0"/>
          <w:bdr w:val="none" w:sz="0" w:space="0" w:color="auto" w:frame="1"/>
          <w:shd w:val="clear" w:color="auto" w:fill="FFFFFF"/>
        </w:rPr>
        <w:t xml:space="preserve">For more information, see Steven </w:t>
      </w:r>
      <w:proofErr w:type="spellStart"/>
      <w:r w:rsidR="00EC0CD0" w:rsidRPr="00304A3B">
        <w:rPr>
          <w:rStyle w:val="Strong"/>
          <w:rFonts w:ascii="Times New Roman" w:hAnsi="Times New Roman" w:cs="Times New Roman"/>
          <w:b w:val="0"/>
          <w:bdr w:val="none" w:sz="0" w:space="0" w:color="auto" w:frame="1"/>
          <w:shd w:val="clear" w:color="auto" w:fill="FFFFFF"/>
        </w:rPr>
        <w:t>Ruggles</w:t>
      </w:r>
      <w:proofErr w:type="spellEnd"/>
      <w:r w:rsidR="00EC0CD0" w:rsidRPr="00304A3B">
        <w:rPr>
          <w:rStyle w:val="Strong"/>
          <w:rFonts w:ascii="Times New Roman" w:hAnsi="Times New Roman" w:cs="Times New Roman"/>
          <w:b w:val="0"/>
          <w:bdr w:val="none" w:sz="0" w:space="0" w:color="auto" w:frame="1"/>
          <w:shd w:val="clear" w:color="auto" w:fill="FFFFFF"/>
        </w:rPr>
        <w:t xml:space="preserve">, Katie </w:t>
      </w:r>
      <w:proofErr w:type="spellStart"/>
      <w:r w:rsidR="00EC0CD0" w:rsidRPr="00304A3B">
        <w:rPr>
          <w:rStyle w:val="Strong"/>
          <w:rFonts w:ascii="Times New Roman" w:hAnsi="Times New Roman" w:cs="Times New Roman"/>
          <w:b w:val="0"/>
          <w:bdr w:val="none" w:sz="0" w:space="0" w:color="auto" w:frame="1"/>
          <w:shd w:val="clear" w:color="auto" w:fill="FFFFFF"/>
        </w:rPr>
        <w:t>Genadek</w:t>
      </w:r>
      <w:proofErr w:type="spellEnd"/>
      <w:r w:rsidR="00EC0CD0" w:rsidRPr="00304A3B">
        <w:rPr>
          <w:rStyle w:val="Strong"/>
          <w:rFonts w:ascii="Times New Roman" w:hAnsi="Times New Roman" w:cs="Times New Roman"/>
          <w:b w:val="0"/>
          <w:bdr w:val="none" w:sz="0" w:space="0" w:color="auto" w:frame="1"/>
          <w:shd w:val="clear" w:color="auto" w:fill="FFFFFF"/>
        </w:rPr>
        <w:t xml:space="preserve">, Ronald </w:t>
      </w:r>
      <w:proofErr w:type="spellStart"/>
      <w:r w:rsidR="00EC0CD0" w:rsidRPr="00304A3B">
        <w:rPr>
          <w:rStyle w:val="Strong"/>
          <w:rFonts w:ascii="Times New Roman" w:hAnsi="Times New Roman" w:cs="Times New Roman"/>
          <w:b w:val="0"/>
          <w:bdr w:val="none" w:sz="0" w:space="0" w:color="auto" w:frame="1"/>
          <w:shd w:val="clear" w:color="auto" w:fill="FFFFFF"/>
        </w:rPr>
        <w:t>Goeken</w:t>
      </w:r>
      <w:proofErr w:type="spellEnd"/>
      <w:r w:rsidR="00EC0CD0" w:rsidRPr="00304A3B">
        <w:rPr>
          <w:rStyle w:val="Strong"/>
          <w:rFonts w:ascii="Times New Roman" w:hAnsi="Times New Roman" w:cs="Times New Roman"/>
          <w:b w:val="0"/>
          <w:bdr w:val="none" w:sz="0" w:space="0" w:color="auto" w:frame="1"/>
          <w:shd w:val="clear" w:color="auto" w:fill="FFFFFF"/>
        </w:rPr>
        <w:t xml:space="preserve">, Josiah Grover, and Matthew </w:t>
      </w:r>
      <w:proofErr w:type="spellStart"/>
      <w:r w:rsidR="00EC0CD0" w:rsidRPr="00304A3B">
        <w:rPr>
          <w:rStyle w:val="Strong"/>
          <w:rFonts w:ascii="Times New Roman" w:hAnsi="Times New Roman" w:cs="Times New Roman"/>
          <w:b w:val="0"/>
          <w:bdr w:val="none" w:sz="0" w:space="0" w:color="auto" w:frame="1"/>
          <w:shd w:val="clear" w:color="auto" w:fill="FFFFFF"/>
        </w:rPr>
        <w:t>Sobek</w:t>
      </w:r>
      <w:proofErr w:type="spellEnd"/>
      <w:r w:rsidR="00EC0CD0" w:rsidRPr="00304A3B">
        <w:rPr>
          <w:rStyle w:val="Strong"/>
          <w:rFonts w:ascii="Times New Roman" w:hAnsi="Times New Roman" w:cs="Times New Roman"/>
          <w:b w:val="0"/>
          <w:bdr w:val="none" w:sz="0" w:space="0" w:color="auto" w:frame="1"/>
          <w:shd w:val="clear" w:color="auto" w:fill="FFFFFF"/>
        </w:rPr>
        <w:t>.</w:t>
      </w:r>
      <w:r w:rsidR="00EC0CD0" w:rsidRPr="00304A3B">
        <w:rPr>
          <w:rStyle w:val="apple-converted-space"/>
          <w:rFonts w:ascii="Times New Roman" w:hAnsi="Times New Roman" w:cs="Times New Roman"/>
          <w:b/>
          <w:bdr w:val="none" w:sz="0" w:space="0" w:color="auto" w:frame="1"/>
          <w:shd w:val="clear" w:color="auto" w:fill="FFFFFF"/>
        </w:rPr>
        <w:t> </w:t>
      </w:r>
      <w:r w:rsidR="00EC0CD0" w:rsidRPr="00304A3B">
        <w:rPr>
          <w:rStyle w:val="Emphasis"/>
          <w:rFonts w:ascii="Times New Roman" w:hAnsi="Times New Roman" w:cs="Times New Roman"/>
          <w:bCs/>
          <w:bdr w:val="none" w:sz="0" w:space="0" w:color="auto" w:frame="1"/>
        </w:rPr>
        <w:t>Integrated Public Use Microdata Series: Version 6.0</w:t>
      </w:r>
      <w:r w:rsidR="00EC0CD0" w:rsidRPr="00304A3B">
        <w:rPr>
          <w:rStyle w:val="apple-converted-space"/>
          <w:rFonts w:ascii="Times New Roman" w:hAnsi="Times New Roman" w:cs="Times New Roman"/>
          <w:b/>
          <w:bdr w:val="none" w:sz="0" w:space="0" w:color="auto" w:frame="1"/>
          <w:shd w:val="clear" w:color="auto" w:fill="FFFFFF"/>
        </w:rPr>
        <w:t> </w:t>
      </w:r>
      <w:r w:rsidR="00EC0CD0" w:rsidRPr="00304A3B">
        <w:rPr>
          <w:rStyle w:val="Strong"/>
          <w:rFonts w:ascii="Times New Roman" w:hAnsi="Times New Roman" w:cs="Times New Roman"/>
          <w:b w:val="0"/>
          <w:bdr w:val="none" w:sz="0" w:space="0" w:color="auto" w:frame="1"/>
          <w:shd w:val="clear" w:color="auto" w:fill="FFFFFF"/>
        </w:rPr>
        <w:t>[Machine-readable database]. Minneapolis: University of Minnesota, 2015.</w:t>
      </w:r>
    </w:p>
    <w:p w14:paraId="713C3DF3" w14:textId="77777777" w:rsidR="00EC0CD0" w:rsidRPr="00304A3B" w:rsidRDefault="00EC0CD0" w:rsidP="00EC0CD0">
      <w:pPr>
        <w:spacing w:line="240" w:lineRule="auto"/>
        <w:contextualSpacing/>
        <w:rPr>
          <w:rFonts w:ascii="Times New Roman" w:hAnsi="Times New Roman" w:cs="Times New Roman"/>
        </w:rPr>
      </w:pPr>
    </w:p>
    <w:p w14:paraId="19043094" w14:textId="584C3BF1" w:rsidR="00EC0CD0" w:rsidRPr="00304A3B" w:rsidRDefault="00A15AC9" w:rsidP="00EC0CD0">
      <w:pPr>
        <w:spacing w:line="240" w:lineRule="auto"/>
        <w:contextualSpacing/>
        <w:rPr>
          <w:rFonts w:ascii="Times New Roman" w:hAnsi="Times New Roman" w:cs="Times New Roman"/>
        </w:rPr>
      </w:pPr>
      <w:r w:rsidRPr="00304A3B">
        <w:rPr>
          <w:rFonts w:ascii="Times New Roman" w:hAnsi="Times New Roman" w:cs="Times New Roman"/>
          <w:b/>
        </w:rPr>
        <w:t>REGPAT:</w:t>
      </w:r>
      <w:r w:rsidRPr="00304A3B">
        <w:rPr>
          <w:rFonts w:ascii="Times New Roman" w:hAnsi="Times New Roman" w:cs="Times New Roman"/>
        </w:rPr>
        <w:t xml:space="preserve"> </w:t>
      </w:r>
      <w:r w:rsidR="00EC0CD0" w:rsidRPr="00304A3B">
        <w:rPr>
          <w:rFonts w:ascii="Times New Roman" w:hAnsi="Times New Roman" w:cs="Times New Roman"/>
        </w:rPr>
        <w:t xml:space="preserve">The source of the patents data is the OECD’s REGPAT database. The OECD manages this database as part of the Patent Cooperation Treaty, which offers patent protection to organizations and individuals planning to do business in multiple countries. A number of research decisions went into the construction of the patent estimates. Patent locations correspond to the inventor’s place of residence or workplace. In cases when there are multiple inventors, the patent was fractionally-counted and apportioned in equal shares to each co-inventor. Patents that fall under multiple International Patent Classification (IPC) technology codes were also apportioned in equal shares to each technology class in order to account for the cross-cutting nature of technological development. To mitigate year-to-year fluctuations in invention activity, patents were summed in five-year intervals. The time dimensions </w:t>
      </w:r>
      <w:r w:rsidR="009F40D7" w:rsidRPr="00304A3B">
        <w:rPr>
          <w:rFonts w:ascii="Times New Roman" w:hAnsi="Times New Roman" w:cs="Times New Roman"/>
        </w:rPr>
        <w:t>represent</w:t>
      </w:r>
      <w:r w:rsidR="00EC0CD0" w:rsidRPr="00304A3B">
        <w:rPr>
          <w:rFonts w:ascii="Times New Roman" w:hAnsi="Times New Roman" w:cs="Times New Roman"/>
        </w:rPr>
        <w:t xml:space="preserve"> the “priority year” when the patent was first filed. This year is closest to the actual date of invention and is the most relevant reference date when assessing an areas technological activity at a specific point in time. Since patent filing is a costly and administratively burdensome process the analysis excludes patents submitted in 2013 and 2014 since patents filed in these years only account for a portion of patents actually invented and may bias places and organizations with better systems for shortening lag time between the date of inve</w:t>
      </w:r>
      <w:r w:rsidRPr="00304A3B">
        <w:rPr>
          <w:rFonts w:ascii="Times New Roman" w:hAnsi="Times New Roman" w:cs="Times New Roman"/>
        </w:rPr>
        <w:t xml:space="preserve">ntion and the application year. </w:t>
      </w:r>
      <w:r w:rsidR="00EC0CD0" w:rsidRPr="00304A3B">
        <w:rPr>
          <w:rFonts w:ascii="Times New Roman" w:hAnsi="Times New Roman" w:cs="Times New Roman"/>
        </w:rPr>
        <w:t xml:space="preserve">For more information see </w:t>
      </w:r>
      <w:proofErr w:type="spellStart"/>
      <w:r w:rsidR="00EC0CD0" w:rsidRPr="00304A3B">
        <w:rPr>
          <w:rFonts w:ascii="Times New Roman" w:hAnsi="Times New Roman" w:cs="Times New Roman"/>
        </w:rPr>
        <w:t>Maraut</w:t>
      </w:r>
      <w:proofErr w:type="spellEnd"/>
      <w:r w:rsidR="00EC0CD0" w:rsidRPr="00304A3B">
        <w:rPr>
          <w:rFonts w:ascii="Times New Roman" w:hAnsi="Times New Roman" w:cs="Times New Roman"/>
        </w:rPr>
        <w:t xml:space="preserve">, Stephane. </w:t>
      </w:r>
      <w:proofErr w:type="gramStart"/>
      <w:r w:rsidR="00EC0CD0" w:rsidRPr="00304A3B">
        <w:rPr>
          <w:rFonts w:ascii="Times New Roman" w:hAnsi="Times New Roman" w:cs="Times New Roman"/>
        </w:rPr>
        <w:lastRenderedPageBreak/>
        <w:t xml:space="preserve">Helene </w:t>
      </w:r>
      <w:proofErr w:type="spellStart"/>
      <w:r w:rsidR="00EC0CD0" w:rsidRPr="00304A3B">
        <w:rPr>
          <w:rFonts w:ascii="Times New Roman" w:hAnsi="Times New Roman" w:cs="Times New Roman"/>
        </w:rPr>
        <w:t>Dernis</w:t>
      </w:r>
      <w:proofErr w:type="spellEnd"/>
      <w:r w:rsidR="00EC0CD0" w:rsidRPr="00304A3B">
        <w:rPr>
          <w:rFonts w:ascii="Times New Roman" w:hAnsi="Times New Roman" w:cs="Times New Roman"/>
        </w:rPr>
        <w:t xml:space="preserve">, Colin Webb, Vincenzo </w:t>
      </w:r>
      <w:proofErr w:type="spellStart"/>
      <w:r w:rsidR="00EC0CD0" w:rsidRPr="00304A3B">
        <w:rPr>
          <w:rFonts w:ascii="Times New Roman" w:hAnsi="Times New Roman" w:cs="Times New Roman"/>
        </w:rPr>
        <w:t>Spiezia</w:t>
      </w:r>
      <w:proofErr w:type="spellEnd"/>
      <w:r w:rsidR="00EC0CD0" w:rsidRPr="00304A3B">
        <w:rPr>
          <w:rFonts w:ascii="Times New Roman" w:hAnsi="Times New Roman" w:cs="Times New Roman"/>
        </w:rPr>
        <w:t xml:space="preserve">, and Dominique </w:t>
      </w:r>
      <w:proofErr w:type="spellStart"/>
      <w:r w:rsidR="00EC0CD0" w:rsidRPr="00304A3B">
        <w:rPr>
          <w:rFonts w:ascii="Times New Roman" w:hAnsi="Times New Roman" w:cs="Times New Roman"/>
        </w:rPr>
        <w:t>Guellec</w:t>
      </w:r>
      <w:proofErr w:type="spellEnd"/>
      <w:r w:rsidR="00EC0CD0" w:rsidRPr="00304A3B">
        <w:rPr>
          <w:rFonts w:ascii="Times New Roman" w:hAnsi="Times New Roman" w:cs="Times New Roman"/>
        </w:rPr>
        <w:t>.</w:t>
      </w:r>
      <w:proofErr w:type="gramEnd"/>
      <w:r w:rsidR="00EC0CD0" w:rsidRPr="00304A3B">
        <w:rPr>
          <w:rFonts w:ascii="Times New Roman" w:hAnsi="Times New Roman" w:cs="Times New Roman"/>
        </w:rPr>
        <w:t xml:space="preserve"> 2008. “The OECD REGPAT Database: A Presentation.” June 3, 2008.</w:t>
      </w:r>
    </w:p>
    <w:p w14:paraId="50C8646C" w14:textId="77777777" w:rsidR="00EC0CD0" w:rsidRPr="00304A3B" w:rsidRDefault="00142F9D" w:rsidP="00EC0CD0">
      <w:pPr>
        <w:spacing w:line="240" w:lineRule="auto"/>
        <w:contextualSpacing/>
        <w:rPr>
          <w:rFonts w:ascii="Times New Roman" w:hAnsi="Times New Roman" w:cs="Times New Roman"/>
        </w:rPr>
      </w:pPr>
      <w:hyperlink r:id="rId10" w:history="1">
        <w:r w:rsidR="00EC0CD0" w:rsidRPr="00304A3B">
          <w:rPr>
            <w:rStyle w:val="Hyperlink"/>
            <w:rFonts w:ascii="Times New Roman" w:hAnsi="Times New Roman" w:cs="Times New Roman"/>
            <w:color w:val="auto"/>
          </w:rPr>
          <w:t>http://www.oecd.org/sti/inno/40794372.pdf</w:t>
        </w:r>
      </w:hyperlink>
    </w:p>
    <w:p w14:paraId="32C16817" w14:textId="77777777" w:rsidR="00EC0CD0" w:rsidRPr="00304A3B" w:rsidRDefault="00EC0CD0" w:rsidP="00EC0CD0">
      <w:pPr>
        <w:spacing w:line="240" w:lineRule="auto"/>
        <w:contextualSpacing/>
        <w:rPr>
          <w:rFonts w:ascii="Times New Roman" w:hAnsi="Times New Roman" w:cs="Times New Roman"/>
        </w:rPr>
      </w:pPr>
    </w:p>
    <w:p w14:paraId="035B7ED8" w14:textId="57522B3A" w:rsidR="00EC0CD0" w:rsidRPr="00304A3B" w:rsidRDefault="00A15AC9" w:rsidP="00EC0CD0">
      <w:pPr>
        <w:spacing w:line="240" w:lineRule="auto"/>
        <w:contextualSpacing/>
        <w:rPr>
          <w:rFonts w:ascii="Times New Roman" w:hAnsi="Times New Roman" w:cs="Times New Roman"/>
        </w:rPr>
      </w:pPr>
      <w:r w:rsidRPr="00304A3B">
        <w:rPr>
          <w:rFonts w:ascii="Times New Roman" w:hAnsi="Times New Roman" w:cs="Times New Roman"/>
          <w:b/>
        </w:rPr>
        <w:t>Leiden:</w:t>
      </w:r>
      <w:r w:rsidRPr="00304A3B">
        <w:rPr>
          <w:rFonts w:ascii="Times New Roman" w:hAnsi="Times New Roman" w:cs="Times New Roman"/>
        </w:rPr>
        <w:t xml:space="preserve"> </w:t>
      </w:r>
      <w:r w:rsidR="00EC0CD0" w:rsidRPr="00304A3B">
        <w:rPr>
          <w:rFonts w:ascii="Times New Roman" w:hAnsi="Times New Roman" w:cs="Times New Roman"/>
        </w:rPr>
        <w:t xml:space="preserve">The source of the university scientific impact data is the Centre for Science and Technology Studies (CWTS) at Leiden University. This publically available database tracks bibliometric performance data for 750 universities with the largest publication output in internationally recognized journals. The database relies on the Thomson Reuters Web of Science citations indices which researchers cleansed, geocoded, and classified into fields of study. CWTS reports publications based on full-counting methods which gives equal weight to all publications from a university and fractionally-counting methods which apportion shares to each collaborator. Brookings’ analysts focused on fully-counted publications and aggregated the raw university-level citations data into metro-level estimates (see geocoding section below). Mean citation scores were aggregated based on the metro average weighted according to university-level publication count. Brookings analysis primarily focused on two measures. First, the mean normalized citation score is the average number of citations of the publications of a university, normalized for field differences and publication year. A value of two for instance means that the publications of a university have been cited twice above world average. Second, the percent of publication in the top ten percent most cited is the proportion of the publications of a university </w:t>
      </w:r>
      <w:proofErr w:type="gramStart"/>
      <w:r w:rsidR="00EC0CD0" w:rsidRPr="00304A3B">
        <w:rPr>
          <w:rFonts w:ascii="Times New Roman" w:hAnsi="Times New Roman" w:cs="Times New Roman"/>
        </w:rPr>
        <w:t>that,</w:t>
      </w:r>
      <w:proofErr w:type="gramEnd"/>
      <w:r w:rsidR="00EC0CD0" w:rsidRPr="00304A3B">
        <w:rPr>
          <w:rFonts w:ascii="Times New Roman" w:hAnsi="Times New Roman" w:cs="Times New Roman"/>
        </w:rPr>
        <w:t xml:space="preserve"> compared with other publications in the same field and in the same year, belong to the top ten </w:t>
      </w:r>
      <w:r w:rsidRPr="00304A3B">
        <w:rPr>
          <w:rFonts w:ascii="Times New Roman" w:hAnsi="Times New Roman" w:cs="Times New Roman"/>
        </w:rPr>
        <w:t xml:space="preserve">percent most frequently cited. </w:t>
      </w:r>
      <w:r w:rsidR="00EC0CD0" w:rsidRPr="00304A3B">
        <w:rPr>
          <w:rFonts w:ascii="Times New Roman" w:hAnsi="Times New Roman" w:cs="Times New Roman"/>
        </w:rPr>
        <w:t xml:space="preserve">For more information see </w:t>
      </w:r>
      <w:proofErr w:type="spellStart"/>
      <w:r w:rsidR="00EC0CD0" w:rsidRPr="00304A3B">
        <w:rPr>
          <w:rFonts w:ascii="Times New Roman" w:hAnsi="Times New Roman" w:cs="Times New Roman"/>
        </w:rPr>
        <w:t>Waltman</w:t>
      </w:r>
      <w:proofErr w:type="spellEnd"/>
      <w:r w:rsidR="00EC0CD0" w:rsidRPr="00304A3B">
        <w:rPr>
          <w:rFonts w:ascii="Times New Roman" w:hAnsi="Times New Roman" w:cs="Times New Roman"/>
        </w:rPr>
        <w:t xml:space="preserve">, L., </w:t>
      </w:r>
      <w:proofErr w:type="spellStart"/>
      <w:r w:rsidR="00EC0CD0" w:rsidRPr="00304A3B">
        <w:rPr>
          <w:rFonts w:ascii="Times New Roman" w:hAnsi="Times New Roman" w:cs="Times New Roman"/>
        </w:rPr>
        <w:t>Calero</w:t>
      </w:r>
      <w:proofErr w:type="spellEnd"/>
      <w:r w:rsidR="00EC0CD0" w:rsidRPr="00304A3B">
        <w:rPr>
          <w:rFonts w:ascii="Times New Roman" w:hAnsi="Times New Roman" w:cs="Times New Roman"/>
        </w:rPr>
        <w:t xml:space="preserve">-Medina, C., </w:t>
      </w:r>
      <w:proofErr w:type="spellStart"/>
      <w:r w:rsidR="00EC0CD0" w:rsidRPr="00304A3B">
        <w:rPr>
          <w:rFonts w:ascii="Times New Roman" w:hAnsi="Times New Roman" w:cs="Times New Roman"/>
        </w:rPr>
        <w:t>Kosten</w:t>
      </w:r>
      <w:proofErr w:type="spellEnd"/>
      <w:r w:rsidR="00EC0CD0" w:rsidRPr="00304A3B">
        <w:rPr>
          <w:rFonts w:ascii="Times New Roman" w:hAnsi="Times New Roman" w:cs="Times New Roman"/>
        </w:rPr>
        <w:t xml:space="preserve">, J., </w:t>
      </w:r>
      <w:proofErr w:type="spellStart"/>
      <w:r w:rsidR="00EC0CD0" w:rsidRPr="00304A3B">
        <w:rPr>
          <w:rFonts w:ascii="Times New Roman" w:hAnsi="Times New Roman" w:cs="Times New Roman"/>
        </w:rPr>
        <w:t>Noyons</w:t>
      </w:r>
      <w:proofErr w:type="spellEnd"/>
      <w:r w:rsidR="00EC0CD0" w:rsidRPr="00304A3B">
        <w:rPr>
          <w:rFonts w:ascii="Times New Roman" w:hAnsi="Times New Roman" w:cs="Times New Roman"/>
        </w:rPr>
        <w:t xml:space="preserve">, E.C.M., </w:t>
      </w:r>
      <w:proofErr w:type="spellStart"/>
      <w:r w:rsidR="00EC0CD0" w:rsidRPr="00304A3B">
        <w:rPr>
          <w:rFonts w:ascii="Times New Roman" w:hAnsi="Times New Roman" w:cs="Times New Roman"/>
        </w:rPr>
        <w:t>Tijssen</w:t>
      </w:r>
      <w:proofErr w:type="spellEnd"/>
      <w:r w:rsidR="00EC0CD0" w:rsidRPr="00304A3B">
        <w:rPr>
          <w:rFonts w:ascii="Times New Roman" w:hAnsi="Times New Roman" w:cs="Times New Roman"/>
        </w:rPr>
        <w:t xml:space="preserve">, R.J.W., Van Eck, N.J., Van </w:t>
      </w:r>
      <w:proofErr w:type="spellStart"/>
      <w:r w:rsidR="00EC0CD0" w:rsidRPr="00304A3B">
        <w:rPr>
          <w:rFonts w:ascii="Times New Roman" w:hAnsi="Times New Roman" w:cs="Times New Roman"/>
        </w:rPr>
        <w:t>Leeuwen</w:t>
      </w:r>
      <w:proofErr w:type="spellEnd"/>
      <w:r w:rsidR="00EC0CD0" w:rsidRPr="00304A3B">
        <w:rPr>
          <w:rFonts w:ascii="Times New Roman" w:hAnsi="Times New Roman" w:cs="Times New Roman"/>
        </w:rPr>
        <w:t xml:space="preserve">, T.N., Van </w:t>
      </w:r>
      <w:proofErr w:type="spellStart"/>
      <w:r w:rsidR="00EC0CD0" w:rsidRPr="00304A3B">
        <w:rPr>
          <w:rFonts w:ascii="Times New Roman" w:hAnsi="Times New Roman" w:cs="Times New Roman"/>
        </w:rPr>
        <w:t>Raan</w:t>
      </w:r>
      <w:proofErr w:type="spellEnd"/>
      <w:r w:rsidR="00EC0CD0" w:rsidRPr="00304A3B">
        <w:rPr>
          <w:rFonts w:ascii="Times New Roman" w:hAnsi="Times New Roman" w:cs="Times New Roman"/>
        </w:rPr>
        <w:t xml:space="preserve">, A.F.J., </w:t>
      </w:r>
      <w:proofErr w:type="spellStart"/>
      <w:r w:rsidR="00EC0CD0" w:rsidRPr="00304A3B">
        <w:rPr>
          <w:rFonts w:ascii="Times New Roman" w:hAnsi="Times New Roman" w:cs="Times New Roman"/>
        </w:rPr>
        <w:t>Visser</w:t>
      </w:r>
      <w:proofErr w:type="spellEnd"/>
      <w:r w:rsidR="00EC0CD0" w:rsidRPr="00304A3B">
        <w:rPr>
          <w:rFonts w:ascii="Times New Roman" w:hAnsi="Times New Roman" w:cs="Times New Roman"/>
        </w:rPr>
        <w:t xml:space="preserve">, M.S., &amp; </w:t>
      </w:r>
      <w:proofErr w:type="spellStart"/>
      <w:r w:rsidR="00EC0CD0" w:rsidRPr="00304A3B">
        <w:rPr>
          <w:rFonts w:ascii="Times New Roman" w:hAnsi="Times New Roman" w:cs="Times New Roman"/>
        </w:rPr>
        <w:t>Wouters</w:t>
      </w:r>
      <w:proofErr w:type="spellEnd"/>
      <w:r w:rsidR="00EC0CD0" w:rsidRPr="00304A3B">
        <w:rPr>
          <w:rFonts w:ascii="Times New Roman" w:hAnsi="Times New Roman" w:cs="Times New Roman"/>
        </w:rPr>
        <w:t xml:space="preserve">, P. (2012). The Leiden Ranking 2011/2012: Data collection, indicators, and interpretation. Journal of the American Society for Information Science and Technology, 63(12), 2419–2432. </w:t>
      </w:r>
      <w:hyperlink r:id="rId11" w:history="1">
        <w:r w:rsidR="00EC0CD0" w:rsidRPr="00304A3B">
          <w:rPr>
            <w:rStyle w:val="Hyperlink"/>
            <w:rFonts w:ascii="Times New Roman" w:hAnsi="Times New Roman" w:cs="Times New Roman"/>
            <w:color w:val="auto"/>
          </w:rPr>
          <w:t>http://www.leidenranking.com/methodology</w:t>
        </w:r>
      </w:hyperlink>
    </w:p>
    <w:p w14:paraId="681DE5CE" w14:textId="77777777" w:rsidR="00EC0CD0" w:rsidRPr="00304A3B" w:rsidRDefault="00EC0CD0" w:rsidP="00EC0CD0">
      <w:pPr>
        <w:spacing w:line="240" w:lineRule="auto"/>
        <w:contextualSpacing/>
        <w:rPr>
          <w:rFonts w:ascii="Times New Roman" w:hAnsi="Times New Roman" w:cs="Times New Roman"/>
        </w:rPr>
      </w:pPr>
    </w:p>
    <w:p w14:paraId="35F4F1BC" w14:textId="1E5BA59B" w:rsidR="00EC0CD0" w:rsidRPr="00304A3B" w:rsidRDefault="00A15AC9" w:rsidP="00EC0CD0">
      <w:pPr>
        <w:spacing w:line="240" w:lineRule="auto"/>
        <w:contextualSpacing/>
        <w:rPr>
          <w:rFonts w:ascii="Times New Roman" w:hAnsi="Times New Roman" w:cs="Times New Roman"/>
        </w:rPr>
      </w:pPr>
      <w:proofErr w:type="spellStart"/>
      <w:r w:rsidRPr="00304A3B">
        <w:rPr>
          <w:rFonts w:ascii="Times New Roman" w:hAnsi="Times New Roman" w:cs="Times New Roman"/>
          <w:b/>
        </w:rPr>
        <w:t>PitchBook</w:t>
      </w:r>
      <w:proofErr w:type="gramStart"/>
      <w:r w:rsidRPr="00304A3B">
        <w:rPr>
          <w:rFonts w:ascii="Times New Roman" w:hAnsi="Times New Roman" w:cs="Times New Roman"/>
          <w:b/>
        </w:rPr>
        <w:t>:</w:t>
      </w:r>
      <w:r w:rsidR="00EC0CD0" w:rsidRPr="00304A3B">
        <w:rPr>
          <w:rFonts w:ascii="Times New Roman" w:hAnsi="Times New Roman" w:cs="Times New Roman"/>
        </w:rPr>
        <w:t>The</w:t>
      </w:r>
      <w:proofErr w:type="spellEnd"/>
      <w:proofErr w:type="gramEnd"/>
      <w:r w:rsidR="00EC0CD0" w:rsidRPr="00304A3B">
        <w:rPr>
          <w:rFonts w:ascii="Times New Roman" w:hAnsi="Times New Roman" w:cs="Times New Roman"/>
        </w:rPr>
        <w:t xml:space="preserve"> source of the venture capital data is </w:t>
      </w:r>
      <w:proofErr w:type="spellStart"/>
      <w:r w:rsidR="00EC0CD0" w:rsidRPr="00304A3B">
        <w:rPr>
          <w:rFonts w:ascii="Times New Roman" w:hAnsi="Times New Roman" w:cs="Times New Roman"/>
        </w:rPr>
        <w:t>PitchBook</w:t>
      </w:r>
      <w:proofErr w:type="spellEnd"/>
      <w:r w:rsidR="00EC0CD0" w:rsidRPr="00304A3B">
        <w:rPr>
          <w:rFonts w:ascii="Times New Roman" w:hAnsi="Times New Roman" w:cs="Times New Roman"/>
        </w:rPr>
        <w:t xml:space="preserve">, a private financial research firm that collects and tracks global private equity activity. </w:t>
      </w:r>
      <w:proofErr w:type="spellStart"/>
      <w:r w:rsidR="00EC0CD0" w:rsidRPr="00304A3B">
        <w:rPr>
          <w:rFonts w:ascii="Times New Roman" w:hAnsi="Times New Roman" w:cs="Times New Roman"/>
        </w:rPr>
        <w:t>Pitchbook</w:t>
      </w:r>
      <w:proofErr w:type="spellEnd"/>
      <w:r w:rsidR="00EC0CD0" w:rsidRPr="00304A3B">
        <w:rPr>
          <w:rFonts w:ascii="Times New Roman" w:hAnsi="Times New Roman" w:cs="Times New Roman"/>
        </w:rPr>
        <w:t xml:space="preserve"> analysts deploy web crawlers to perform a</w:t>
      </w:r>
      <w:r w:rsidR="00EC0CD0" w:rsidRPr="00304A3B">
        <w:rPr>
          <w:rFonts w:ascii="Times New Roman" w:hAnsi="Times New Roman" w:cs="Times New Roman"/>
          <w:shd w:val="clear" w:color="auto" w:fill="FFFFFF"/>
        </w:rPr>
        <w:t xml:space="preserve"> daily systematic scan of media reports and public filing information on deals which they then record and validate through a manual review process. In assembling their database they include address level data for both investors and recipient companies, industry, investor details along with the deal value. Brookings’ analysts took the data and then assigned the investors and recipients to metropolitan geographies </w:t>
      </w:r>
      <w:r w:rsidR="00EC0CD0" w:rsidRPr="00304A3B">
        <w:rPr>
          <w:rFonts w:ascii="Times New Roman" w:hAnsi="Times New Roman" w:cs="Times New Roman"/>
        </w:rPr>
        <w:t>(see geocoding section below)</w:t>
      </w:r>
      <w:r w:rsidR="00EC0CD0" w:rsidRPr="00304A3B">
        <w:rPr>
          <w:rFonts w:ascii="Times New Roman" w:hAnsi="Times New Roman" w:cs="Times New Roman"/>
          <w:shd w:val="clear" w:color="auto" w:fill="FFFFFF"/>
        </w:rPr>
        <w:t>. The primary statistic in the analysis is the cumulative stock of venture capital which is the sum total of year-to-year investment flows. Secondary statistics examine the number of investors and companies along with data between different geographies, deal categories, and industries. The advanced industries classification is an approximate grouping based of detailed industry categories matched to Brookings’ NAICS-based definition. All value measures were inflation-adjusted to 2014 dollars.</w:t>
      </w:r>
      <w:r w:rsidRPr="00304A3B">
        <w:rPr>
          <w:rFonts w:ascii="Times New Roman" w:hAnsi="Times New Roman" w:cs="Times New Roman"/>
        </w:rPr>
        <w:t xml:space="preserve"> </w:t>
      </w:r>
      <w:r w:rsidR="00EC0CD0" w:rsidRPr="00304A3B">
        <w:rPr>
          <w:rFonts w:ascii="Times New Roman" w:hAnsi="Times New Roman" w:cs="Times New Roman"/>
          <w:shd w:val="clear" w:color="auto" w:fill="FFFFFF"/>
        </w:rPr>
        <w:t xml:space="preserve">For more information see PitchBook.com </w:t>
      </w:r>
      <w:hyperlink r:id="rId12" w:history="1">
        <w:r w:rsidR="00EC0CD0" w:rsidRPr="00304A3B">
          <w:rPr>
            <w:rStyle w:val="Hyperlink"/>
            <w:rFonts w:ascii="Times New Roman" w:hAnsi="Times New Roman" w:cs="Times New Roman"/>
            <w:color w:val="auto"/>
          </w:rPr>
          <w:t>http://blog.pitchbook.com/wp-content/uploads/2014/06/3Q-2014-PE-Breakdown-Methodology.pdf</w:t>
        </w:r>
      </w:hyperlink>
    </w:p>
    <w:p w14:paraId="10EA9B75" w14:textId="77777777" w:rsidR="00EC0CD0" w:rsidRPr="00304A3B" w:rsidRDefault="00EC0CD0" w:rsidP="00EC0CD0">
      <w:pPr>
        <w:spacing w:line="240" w:lineRule="auto"/>
        <w:contextualSpacing/>
        <w:rPr>
          <w:rFonts w:ascii="Times New Roman" w:hAnsi="Times New Roman" w:cs="Times New Roman"/>
        </w:rPr>
      </w:pPr>
    </w:p>
    <w:p w14:paraId="13B4E306" w14:textId="5C4C4B32" w:rsidR="00EC0CD0" w:rsidRPr="00304A3B" w:rsidRDefault="00EC0CD0" w:rsidP="00EC0CD0">
      <w:pPr>
        <w:spacing w:line="240" w:lineRule="auto"/>
        <w:contextualSpacing/>
        <w:rPr>
          <w:rFonts w:ascii="Times New Roman" w:hAnsi="Times New Roman" w:cs="Times New Roman"/>
        </w:rPr>
      </w:pPr>
      <w:r w:rsidRPr="00304A3B">
        <w:rPr>
          <w:rFonts w:ascii="Times New Roman" w:hAnsi="Times New Roman" w:cs="Times New Roman"/>
          <w:b/>
        </w:rPr>
        <w:t>Net Index:</w:t>
      </w:r>
      <w:r w:rsidR="00A15AC9" w:rsidRPr="00304A3B">
        <w:rPr>
          <w:rFonts w:ascii="Times New Roman" w:hAnsi="Times New Roman" w:cs="Times New Roman"/>
          <w:b/>
        </w:rPr>
        <w:t xml:space="preserve"> </w:t>
      </w:r>
      <w:r w:rsidRPr="00304A3B">
        <w:rPr>
          <w:rFonts w:ascii="Times New Roman" w:hAnsi="Times New Roman" w:cs="Times New Roman"/>
        </w:rPr>
        <w:t xml:space="preserve">The source of the internet download speed data is </w:t>
      </w:r>
      <w:proofErr w:type="spellStart"/>
      <w:r w:rsidRPr="00304A3B">
        <w:rPr>
          <w:rFonts w:ascii="Times New Roman" w:hAnsi="Times New Roman" w:cs="Times New Roman"/>
        </w:rPr>
        <w:t>Ookla’s</w:t>
      </w:r>
      <w:proofErr w:type="spellEnd"/>
      <w:r w:rsidRPr="00304A3B">
        <w:rPr>
          <w:rFonts w:ascii="Times New Roman" w:hAnsi="Times New Roman" w:cs="Times New Roman"/>
        </w:rPr>
        <w:t xml:space="preserve"> “Net Index” (now rebranded as “</w:t>
      </w:r>
      <w:proofErr w:type="spellStart"/>
      <w:r w:rsidRPr="00304A3B">
        <w:rPr>
          <w:rFonts w:ascii="Times New Roman" w:hAnsi="Times New Roman" w:cs="Times New Roman"/>
        </w:rPr>
        <w:t>Speedtest</w:t>
      </w:r>
      <w:proofErr w:type="spellEnd"/>
      <w:r w:rsidRPr="00304A3B">
        <w:rPr>
          <w:rFonts w:ascii="Times New Roman" w:hAnsi="Times New Roman" w:cs="Times New Roman"/>
        </w:rPr>
        <w:t xml:space="preserve"> Intelligence”). </w:t>
      </w:r>
      <w:proofErr w:type="spellStart"/>
      <w:r w:rsidRPr="00304A3B">
        <w:rPr>
          <w:rFonts w:ascii="Times New Roman" w:hAnsi="Times New Roman" w:cs="Times New Roman"/>
        </w:rPr>
        <w:t>Ookla</w:t>
      </w:r>
      <w:proofErr w:type="spellEnd"/>
      <w:r w:rsidRPr="00304A3B">
        <w:rPr>
          <w:rFonts w:ascii="Times New Roman" w:hAnsi="Times New Roman" w:cs="Times New Roman"/>
        </w:rPr>
        <w:t xml:space="preserve"> is a web service that offers free internet speed tests to users as part of an internet intelligence business. The coverage is global in scope because the service relies upon user-submitted tests logged through the speedtest.net website that gauges internet speeds. </w:t>
      </w:r>
      <w:proofErr w:type="spellStart"/>
      <w:r w:rsidRPr="00304A3B">
        <w:rPr>
          <w:rFonts w:ascii="Times New Roman" w:hAnsi="Times New Roman" w:cs="Times New Roman"/>
        </w:rPr>
        <w:t>Ookla</w:t>
      </w:r>
      <w:proofErr w:type="spellEnd"/>
      <w:r w:rsidRPr="00304A3B">
        <w:rPr>
          <w:rFonts w:ascii="Times New Roman" w:hAnsi="Times New Roman" w:cs="Times New Roman"/>
        </w:rPr>
        <w:t xml:space="preserve"> reports the raw data at the city-level at the daily frequency which Brookings’ aggregated into annual metro-level averages weighted according to the number of tests in each city-day record (see geocoding section below). Since the data is crowd-sourced from users it may be susceptible to bias if users disproportionately share characteristics that diverge from the average internet user in their metro area. One reason to trust the data is that it is unlikely that this bias would systematically vary between metro areas so if there is a “slow” or “fast” bias it would likely affect all places equally. In addition, the vast majority of metros display normal distributions and the sample size is quite large with the average largest 100 metro areas by population </w:t>
      </w:r>
      <w:r w:rsidRPr="00304A3B">
        <w:rPr>
          <w:rFonts w:ascii="Times New Roman" w:hAnsi="Times New Roman" w:cs="Times New Roman"/>
        </w:rPr>
        <w:lastRenderedPageBreak/>
        <w:t>recording</w:t>
      </w:r>
      <w:r w:rsidR="00A15AC9" w:rsidRPr="00304A3B">
        <w:rPr>
          <w:rFonts w:ascii="Times New Roman" w:hAnsi="Times New Roman" w:cs="Times New Roman"/>
        </w:rPr>
        <w:t xml:space="preserve"> over 30 million tests in 2014. </w:t>
      </w:r>
      <w:r w:rsidRPr="00304A3B">
        <w:rPr>
          <w:rFonts w:ascii="Times New Roman" w:hAnsi="Times New Roman" w:cs="Times New Roman"/>
        </w:rPr>
        <w:t xml:space="preserve">For more information see Ookla.com </w:t>
      </w:r>
      <w:hyperlink r:id="rId13" w:history="1">
        <w:r w:rsidRPr="00304A3B">
          <w:rPr>
            <w:rStyle w:val="Hyperlink"/>
            <w:rFonts w:ascii="Times New Roman" w:hAnsi="Times New Roman" w:cs="Times New Roman"/>
            <w:color w:val="auto"/>
          </w:rPr>
          <w:t>https://www.ookla.com/speedtest-intelligence</w:t>
        </w:r>
      </w:hyperlink>
    </w:p>
    <w:p w14:paraId="1D7627E3" w14:textId="77777777" w:rsidR="00EC0CD0" w:rsidRPr="00304A3B" w:rsidRDefault="00EC0CD0" w:rsidP="00EC0CD0">
      <w:pPr>
        <w:spacing w:line="240" w:lineRule="auto"/>
        <w:contextualSpacing/>
        <w:rPr>
          <w:rFonts w:ascii="Times New Roman" w:hAnsi="Times New Roman" w:cs="Times New Roman"/>
        </w:rPr>
      </w:pPr>
    </w:p>
    <w:p w14:paraId="7DE9C587" w14:textId="68106B2E" w:rsidR="00EC0CD0" w:rsidRPr="00304A3B" w:rsidRDefault="00EC0CD0" w:rsidP="00EC0CD0">
      <w:pPr>
        <w:spacing w:line="240" w:lineRule="auto"/>
        <w:contextualSpacing/>
        <w:rPr>
          <w:rFonts w:ascii="Times New Roman" w:hAnsi="Times New Roman" w:cs="Times New Roman"/>
        </w:rPr>
      </w:pPr>
      <w:r w:rsidRPr="00304A3B">
        <w:rPr>
          <w:rFonts w:ascii="Times New Roman" w:hAnsi="Times New Roman" w:cs="Times New Roman"/>
          <w:b/>
        </w:rPr>
        <w:t>Sabre:</w:t>
      </w:r>
      <w:r w:rsidR="00A15AC9" w:rsidRPr="00304A3B">
        <w:rPr>
          <w:rFonts w:ascii="Times New Roman" w:hAnsi="Times New Roman" w:cs="Times New Roman"/>
          <w:b/>
        </w:rPr>
        <w:t xml:space="preserve"> </w:t>
      </w:r>
      <w:r w:rsidRPr="00304A3B">
        <w:rPr>
          <w:rFonts w:ascii="Times New Roman" w:hAnsi="Times New Roman" w:cs="Times New Roman"/>
        </w:rPr>
        <w:t xml:space="preserve">The source of the aviation data is Sabre Aviation Solutions’ global demand dataset (GDD). The dataset includes a record for every international itinerary entering and leaving the United States or any large global metro area with economies larger than $100 billion in 2014. Each record includes the origin and destination airports, plus up to three connecting airports with the number of passengers and total revenue generated from that specific itinerary for that year. The GDD is based on a variety of sources including information developed from direct business relations between Sabre and over 400 global airlines. For international itineraries not reflected in their database, Sabre imputes missing flights and passenger levels based on additional market data. The result is a complete dataset of travel into and out of major global aviation centers. Brookings’ performs a number of additional value-adds. These include: assigning all airports to global metropolitan areas (see geocoding section below), obtaining latitude and longitude coordinates to derive distance measures, cleansing anomalous records, and aggregating the passenger and revenue flows to better facilitate regional analysis. </w:t>
      </w:r>
      <w:r w:rsidRPr="00304A3B">
        <w:rPr>
          <w:rFonts w:ascii="Times New Roman" w:hAnsi="Times New Roman" w:cs="Times New Roman"/>
          <w:shd w:val="clear" w:color="auto" w:fill="FFFFFF"/>
        </w:rPr>
        <w:t>All value measures were inflation-adjusted to 2014 dollars.</w:t>
      </w:r>
      <w:r w:rsidR="00A15AC9" w:rsidRPr="00304A3B">
        <w:rPr>
          <w:rFonts w:ascii="Times New Roman" w:hAnsi="Times New Roman" w:cs="Times New Roman"/>
        </w:rPr>
        <w:t xml:space="preserve"> </w:t>
      </w:r>
      <w:r w:rsidRPr="00304A3B">
        <w:rPr>
          <w:rFonts w:ascii="Times New Roman" w:hAnsi="Times New Roman" w:cs="Times New Roman"/>
        </w:rPr>
        <w:t xml:space="preserve">For more information see </w:t>
      </w:r>
      <w:proofErr w:type="spellStart"/>
      <w:r w:rsidRPr="00304A3B">
        <w:rPr>
          <w:rFonts w:ascii="Times New Roman" w:hAnsi="Times New Roman" w:cs="Times New Roman"/>
        </w:rPr>
        <w:t>Tomer</w:t>
      </w:r>
      <w:proofErr w:type="spellEnd"/>
      <w:r w:rsidRPr="00304A3B">
        <w:rPr>
          <w:rFonts w:ascii="Times New Roman" w:hAnsi="Times New Roman" w:cs="Times New Roman"/>
        </w:rPr>
        <w:t xml:space="preserve">, Adie, Robert </w:t>
      </w:r>
      <w:proofErr w:type="spellStart"/>
      <w:r w:rsidRPr="00304A3B">
        <w:rPr>
          <w:rFonts w:ascii="Times New Roman" w:hAnsi="Times New Roman" w:cs="Times New Roman"/>
        </w:rPr>
        <w:t>Puentes</w:t>
      </w:r>
      <w:proofErr w:type="spellEnd"/>
      <w:r w:rsidRPr="00304A3B">
        <w:rPr>
          <w:rFonts w:ascii="Times New Roman" w:hAnsi="Times New Roman" w:cs="Times New Roman"/>
        </w:rPr>
        <w:t xml:space="preserve">, and Zachary Neal. 2012. “Global Gateways: International Aviation in Metropolitan America.” </w:t>
      </w:r>
      <w:proofErr w:type="gramStart"/>
      <w:r w:rsidRPr="00304A3B">
        <w:rPr>
          <w:rFonts w:ascii="Times New Roman" w:hAnsi="Times New Roman" w:cs="Times New Roman"/>
        </w:rPr>
        <w:t>Brookings Institution.</w:t>
      </w:r>
      <w:proofErr w:type="gramEnd"/>
      <w:r w:rsidRPr="00304A3B">
        <w:rPr>
          <w:rFonts w:ascii="Times New Roman" w:hAnsi="Times New Roman" w:cs="Times New Roman"/>
        </w:rPr>
        <w:t xml:space="preserve"> October 25, 2012.</w:t>
      </w:r>
    </w:p>
    <w:p w14:paraId="0C4BD889" w14:textId="77777777" w:rsidR="00EC0CD0" w:rsidRPr="00304A3B" w:rsidRDefault="00142F9D" w:rsidP="00EC0CD0">
      <w:pPr>
        <w:spacing w:line="240" w:lineRule="auto"/>
        <w:contextualSpacing/>
        <w:rPr>
          <w:rFonts w:ascii="Times New Roman" w:hAnsi="Times New Roman" w:cs="Times New Roman"/>
        </w:rPr>
      </w:pPr>
      <w:hyperlink r:id="rId14" w:history="1">
        <w:r w:rsidR="00EC0CD0" w:rsidRPr="00304A3B">
          <w:rPr>
            <w:rStyle w:val="Hyperlink"/>
            <w:rFonts w:ascii="Times New Roman" w:hAnsi="Times New Roman" w:cs="Times New Roman"/>
            <w:color w:val="auto"/>
          </w:rPr>
          <w:t>http://www.brookings.edu/~/media/research/files/reports/2012/10/25-global-aviation/25-global-aviation.pdf</w:t>
        </w:r>
      </w:hyperlink>
    </w:p>
    <w:p w14:paraId="54BEC96C" w14:textId="77777777" w:rsidR="00EC0CD0" w:rsidRPr="00304A3B" w:rsidRDefault="00EC0CD0" w:rsidP="00EC0CD0">
      <w:pPr>
        <w:spacing w:line="240" w:lineRule="auto"/>
        <w:contextualSpacing/>
        <w:rPr>
          <w:rFonts w:ascii="Times New Roman" w:hAnsi="Times New Roman" w:cs="Times New Roman"/>
        </w:rPr>
      </w:pPr>
    </w:p>
    <w:p w14:paraId="7B19AFD9" w14:textId="3C7D5578" w:rsidR="00EC0CD0" w:rsidRPr="00304A3B" w:rsidRDefault="00A15AC9" w:rsidP="00EC0CD0">
      <w:pPr>
        <w:spacing w:line="240" w:lineRule="auto"/>
        <w:contextualSpacing/>
        <w:rPr>
          <w:rStyle w:val="Hyperlink"/>
          <w:rFonts w:ascii="Times New Roman" w:hAnsi="Times New Roman" w:cs="Times New Roman"/>
          <w:color w:val="auto"/>
          <w:u w:val="none"/>
        </w:rPr>
      </w:pPr>
      <w:r w:rsidRPr="00304A3B">
        <w:rPr>
          <w:rFonts w:ascii="Times New Roman" w:hAnsi="Times New Roman" w:cs="Times New Roman"/>
          <w:b/>
        </w:rPr>
        <w:t>FDI Intelligence:</w:t>
      </w:r>
      <w:r w:rsidRPr="00304A3B">
        <w:rPr>
          <w:rFonts w:ascii="Times New Roman" w:hAnsi="Times New Roman" w:cs="Times New Roman"/>
        </w:rPr>
        <w:t xml:space="preserve"> </w:t>
      </w:r>
      <w:r w:rsidR="00EC0CD0" w:rsidRPr="00304A3B">
        <w:rPr>
          <w:rFonts w:ascii="Times New Roman" w:eastAsiaTheme="minorHAnsi" w:hAnsi="Times New Roman" w:cs="Times New Roman"/>
          <w:lang w:eastAsia="en-US"/>
        </w:rPr>
        <w:t xml:space="preserve">The source of the Greenfield FDI data is the Financial Time’s </w:t>
      </w:r>
      <w:proofErr w:type="spellStart"/>
      <w:r w:rsidR="00EC0CD0" w:rsidRPr="00304A3B">
        <w:rPr>
          <w:rFonts w:ascii="Times New Roman" w:eastAsiaTheme="minorHAnsi" w:hAnsi="Times New Roman" w:cs="Times New Roman"/>
          <w:lang w:eastAsia="en-US"/>
        </w:rPr>
        <w:t>fDi</w:t>
      </w:r>
      <w:proofErr w:type="spellEnd"/>
      <w:r w:rsidR="00EC0CD0" w:rsidRPr="00304A3B">
        <w:rPr>
          <w:rFonts w:ascii="Times New Roman" w:eastAsiaTheme="minorHAnsi" w:hAnsi="Times New Roman" w:cs="Times New Roman"/>
          <w:lang w:eastAsia="en-US"/>
        </w:rPr>
        <w:t xml:space="preserve"> Markets database. This database tracks all cross-border investment into new physical projects or expansions of an existing investment, otherwise known as “Greenfield” investment. Company announcements form the basis for the database and each submission is manually verified before being published. In cases when the capital investment and job counts are not publicly released, analysts impute the value invested and jobs created using an econometric model. The primary sources of the data are newswires, internal sources, top business journals, industry organizations, investment agencies, and data purchased from private vendors. Brookings’ analysts assigned metro areas to the city-level information available in the database and processed the flows between different investor and recipient geographies and industry levels. The preferred metric is the cumulative stock of FDI invested and jobs created over the reference period from 2009 to 2015. </w:t>
      </w:r>
      <w:r w:rsidR="00EC0CD0" w:rsidRPr="00304A3B">
        <w:rPr>
          <w:rFonts w:ascii="Times New Roman" w:hAnsi="Times New Roman" w:cs="Times New Roman"/>
          <w:shd w:val="clear" w:color="auto" w:fill="FFFFFF"/>
        </w:rPr>
        <w:t>All value measures were inflation-adjusted to 2014 dollars.</w:t>
      </w:r>
      <w:r w:rsidRPr="00304A3B">
        <w:rPr>
          <w:rFonts w:ascii="Times New Roman" w:hAnsi="Times New Roman" w:cs="Times New Roman"/>
        </w:rPr>
        <w:t xml:space="preserve"> </w:t>
      </w:r>
      <w:r w:rsidR="00EC0CD0" w:rsidRPr="00304A3B">
        <w:rPr>
          <w:rFonts w:ascii="Times New Roman" w:hAnsi="Times New Roman" w:cs="Times New Roman"/>
        </w:rPr>
        <w:t xml:space="preserve">For more information see </w:t>
      </w:r>
      <w:proofErr w:type="spellStart"/>
      <w:r w:rsidR="00EC0CD0" w:rsidRPr="00304A3B">
        <w:rPr>
          <w:rFonts w:ascii="Times New Roman" w:hAnsi="Times New Roman" w:cs="Times New Roman"/>
        </w:rPr>
        <w:t>fDi</w:t>
      </w:r>
      <w:proofErr w:type="spellEnd"/>
      <w:r w:rsidR="00EC0CD0" w:rsidRPr="00304A3B">
        <w:rPr>
          <w:rFonts w:ascii="Times New Roman" w:hAnsi="Times New Roman" w:cs="Times New Roman"/>
        </w:rPr>
        <w:t xml:space="preserve"> Markets.com </w:t>
      </w:r>
      <w:hyperlink r:id="rId15" w:history="1">
        <w:r w:rsidR="00EC0CD0" w:rsidRPr="00304A3B">
          <w:rPr>
            <w:rStyle w:val="Hyperlink"/>
            <w:rFonts w:ascii="Times New Roman" w:hAnsi="Times New Roman" w:cs="Times New Roman"/>
            <w:color w:val="auto"/>
          </w:rPr>
          <w:t>http://www.fdimarkets.com/faqs/</w:t>
        </w:r>
      </w:hyperlink>
    </w:p>
    <w:p w14:paraId="237C035B" w14:textId="77777777" w:rsidR="00EC0CD0" w:rsidRPr="00304A3B" w:rsidRDefault="00EC0CD0" w:rsidP="00EC0CD0">
      <w:pPr>
        <w:spacing w:line="240" w:lineRule="auto"/>
        <w:contextualSpacing/>
        <w:rPr>
          <w:rStyle w:val="Hyperlink"/>
          <w:rFonts w:ascii="Times New Roman" w:hAnsi="Times New Roman" w:cs="Times New Roman"/>
          <w:color w:val="auto"/>
        </w:rPr>
      </w:pPr>
    </w:p>
    <w:p w14:paraId="679986B5" w14:textId="77777777" w:rsidR="00EC0CD0" w:rsidRPr="00304A3B" w:rsidRDefault="00EC0CD0" w:rsidP="00EC0CD0">
      <w:pPr>
        <w:tabs>
          <w:tab w:val="left" w:pos="3131"/>
        </w:tabs>
        <w:spacing w:line="240" w:lineRule="auto"/>
        <w:contextualSpacing/>
        <w:rPr>
          <w:rFonts w:ascii="Times New Roman" w:hAnsi="Times New Roman" w:cs="Times New Roman"/>
          <w:b/>
          <w:bCs/>
        </w:rPr>
      </w:pPr>
      <w:r w:rsidRPr="00304A3B">
        <w:rPr>
          <w:rFonts w:ascii="Times New Roman" w:hAnsi="Times New Roman" w:cs="Times New Roman"/>
          <w:b/>
          <w:bCs/>
        </w:rPr>
        <w:t>Geocoding Process</w:t>
      </w:r>
    </w:p>
    <w:p w14:paraId="5CF4E5E5" w14:textId="6526CCF1" w:rsidR="00EC0CD0" w:rsidRPr="00304A3B" w:rsidRDefault="00EC0CD0" w:rsidP="00EC0CD0">
      <w:pPr>
        <w:tabs>
          <w:tab w:val="left" w:pos="3131"/>
        </w:tabs>
        <w:spacing w:line="240" w:lineRule="auto"/>
        <w:contextualSpacing/>
        <w:rPr>
          <w:rFonts w:ascii="Times New Roman" w:hAnsi="Times New Roman" w:cs="Times New Roman"/>
        </w:rPr>
      </w:pPr>
      <w:r w:rsidRPr="00304A3B">
        <w:rPr>
          <w:rFonts w:ascii="Times New Roman" w:hAnsi="Times New Roman" w:cs="Times New Roman"/>
        </w:rPr>
        <w:t>An addition layer of data assignment was required for data that was not available at the metropolitan scale.  Geographic identifiers were used to process individual data points through the Google Maps Geocoding API to obtain latitude, longitude and other geographic information.</w:t>
      </w:r>
      <w:r w:rsidR="00A15AC9" w:rsidRPr="00304A3B">
        <w:rPr>
          <w:rFonts w:ascii="Times New Roman" w:hAnsi="Times New Roman" w:cs="Times New Roman"/>
          <w:vertAlign w:val="superscript"/>
        </w:rPr>
        <w:endnoteReference w:id="114"/>
      </w:r>
      <w:r w:rsidR="00A15AC9" w:rsidRPr="00304A3B">
        <w:rPr>
          <w:rFonts w:ascii="Times New Roman" w:hAnsi="Times New Roman" w:cs="Times New Roman"/>
        </w:rPr>
        <w:t xml:space="preserve"> Using the latitude and longitude information, we assigned an observation to a metropolitan area using defined geographic boundaries through a geo-intersection.</w:t>
      </w:r>
      <w:r w:rsidR="00A15AC9" w:rsidRPr="00304A3B">
        <w:rPr>
          <w:rStyle w:val="EndnoteReference"/>
          <w:rFonts w:ascii="Times New Roman" w:hAnsi="Times New Roman" w:cs="Times New Roman"/>
        </w:rPr>
        <w:endnoteReference w:id="115"/>
      </w:r>
      <w:r w:rsidR="00A15AC9" w:rsidRPr="00304A3B">
        <w:rPr>
          <w:rFonts w:ascii="Times New Roman" w:hAnsi="Times New Roman" w:cs="Times New Roman"/>
        </w:rPr>
        <w:t xml:space="preserve"> </w:t>
      </w:r>
      <w:r w:rsidRPr="00304A3B">
        <w:rPr>
          <w:rFonts w:ascii="Times New Roman" w:hAnsi="Times New Roman" w:cs="Times New Roman"/>
        </w:rPr>
        <w:t>Finally we aggregated observations and created a metropolitan level indicator. We iterated this process several times to ensure data consistency and the adequate allocation of observations to its corresponding geographic boundaries.</w:t>
      </w:r>
    </w:p>
    <w:sectPr w:rsidR="00EC0CD0" w:rsidRPr="00304A3B" w:rsidSect="006A683D">
      <w:headerReference w:type="default" r:id="rId16"/>
      <w:footerReference w:type="default" r:id="rId17"/>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DE61DF" w15:done="0"/>
  <w15:commentEx w15:paraId="3449976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C1AC55" w14:textId="77777777" w:rsidR="00142F9D" w:rsidRDefault="00142F9D" w:rsidP="0025214A">
      <w:pPr>
        <w:spacing w:after="0" w:line="240" w:lineRule="auto"/>
      </w:pPr>
      <w:r>
        <w:separator/>
      </w:r>
    </w:p>
  </w:endnote>
  <w:endnote w:type="continuationSeparator" w:id="0">
    <w:p w14:paraId="7B8D2576" w14:textId="77777777" w:rsidR="00142F9D" w:rsidRDefault="00142F9D" w:rsidP="0025214A">
      <w:pPr>
        <w:spacing w:after="0" w:line="240" w:lineRule="auto"/>
      </w:pPr>
      <w:r>
        <w:continuationSeparator/>
      </w:r>
    </w:p>
  </w:endnote>
  <w:endnote w:id="1">
    <w:p w14:paraId="0A860D00" w14:textId="77777777" w:rsidR="00142F9D" w:rsidRDefault="00142F9D" w:rsidP="00A8197C">
      <w:pPr>
        <w:pStyle w:val="EndnoteText"/>
      </w:pPr>
      <w:r>
        <w:rPr>
          <w:rStyle w:val="EndnoteReference"/>
        </w:rPr>
        <w:endnoteRef/>
      </w:r>
      <w:r>
        <w:t xml:space="preserve"> International Monetary Fund, “</w:t>
      </w:r>
      <w:r w:rsidRPr="00447BBA">
        <w:t xml:space="preserve">IMF </w:t>
      </w:r>
      <w:proofErr w:type="gramStart"/>
      <w:r w:rsidRPr="00447BBA">
        <w:t>Survey :</w:t>
      </w:r>
      <w:proofErr w:type="gramEnd"/>
      <w:r w:rsidRPr="00447BBA">
        <w:t xml:space="preserve"> Global Economy Faltering from Too Slow Growth for Too Long</w:t>
      </w:r>
      <w:r>
        <w:t xml:space="preserve">,” (2016). </w:t>
      </w:r>
    </w:p>
  </w:endnote>
  <w:endnote w:id="2">
    <w:p w14:paraId="53AD66EE" w14:textId="77777777" w:rsidR="00142F9D" w:rsidRPr="00931B85" w:rsidRDefault="00142F9D" w:rsidP="00A8197C">
      <w:pPr>
        <w:pStyle w:val="EndnoteText"/>
      </w:pPr>
      <w:r>
        <w:rPr>
          <w:rStyle w:val="EndnoteReference"/>
        </w:rPr>
        <w:endnoteRef/>
      </w:r>
      <w:r>
        <w:t xml:space="preserve"> For a detailed review of global cities indices, see: Greg Clark, </w:t>
      </w:r>
      <w:r>
        <w:rPr>
          <w:i/>
        </w:rPr>
        <w:t xml:space="preserve">A Short History of Global Cities </w:t>
      </w:r>
      <w:r>
        <w:t xml:space="preserve">(Washington: Brookings Institution Press, 2016). </w:t>
      </w:r>
      <w:r w:rsidRPr="00247A54">
        <w:t xml:space="preserve">Scott </w:t>
      </w:r>
      <w:proofErr w:type="spellStart"/>
      <w:r w:rsidRPr="00247A54">
        <w:t>Leff</w:t>
      </w:r>
      <w:proofErr w:type="spellEnd"/>
      <w:r w:rsidRPr="00247A54">
        <w:t xml:space="preserve"> and Brittany Petersen</w:t>
      </w:r>
      <w:r>
        <w:t xml:space="preserve">, “Beyond the Scorecard: Understanding Global City Rankings,” (Chicago: The Chicago Council on Global Affairs, 2015).  </w:t>
      </w:r>
    </w:p>
  </w:endnote>
  <w:endnote w:id="3">
    <w:p w14:paraId="31D1414F" w14:textId="256EFBF4" w:rsidR="00142F9D" w:rsidRPr="005525C3" w:rsidRDefault="00142F9D" w:rsidP="005525C3">
      <w:pPr>
        <w:pStyle w:val="EndnoteText"/>
      </w:pPr>
      <w:r w:rsidRPr="005525C3">
        <w:rPr>
          <w:rStyle w:val="EndnoteReference"/>
        </w:rPr>
        <w:endnoteRef/>
      </w:r>
      <w:r w:rsidRPr="005525C3">
        <w:t xml:space="preserve"> </w:t>
      </w:r>
      <w:r w:rsidRPr="005525C3">
        <w:rPr>
          <w:rFonts w:cs="Times New Roman"/>
        </w:rPr>
        <w:t>These are not the only major shifts to which cities must respond. Geopolitical insecurity, the inexorable impact of climate change, and rising mass migration are all presenting new challenges for urban areas.</w:t>
      </w:r>
    </w:p>
  </w:endnote>
  <w:endnote w:id="4">
    <w:p w14:paraId="47A363D0" w14:textId="77777777" w:rsidR="00142F9D" w:rsidRPr="00424540" w:rsidRDefault="00142F9D">
      <w:pPr>
        <w:pStyle w:val="EndnoteText"/>
      </w:pPr>
      <w:r w:rsidRPr="00424540">
        <w:rPr>
          <w:rStyle w:val="EndnoteReference"/>
        </w:rPr>
        <w:endnoteRef/>
      </w:r>
      <w:r w:rsidRPr="00424540">
        <w:t xml:space="preserve"> UN Habitat, “Urbanization and Development: Emerging Futures. World Cities Report 2016” (2016). </w:t>
      </w:r>
    </w:p>
  </w:endnote>
  <w:endnote w:id="5">
    <w:p w14:paraId="47326083" w14:textId="225062FC" w:rsidR="00142F9D" w:rsidRDefault="00142F9D">
      <w:pPr>
        <w:pStyle w:val="EndnoteText"/>
      </w:pPr>
      <w:r>
        <w:rPr>
          <w:rStyle w:val="EndnoteReference"/>
        </w:rPr>
        <w:endnoteRef/>
      </w:r>
      <w:r>
        <w:t xml:space="preserve"> </w:t>
      </w:r>
      <w:r w:rsidRPr="009B01DC">
        <w:t xml:space="preserve">Dani </w:t>
      </w:r>
      <w:proofErr w:type="spellStart"/>
      <w:r w:rsidRPr="009B01DC">
        <w:t>Rodrik</w:t>
      </w:r>
      <w:proofErr w:type="spellEnd"/>
      <w:r w:rsidRPr="009B01DC">
        <w:t xml:space="preserve">, “Premature Deindustrialization,” IAS School of Social Science Working Paper 107, 2015.  </w:t>
      </w:r>
    </w:p>
  </w:endnote>
  <w:endnote w:id="6">
    <w:p w14:paraId="6238FEDF" w14:textId="77777777" w:rsidR="00142F9D" w:rsidRDefault="00142F9D" w:rsidP="00BE0B15">
      <w:pPr>
        <w:pStyle w:val="EndnoteText"/>
      </w:pPr>
      <w:r>
        <w:rPr>
          <w:rStyle w:val="EndnoteReference"/>
        </w:rPr>
        <w:endnoteRef/>
      </w:r>
      <w:r>
        <w:t xml:space="preserve"> </w:t>
      </w:r>
      <w:r w:rsidRPr="00424540">
        <w:t>UN Habitat, “Urbanization and Development: Emerging Futures. World Cities Report 2016” (2016).</w:t>
      </w:r>
    </w:p>
  </w:endnote>
  <w:endnote w:id="7">
    <w:p w14:paraId="46D176AA" w14:textId="69A756AE" w:rsidR="00142F9D" w:rsidRDefault="00142F9D" w:rsidP="00143AC9">
      <w:pPr>
        <w:pStyle w:val="EndnoteText"/>
      </w:pPr>
      <w:r>
        <w:rPr>
          <w:rStyle w:val="EndnoteReference"/>
        </w:rPr>
        <w:endnoteRef/>
      </w:r>
      <w:r>
        <w:t xml:space="preserve"> Economist Alfred Marshall developed the idea in the late 1800s to describe geographically clustered economic activity. Marshall—and later economists Kenneth Arrow and Paul </w:t>
      </w:r>
      <w:proofErr w:type="spellStart"/>
      <w:r>
        <w:t>Romer</w:t>
      </w:r>
      <w:proofErr w:type="spellEnd"/>
      <w:r>
        <w:t>—described the benefits that accrue to</w:t>
      </w:r>
    </w:p>
    <w:p w14:paraId="02D8EB4B" w14:textId="20694518" w:rsidR="00142F9D" w:rsidRDefault="00142F9D" w:rsidP="00143AC9">
      <w:pPr>
        <w:pStyle w:val="EndnoteText"/>
      </w:pPr>
      <w:proofErr w:type="gramStart"/>
      <w:r>
        <w:t>firms</w:t>
      </w:r>
      <w:proofErr w:type="gramEnd"/>
      <w:r>
        <w:t xml:space="preserve">, workers, and local economies from clustering, by way of three categories of “externalities”: </w:t>
      </w:r>
      <w:r>
        <w:rPr>
          <w:rFonts w:hint="eastAsia"/>
        </w:rPr>
        <w:t>A geographic concentration of producers in a</w:t>
      </w:r>
      <w:r>
        <w:t xml:space="preserve"> given industry provides incentives for input suppliers to locate nearby. As a consequence, producers can share specialized services, share public goods like infrastructure, save on transportation costs, or purchase inputs more efficiently. Input externalities thus help improve the local availability</w:t>
      </w:r>
    </w:p>
    <w:p w14:paraId="7395ADC8" w14:textId="4459D82C" w:rsidR="00142F9D" w:rsidRDefault="00142F9D" w:rsidP="00143AC9">
      <w:pPr>
        <w:pStyle w:val="EndnoteText"/>
      </w:pPr>
      <w:proofErr w:type="gramStart"/>
      <w:r>
        <w:t>of</w:t>
      </w:r>
      <w:proofErr w:type="gramEnd"/>
      <w:r>
        <w:t xml:space="preserve"> inputs for growth. For instance, the film industry in Los Angeles has spawned a wide-ranging cluster of supporting industries, including sound recording, animation, visual effects, photographic equipment, and talent agencies. Their proximity reduces studios’ costs for accessing the inputs they need. </w:t>
      </w:r>
      <w:r>
        <w:rPr>
          <w:rFonts w:hint="eastAsia"/>
        </w:rPr>
        <w:t>Industrial clusters also favor the creation of pools</w:t>
      </w:r>
      <w:r>
        <w:t xml:space="preserve"> of specialized workers, who acquire specific skills valuable to local firms. These labor market externalities also lead more workers with a particular specialization to locate in the region, creating “thick” labor markets and increasing the availability of labor and likelihood of a satisfactory match between firms and workers. In addition, these pools of specialized workers interact in ways that improve their own skills, enhancing regional productivity. Mark Zuckerberg left Boston and went to Silicon Valley not (only) because the weather was nicer, but because it gave him access to the workers with the specific skill sets he needed to build Facebook. </w:t>
      </w:r>
      <w:r>
        <w:rPr>
          <w:rFonts w:hint="eastAsia"/>
        </w:rPr>
        <w:t>Finally, the geographic concentration of related</w:t>
      </w:r>
      <w:r>
        <w:t xml:space="preserve"> economic activity leads to local exchange of information and knowledge, or “spillovers.” As Marshall put it, “The mysteries of the trade become no mystery, but are, as it were, in the air.”</w:t>
      </w:r>
    </w:p>
    <w:p w14:paraId="3129B06B" w14:textId="42C57BE7" w:rsidR="00142F9D" w:rsidRDefault="00142F9D" w:rsidP="00143AC9">
      <w:pPr>
        <w:pStyle w:val="EndnoteText"/>
      </w:pPr>
      <w:r>
        <w:t>These knowledge externalities promote growth by enhancing worker productivity and the diffusion of technology. A two square mile section of Cambridge, Massachusetts houses a massive cluster of biotechnology companies whose personnel benefit from the knowledge they exchange through daily interactions, both deliberate and casual.</w:t>
      </w:r>
    </w:p>
  </w:endnote>
  <w:endnote w:id="8">
    <w:p w14:paraId="3F96A8D3" w14:textId="715D15AF" w:rsidR="00142F9D" w:rsidRPr="00424540" w:rsidRDefault="00142F9D" w:rsidP="006457EE">
      <w:pPr>
        <w:pStyle w:val="EndnoteText"/>
      </w:pPr>
      <w:r w:rsidRPr="00424540">
        <w:rPr>
          <w:rStyle w:val="EndnoteReference"/>
        </w:rPr>
        <w:endnoteRef/>
      </w:r>
      <w:r w:rsidRPr="00424540">
        <w:t xml:space="preserve"> </w:t>
      </w:r>
      <w:r>
        <w:t xml:space="preserve">Richard Dobbs and others, “Urban world: Mapping the economic power of cities” (San Francisco: McKinsey Global Institute, 2011). </w:t>
      </w:r>
    </w:p>
  </w:endnote>
  <w:endnote w:id="9">
    <w:p w14:paraId="04FC8A1F" w14:textId="77777777" w:rsidR="00142F9D" w:rsidRPr="00F50614" w:rsidRDefault="00142F9D" w:rsidP="00C83672">
      <w:pPr>
        <w:pStyle w:val="EndnoteText"/>
      </w:pPr>
      <w:r>
        <w:rPr>
          <w:rStyle w:val="EndnoteReference"/>
        </w:rPr>
        <w:endnoteRef/>
      </w:r>
      <w:r>
        <w:t xml:space="preserve"> Patricia Clarke </w:t>
      </w:r>
      <w:proofErr w:type="spellStart"/>
      <w:r>
        <w:t>Annez</w:t>
      </w:r>
      <w:proofErr w:type="spellEnd"/>
      <w:r>
        <w:t xml:space="preserve"> and Robert M. Buckley, “Urbanization and Growth: Setting the Context.” </w:t>
      </w:r>
      <w:proofErr w:type="gramStart"/>
      <w:r>
        <w:t xml:space="preserve">In Michael Spence, Patricia Clarke </w:t>
      </w:r>
      <w:proofErr w:type="spellStart"/>
      <w:r>
        <w:t>Annez</w:t>
      </w:r>
      <w:proofErr w:type="spellEnd"/>
      <w:r>
        <w:t xml:space="preserve"> and Robert M. Buckley, eds.,</w:t>
      </w:r>
      <w:r>
        <w:rPr>
          <w:i/>
        </w:rPr>
        <w:t xml:space="preserve"> Urbanization and Growth </w:t>
      </w:r>
      <w:r>
        <w:t>(World Bank, 2009).</w:t>
      </w:r>
      <w:proofErr w:type="gramEnd"/>
      <w:r>
        <w:t xml:space="preserve"> </w:t>
      </w:r>
    </w:p>
  </w:endnote>
  <w:endnote w:id="10">
    <w:p w14:paraId="754A702A" w14:textId="64BE1DB9" w:rsidR="00142F9D" w:rsidRDefault="00142F9D" w:rsidP="00D632E6">
      <w:pPr>
        <w:pStyle w:val="EndnoteText"/>
      </w:pPr>
      <w:r>
        <w:rPr>
          <w:rStyle w:val="EndnoteReference"/>
        </w:rPr>
        <w:endnoteRef/>
      </w:r>
      <w:r>
        <w:t xml:space="preserve"> Richard Dobbs and others, “Infrastructure productivity: How to save $1 trillion a year,” (San Francisco: McKinsey Global Institute, 2013).  </w:t>
      </w:r>
    </w:p>
  </w:endnote>
  <w:endnote w:id="11">
    <w:p w14:paraId="674B8CCB" w14:textId="77777777" w:rsidR="00142F9D" w:rsidRDefault="00142F9D" w:rsidP="00C83672">
      <w:pPr>
        <w:pStyle w:val="EndnoteText"/>
      </w:pPr>
      <w:r>
        <w:rPr>
          <w:rStyle w:val="EndnoteReference"/>
        </w:rPr>
        <w:endnoteRef/>
      </w:r>
      <w:r>
        <w:t xml:space="preserve"> Ibid.</w:t>
      </w:r>
    </w:p>
  </w:endnote>
  <w:endnote w:id="12">
    <w:p w14:paraId="4C99B2B9" w14:textId="77777777" w:rsidR="00142F9D" w:rsidRDefault="00142F9D" w:rsidP="00C83672">
      <w:pPr>
        <w:pStyle w:val="EndnoteText"/>
      </w:pPr>
      <w:r>
        <w:rPr>
          <w:rStyle w:val="EndnoteReference"/>
        </w:rPr>
        <w:endnoteRef/>
      </w:r>
      <w:r>
        <w:t xml:space="preserve"> </w:t>
      </w:r>
      <w:proofErr w:type="spellStart"/>
      <w:r>
        <w:t>Homi</w:t>
      </w:r>
      <w:proofErr w:type="spellEnd"/>
      <w:r>
        <w:t xml:space="preserve"> </w:t>
      </w:r>
      <w:proofErr w:type="spellStart"/>
      <w:r>
        <w:t>Kharas</w:t>
      </w:r>
      <w:proofErr w:type="spellEnd"/>
      <w:r>
        <w:t xml:space="preserve"> and Geoffrey </w:t>
      </w:r>
      <w:proofErr w:type="spellStart"/>
      <w:r>
        <w:t>Gertz</w:t>
      </w:r>
      <w:proofErr w:type="spellEnd"/>
      <w:r>
        <w:t>, “The New Global Middle Class: A Crossover from West to East” (Washington: Brookings Institution, 2011).</w:t>
      </w:r>
    </w:p>
  </w:endnote>
  <w:endnote w:id="13">
    <w:p w14:paraId="0CF95506" w14:textId="0934AC53" w:rsidR="00142F9D" w:rsidRPr="00650605" w:rsidRDefault="00142F9D" w:rsidP="00650605">
      <w:pPr>
        <w:pStyle w:val="EndnoteText"/>
      </w:pPr>
      <w:r w:rsidRPr="00650605">
        <w:rPr>
          <w:rStyle w:val="EndnoteReference"/>
        </w:rPr>
        <w:endnoteRef/>
      </w:r>
      <w:r w:rsidRPr="00650605">
        <w:t xml:space="preserve"> Recent data showing the slowdown, or perhaps even stalling, in global goods trade has raised new questions about whether the world will continue its long march towards integration.</w:t>
      </w:r>
      <w:r>
        <w:t xml:space="preserve"> </w:t>
      </w:r>
      <w:r w:rsidRPr="006457EE">
        <w:t xml:space="preserve">Simon </w:t>
      </w:r>
      <w:proofErr w:type="spellStart"/>
      <w:r w:rsidRPr="006457EE">
        <w:t>Evenett</w:t>
      </w:r>
      <w:proofErr w:type="spellEnd"/>
      <w:r>
        <w:t xml:space="preserve"> and</w:t>
      </w:r>
      <w:r w:rsidRPr="006457EE">
        <w:t xml:space="preserve"> Johannes Fritz</w:t>
      </w:r>
      <w:r>
        <w:t xml:space="preserve">, “Global trade plateaus,” 2016, online at: </w:t>
      </w:r>
      <w:hyperlink r:id="rId1" w:history="1">
        <w:r w:rsidRPr="00D757DE">
          <w:rPr>
            <w:rStyle w:val="Hyperlink"/>
          </w:rPr>
          <w:t>www.voxeu.org/article/global-trade-plateaus</w:t>
        </w:r>
      </w:hyperlink>
      <w:r>
        <w:t xml:space="preserve"> (accessed July 27, 2016). </w:t>
      </w:r>
    </w:p>
  </w:endnote>
  <w:endnote w:id="14">
    <w:p w14:paraId="7C79C894" w14:textId="77777777" w:rsidR="00142F9D" w:rsidRPr="00424540" w:rsidRDefault="00142F9D" w:rsidP="005E4462">
      <w:pPr>
        <w:pStyle w:val="EndnoteText"/>
      </w:pPr>
      <w:r w:rsidRPr="00424540">
        <w:rPr>
          <w:rStyle w:val="EndnoteReference"/>
        </w:rPr>
        <w:endnoteRef/>
      </w:r>
      <w:r w:rsidRPr="00424540">
        <w:t xml:space="preserve"> James </w:t>
      </w:r>
      <w:proofErr w:type="spellStart"/>
      <w:r w:rsidRPr="00424540">
        <w:t>Manyika</w:t>
      </w:r>
      <w:proofErr w:type="spellEnd"/>
      <w:r w:rsidRPr="00424540">
        <w:t xml:space="preserve"> and others, “Digital Globalization: The New Era of Global Flows,” (San Francisco: McKinsey Global Institute, 2016).</w:t>
      </w:r>
    </w:p>
  </w:endnote>
  <w:endnote w:id="15">
    <w:p w14:paraId="1B2B0FBF" w14:textId="77777777" w:rsidR="00142F9D" w:rsidRDefault="00142F9D" w:rsidP="002878EF">
      <w:pPr>
        <w:pStyle w:val="EndnoteText"/>
      </w:pPr>
      <w:r>
        <w:rPr>
          <w:rStyle w:val="EndnoteReference"/>
        </w:rPr>
        <w:endnoteRef/>
      </w:r>
      <w:r>
        <w:t xml:space="preserve"> Ibid. </w:t>
      </w:r>
      <w:r w:rsidRPr="002878EF">
        <w:t xml:space="preserve">Cristina Constantinescu, </w:t>
      </w:r>
      <w:proofErr w:type="spellStart"/>
      <w:r w:rsidRPr="002878EF">
        <w:t>Aaditya</w:t>
      </w:r>
      <w:proofErr w:type="spellEnd"/>
      <w:r w:rsidRPr="002878EF">
        <w:t xml:space="preserve"> </w:t>
      </w:r>
      <w:proofErr w:type="spellStart"/>
      <w:r w:rsidRPr="002878EF">
        <w:t>Mattoo</w:t>
      </w:r>
      <w:proofErr w:type="spellEnd"/>
      <w:r w:rsidRPr="002878EF">
        <w:t xml:space="preserve">, and Michele </w:t>
      </w:r>
      <w:proofErr w:type="spellStart"/>
      <w:r w:rsidRPr="002878EF">
        <w:t>Ruta</w:t>
      </w:r>
      <w:proofErr w:type="spellEnd"/>
      <w:r>
        <w:t>, “The Global Trade Slowdown: Cyclical or</w:t>
      </w:r>
    </w:p>
    <w:p w14:paraId="5C551BA8" w14:textId="38C26348" w:rsidR="00142F9D" w:rsidRDefault="00142F9D" w:rsidP="002878EF">
      <w:pPr>
        <w:pStyle w:val="EndnoteText"/>
      </w:pPr>
      <w:r>
        <w:t xml:space="preserve">Structural?” (Washington: International Monetary Fund, 2015). </w:t>
      </w:r>
      <w:r w:rsidRPr="002878EF">
        <w:t xml:space="preserve">Simon J. </w:t>
      </w:r>
      <w:proofErr w:type="spellStart"/>
      <w:r w:rsidRPr="002878EF">
        <w:t>Evenett</w:t>
      </w:r>
      <w:proofErr w:type="spellEnd"/>
      <w:r w:rsidRPr="002878EF">
        <w:t xml:space="preserve"> and Johannes Fritz</w:t>
      </w:r>
      <w:r>
        <w:t xml:space="preserve">, “Global Trade Plateaus: The 19th Global Trade Alert Report,” (London: Centre for Economic Policy Research, 2016). </w:t>
      </w:r>
    </w:p>
  </w:endnote>
  <w:endnote w:id="16">
    <w:p w14:paraId="11D76B24" w14:textId="77777777" w:rsidR="00142F9D" w:rsidRPr="00424540" w:rsidRDefault="00142F9D" w:rsidP="004E756F">
      <w:pPr>
        <w:pStyle w:val="EndnoteText"/>
      </w:pPr>
      <w:r w:rsidRPr="00424540">
        <w:rPr>
          <w:rStyle w:val="EndnoteReference"/>
        </w:rPr>
        <w:endnoteRef/>
      </w:r>
      <w:r w:rsidRPr="00424540">
        <w:t xml:space="preserve"> James </w:t>
      </w:r>
      <w:proofErr w:type="spellStart"/>
      <w:r w:rsidRPr="00424540">
        <w:t>Manyika</w:t>
      </w:r>
      <w:proofErr w:type="spellEnd"/>
      <w:r w:rsidRPr="00424540">
        <w:t xml:space="preserve"> and others, “Digital Globalization: The New Era of Global Flows,” (San Francisco: McKinsey Global Institute, 2016).</w:t>
      </w:r>
    </w:p>
  </w:endnote>
  <w:endnote w:id="17">
    <w:p w14:paraId="106518C9" w14:textId="77777777" w:rsidR="00142F9D" w:rsidRPr="00424540" w:rsidRDefault="00142F9D" w:rsidP="00782A99">
      <w:pPr>
        <w:pStyle w:val="EndnoteText"/>
      </w:pPr>
      <w:r w:rsidRPr="00424540">
        <w:rPr>
          <w:rStyle w:val="EndnoteReference"/>
        </w:rPr>
        <w:endnoteRef/>
      </w:r>
      <w:r w:rsidRPr="00424540">
        <w:t xml:space="preserve"> </w:t>
      </w:r>
      <w:proofErr w:type="gramStart"/>
      <w:r w:rsidRPr="00424540">
        <w:t xml:space="preserve">Marc J. Melitz and Daniel </w:t>
      </w:r>
      <w:proofErr w:type="spellStart"/>
      <w:r w:rsidRPr="00424540">
        <w:t>Trefler</w:t>
      </w:r>
      <w:proofErr w:type="spellEnd"/>
      <w:r w:rsidRPr="00424540">
        <w:t>, “Gains from Trade When Firms Matter.”</w:t>
      </w:r>
      <w:proofErr w:type="gramEnd"/>
      <w:r w:rsidRPr="00424540">
        <w:t xml:space="preserve"> </w:t>
      </w:r>
      <w:r w:rsidRPr="00424540">
        <w:rPr>
          <w:i/>
          <w:iCs/>
        </w:rPr>
        <w:t>Journal of Economic Perspectives</w:t>
      </w:r>
      <w:r w:rsidRPr="00424540">
        <w:t xml:space="preserve"> 26(2) (2012): 91–118. OECD, “Interconnected Economies.</w:t>
      </w:r>
      <w:proofErr w:type="gramStart"/>
      <w:r w:rsidRPr="00424540">
        <w:t>”;</w:t>
      </w:r>
      <w:proofErr w:type="gramEnd"/>
      <w:r w:rsidRPr="00424540">
        <w:t xml:space="preserve"> World Trade Organization, “World Trade Report 2013.”</w:t>
      </w:r>
      <w:r w:rsidRPr="005E4462">
        <w:rPr>
          <w:bCs/>
          <w:sz w:val="24"/>
          <w:szCs w:val="24"/>
        </w:rPr>
        <w:t xml:space="preserve"> </w:t>
      </w:r>
      <w:r w:rsidRPr="005E4462">
        <w:rPr>
          <w:bCs/>
        </w:rPr>
        <w:t>Workers at multinational firms earn hourly wages 26 percent higher than in the same occupations in establishments that only operate domestically.</w:t>
      </w:r>
      <w:r>
        <w:rPr>
          <w:bCs/>
        </w:rPr>
        <w:t xml:space="preserve"> </w:t>
      </w:r>
      <w:proofErr w:type="gramStart"/>
      <w:r>
        <w:t>Elizabeth Weber-</w:t>
      </w:r>
      <w:proofErr w:type="spellStart"/>
      <w:r>
        <w:t>Handwerker</w:t>
      </w:r>
      <w:proofErr w:type="spellEnd"/>
      <w:r>
        <w:t>, Mina Kim, and Lowell Mason, “Domestic employment in U.S.-based multinational companies.”</w:t>
      </w:r>
      <w:proofErr w:type="gramEnd"/>
      <w:r>
        <w:t xml:space="preserve"> </w:t>
      </w:r>
      <w:proofErr w:type="gramStart"/>
      <w:r w:rsidRPr="005A1DF7">
        <w:rPr>
          <w:i/>
        </w:rPr>
        <w:t>Monthly Labor Review</w:t>
      </w:r>
      <w:r>
        <w:t xml:space="preserve"> October 2011 (Bureau of Labor Statistics) </w:t>
      </w:r>
      <w:hyperlink r:id="rId2" w:history="1">
        <w:r w:rsidRPr="00D757DE">
          <w:rPr>
            <w:rStyle w:val="Hyperlink"/>
          </w:rPr>
          <w:t>www.bls.gov/opub/mlr/2011/10/art1full.pdf</w:t>
        </w:r>
      </w:hyperlink>
      <w:r>
        <w:t>.</w:t>
      </w:r>
      <w:proofErr w:type="gramEnd"/>
      <w:r>
        <w:t xml:space="preserve"> Further, e</w:t>
      </w:r>
      <w:r w:rsidRPr="005E4462">
        <w:t>xposure to global markets can also help insulate firms from local economic shocks; exporters are 10 percent more likely to survive downturns.</w:t>
      </w:r>
      <w:r>
        <w:t xml:space="preserve"> </w:t>
      </w:r>
      <w:r w:rsidRPr="00424540">
        <w:t xml:space="preserve">Andrew Bernard and J. Bradford Jensen, “Exceptional Exporter Performance: Cause, Effect, or Both?” </w:t>
      </w:r>
      <w:r w:rsidRPr="00424540">
        <w:rPr>
          <w:i/>
        </w:rPr>
        <w:t>Journal of International Economics</w:t>
      </w:r>
      <w:r w:rsidRPr="00424540">
        <w:t xml:space="preserve"> 47 (1999): 1-25.</w:t>
      </w:r>
    </w:p>
  </w:endnote>
  <w:endnote w:id="18">
    <w:p w14:paraId="5AFB1D8F" w14:textId="77777777" w:rsidR="00142F9D" w:rsidRPr="00424540" w:rsidRDefault="00142F9D" w:rsidP="00782A99">
      <w:pPr>
        <w:pStyle w:val="EndnoteText"/>
      </w:pPr>
      <w:r w:rsidRPr="005B2E5A">
        <w:rPr>
          <w:rStyle w:val="EndnoteReference"/>
        </w:rPr>
        <w:endnoteRef/>
      </w:r>
      <w:r w:rsidRPr="005B2E5A">
        <w:t xml:space="preserve"> </w:t>
      </w:r>
      <w:r w:rsidRPr="005B2E5A">
        <w:rPr>
          <w:bCs/>
          <w:color w:val="000000"/>
        </w:rPr>
        <w:t>In 2014, for example, U.S. exporters supported 6.2 jobs for every $1 million in export revenue.</w:t>
      </w:r>
      <w:r>
        <w:rPr>
          <w:bCs/>
          <w:color w:val="000000"/>
          <w:sz w:val="24"/>
          <w:szCs w:val="24"/>
        </w:rPr>
        <w:t xml:space="preserve"> </w:t>
      </w:r>
      <w:proofErr w:type="gramStart"/>
      <w:r w:rsidRPr="00424540">
        <w:t xml:space="preserve">Masahisa Fujita, Paul R. Krugman, and Anthony </w:t>
      </w:r>
      <w:proofErr w:type="spellStart"/>
      <w:r w:rsidRPr="00424540">
        <w:t>Venables</w:t>
      </w:r>
      <w:proofErr w:type="spellEnd"/>
      <w:r w:rsidRPr="00424540">
        <w:t>.</w:t>
      </w:r>
      <w:proofErr w:type="gramEnd"/>
      <w:r w:rsidRPr="00424540">
        <w:t xml:space="preserve"> </w:t>
      </w:r>
      <w:proofErr w:type="gramStart"/>
      <w:r w:rsidRPr="00424540">
        <w:rPr>
          <w:i/>
          <w:iCs/>
        </w:rPr>
        <w:t xml:space="preserve">The Spatial Economy </w:t>
      </w:r>
      <w:r w:rsidRPr="00424540">
        <w:t>(Cambridge: MIT Press, 1999).</w:t>
      </w:r>
      <w:proofErr w:type="gramEnd"/>
      <w:r w:rsidRPr="00424540">
        <w:t xml:space="preserve"> The simple model of base-multiplier analysis has not been immune from criticism—most importantly, that by focusing only on the demand side of the regional growth equation, it overlooks important supply-side factors like capital and labor flows, including the self-reinforcing process of agglomeration. See, e.g., Andrew </w:t>
      </w:r>
      <w:proofErr w:type="spellStart"/>
      <w:r w:rsidRPr="00424540">
        <w:t>Krikelas</w:t>
      </w:r>
      <w:proofErr w:type="spellEnd"/>
      <w:r w:rsidRPr="00424540">
        <w:t xml:space="preserve">, “Review of Economic Base Literature.” </w:t>
      </w:r>
      <w:proofErr w:type="gramStart"/>
      <w:r w:rsidRPr="00424540">
        <w:rPr>
          <w:i/>
          <w:iCs/>
        </w:rPr>
        <w:t>Economic Review</w:t>
      </w:r>
      <w:r w:rsidRPr="00424540">
        <w:t xml:space="preserve"> (Federal Reserve Bank of Atlanta, 1992).</w:t>
      </w:r>
      <w:proofErr w:type="gramEnd"/>
      <w:r>
        <w:t xml:space="preserve"> </w:t>
      </w:r>
      <w:proofErr w:type="gramStart"/>
      <w:r w:rsidRPr="00424540">
        <w:t>Brookings analysis of data from Census, BEA, Moody’s analytics, BLS, NAFSA, IRS, EIA, and Sabre.</w:t>
      </w:r>
      <w:proofErr w:type="gramEnd"/>
    </w:p>
  </w:endnote>
  <w:endnote w:id="19">
    <w:p w14:paraId="14E84EE3" w14:textId="0826B09D" w:rsidR="00142F9D" w:rsidRDefault="00142F9D" w:rsidP="00A47FBF">
      <w:pPr>
        <w:pStyle w:val="EndnoteText"/>
      </w:pPr>
      <w:r>
        <w:rPr>
          <w:rStyle w:val="EndnoteReference"/>
        </w:rPr>
        <w:endnoteRef/>
      </w:r>
      <w:r>
        <w:t xml:space="preserve"> </w:t>
      </w:r>
      <w:r w:rsidRPr="00A47FBF">
        <w:t xml:space="preserve">Adie </w:t>
      </w:r>
      <w:proofErr w:type="spellStart"/>
      <w:r w:rsidRPr="00A47FBF">
        <w:t>Tomer</w:t>
      </w:r>
      <w:proofErr w:type="spellEnd"/>
      <w:r w:rsidRPr="00A47FBF">
        <w:t xml:space="preserve">, Joseph Kane, and Robert </w:t>
      </w:r>
      <w:proofErr w:type="spellStart"/>
      <w:r w:rsidRPr="00A47FBF">
        <w:t>Puentes</w:t>
      </w:r>
      <w:proofErr w:type="spellEnd"/>
      <w:r>
        <w:t xml:space="preserve">, “Metro Freight: The Global Goods Trade that Moves Metro Economies,” (Washington: Brookings Institution, 2013). </w:t>
      </w:r>
    </w:p>
  </w:endnote>
  <w:endnote w:id="20">
    <w:p w14:paraId="29F8E945" w14:textId="77777777" w:rsidR="00142F9D" w:rsidRDefault="00142F9D" w:rsidP="00782A99">
      <w:pPr>
        <w:pStyle w:val="EndnoteText"/>
      </w:pPr>
      <w:r>
        <w:rPr>
          <w:rStyle w:val="EndnoteReference"/>
        </w:rPr>
        <w:endnoteRef/>
      </w:r>
      <w:r>
        <w:t xml:space="preserve"> </w:t>
      </w:r>
      <w:r w:rsidRPr="005B2E5A">
        <w:rPr>
          <w:bCs/>
        </w:rPr>
        <w:t>One study estimated that 20 percent of net new employment in developing economies over the past decade was associated with rising exports. Harvard economist Richard Freeman argues that it is the spread of knowledge and capabilities that has improved living standards in a wide swath of lower income countries.</w:t>
      </w:r>
      <w:r>
        <w:t xml:space="preserve"> </w:t>
      </w:r>
      <w:r w:rsidRPr="005B2E5A">
        <w:rPr>
          <w:bCs/>
        </w:rPr>
        <w:t xml:space="preserve">And Ricardo </w:t>
      </w:r>
      <w:proofErr w:type="spellStart"/>
      <w:r w:rsidRPr="005B2E5A">
        <w:rPr>
          <w:bCs/>
        </w:rPr>
        <w:t>Hausmann’s</w:t>
      </w:r>
      <w:proofErr w:type="spellEnd"/>
      <w:r w:rsidRPr="005B2E5A">
        <w:rPr>
          <w:bCs/>
        </w:rPr>
        <w:t xml:space="preserve"> “economic complexity” theory contends that economic development derives from the spread and deployment of tacit knowledge, knowledge that cannot be codified easily and is best shared face-to-face. Oftentimes tacit knowledge must be imported from outside the country through foreign direct investment or migration, key components of global exchange.</w:t>
      </w:r>
      <w:r>
        <w:t xml:space="preserve"> </w:t>
      </w:r>
      <w:r w:rsidRPr="005B2E5A">
        <w:rPr>
          <w:bCs/>
        </w:rPr>
        <w:t>A recent</w:t>
      </w:r>
      <w:r>
        <w:rPr>
          <w:bCs/>
        </w:rPr>
        <w:t xml:space="preserve"> OECD</w:t>
      </w:r>
      <w:r w:rsidRPr="005B2E5A">
        <w:rPr>
          <w:bCs/>
        </w:rPr>
        <w:t xml:space="preserve"> study found that having a high share of a region’s economy in the traded sector was one significant factor associated with above-average productivity growth. In other words, trade allows for convergence across regions with differing productivity levels. </w:t>
      </w:r>
      <w:r w:rsidRPr="00424540">
        <w:t>Richard Dobbs and others, “The world at work: Jobs, pay, and skills for 3.5 billion people,” (San Francisco: McKinsey Global Institute, 2012).</w:t>
      </w:r>
      <w:r>
        <w:t xml:space="preserve"> </w:t>
      </w:r>
      <w:proofErr w:type="gramStart"/>
      <w:r w:rsidRPr="00424540">
        <w:t>Richard B. Freeman, "One Ring to Rule Them All?</w:t>
      </w:r>
      <w:proofErr w:type="gramEnd"/>
      <w:r w:rsidRPr="00424540">
        <w:t xml:space="preserve"> Globalization of Knowledge and Knowledge Creation", </w:t>
      </w:r>
      <w:r w:rsidRPr="00424540">
        <w:rPr>
          <w:i/>
        </w:rPr>
        <w:t>Working Paper 19301</w:t>
      </w:r>
      <w:r w:rsidRPr="00424540">
        <w:t xml:space="preserve"> (Cambridge: National Bureau of Economic Research, 2013).</w:t>
      </w:r>
      <w:r>
        <w:t xml:space="preserve"> Ricardo </w:t>
      </w:r>
      <w:proofErr w:type="spellStart"/>
      <w:r>
        <w:t>Hausmann</w:t>
      </w:r>
      <w:proofErr w:type="spellEnd"/>
      <w:r>
        <w:t xml:space="preserve">, “Tacit Knowledge Economy,” </w:t>
      </w:r>
      <w:r>
        <w:rPr>
          <w:i/>
        </w:rPr>
        <w:t>Project Syndicate</w:t>
      </w:r>
      <w:r>
        <w:t xml:space="preserve">, October 30, 2013. </w:t>
      </w:r>
      <w:proofErr w:type="spellStart"/>
      <w:proofErr w:type="gramStart"/>
      <w:r>
        <w:t>Organisation</w:t>
      </w:r>
      <w:proofErr w:type="spellEnd"/>
      <w:r>
        <w:t xml:space="preserve"> for Economic Co-operation and Development, “Regional Outlook 2016” (forthcoming).</w:t>
      </w:r>
      <w:proofErr w:type="gramEnd"/>
    </w:p>
  </w:endnote>
  <w:endnote w:id="21">
    <w:p w14:paraId="467746C4" w14:textId="091B21DA" w:rsidR="00142F9D" w:rsidRPr="005B2E5A" w:rsidRDefault="00142F9D" w:rsidP="005B2E5A">
      <w:pPr>
        <w:spacing w:after="0" w:line="240" w:lineRule="auto"/>
        <w:rPr>
          <w:bCs/>
          <w:sz w:val="24"/>
          <w:szCs w:val="24"/>
        </w:rPr>
      </w:pPr>
      <w:r>
        <w:rPr>
          <w:rStyle w:val="EndnoteReference"/>
        </w:rPr>
        <w:endnoteRef/>
      </w:r>
      <w:r>
        <w:t xml:space="preserve"> </w:t>
      </w:r>
      <w:r w:rsidRPr="005B2E5A">
        <w:rPr>
          <w:bCs/>
          <w:sz w:val="20"/>
          <w:szCs w:val="20"/>
        </w:rPr>
        <w:t>Their notable finding was not that manufacturing jobs disappeared, but the expected movement of dislocated workers into new industries never materialized. What economists call the “adjustment costs” of trade may be much greater and longer lasting than previously theorized.</w:t>
      </w:r>
      <w:r w:rsidRPr="00F27B8D">
        <w:rPr>
          <w:bCs/>
          <w:sz w:val="24"/>
          <w:szCs w:val="24"/>
        </w:rPr>
        <w:t xml:space="preserve"> </w:t>
      </w:r>
      <w:r w:rsidRPr="005B2E5A">
        <w:rPr>
          <w:sz w:val="20"/>
          <w:szCs w:val="20"/>
        </w:rPr>
        <w:t xml:space="preserve">David H. </w:t>
      </w:r>
      <w:proofErr w:type="spellStart"/>
      <w:r w:rsidRPr="005B2E5A">
        <w:rPr>
          <w:sz w:val="20"/>
          <w:szCs w:val="20"/>
        </w:rPr>
        <w:t>Autor</w:t>
      </w:r>
      <w:proofErr w:type="spellEnd"/>
      <w:r w:rsidRPr="005B2E5A">
        <w:rPr>
          <w:sz w:val="20"/>
          <w:szCs w:val="20"/>
        </w:rPr>
        <w:t>, David Dorn, Gordon H. Hanson, “The China Shock: Learning from Labor Market Adjustment to Large Changes in Trade,” NBER Working Paper No. 21906, 2016.</w:t>
      </w:r>
    </w:p>
  </w:endnote>
  <w:endnote w:id="22">
    <w:p w14:paraId="62C0D843" w14:textId="432C71AC" w:rsidR="00142F9D" w:rsidRPr="00544DD2" w:rsidRDefault="00142F9D">
      <w:pPr>
        <w:pStyle w:val="EndnoteText"/>
      </w:pPr>
      <w:r>
        <w:rPr>
          <w:rStyle w:val="EndnoteReference"/>
        </w:rPr>
        <w:endnoteRef/>
      </w:r>
      <w:r>
        <w:t xml:space="preserve"> </w:t>
      </w:r>
      <w:r w:rsidRPr="00544DD2">
        <w:t xml:space="preserve">Jonathan D. </w:t>
      </w:r>
      <w:proofErr w:type="spellStart"/>
      <w:r w:rsidRPr="00544DD2">
        <w:t>Ostry</w:t>
      </w:r>
      <w:proofErr w:type="spellEnd"/>
      <w:r w:rsidRPr="00544DD2">
        <w:t xml:space="preserve">, Prakash </w:t>
      </w:r>
      <w:proofErr w:type="spellStart"/>
      <w:r w:rsidRPr="00544DD2">
        <w:t>Loungani</w:t>
      </w:r>
      <w:proofErr w:type="spellEnd"/>
      <w:r w:rsidRPr="00544DD2">
        <w:t xml:space="preserve">, and </w:t>
      </w:r>
      <w:proofErr w:type="spellStart"/>
      <w:r w:rsidRPr="00544DD2">
        <w:t>Davide</w:t>
      </w:r>
      <w:proofErr w:type="spellEnd"/>
      <w:r w:rsidRPr="00544DD2">
        <w:t xml:space="preserve"> </w:t>
      </w:r>
      <w:proofErr w:type="spellStart"/>
      <w:r w:rsidRPr="00544DD2">
        <w:t>Furceri</w:t>
      </w:r>
      <w:proofErr w:type="spellEnd"/>
      <w:r>
        <w:t>, “</w:t>
      </w:r>
      <w:r w:rsidRPr="00544DD2">
        <w:t>Neoliberalism: Oversold?</w:t>
      </w:r>
      <w:r>
        <w:t xml:space="preserve">” </w:t>
      </w:r>
      <w:r>
        <w:rPr>
          <w:i/>
        </w:rPr>
        <w:t xml:space="preserve">Finance and Development </w:t>
      </w:r>
      <w:r>
        <w:t xml:space="preserve">53(2) (2016): 38-41. </w:t>
      </w:r>
    </w:p>
  </w:endnote>
  <w:endnote w:id="23">
    <w:p w14:paraId="7141FDA4" w14:textId="02BF6EA0" w:rsidR="00142F9D" w:rsidRDefault="00142F9D">
      <w:pPr>
        <w:pStyle w:val="EndnoteText"/>
      </w:pPr>
      <w:r>
        <w:rPr>
          <w:rStyle w:val="EndnoteReference"/>
        </w:rPr>
        <w:endnoteRef/>
      </w:r>
      <w:r>
        <w:t xml:space="preserve"> Saskia </w:t>
      </w:r>
      <w:proofErr w:type="spellStart"/>
      <w:r>
        <w:t>Sassen</w:t>
      </w:r>
      <w:proofErr w:type="spellEnd"/>
      <w:r>
        <w:t xml:space="preserve">, </w:t>
      </w:r>
      <w:r w:rsidRPr="00CD5F09">
        <w:rPr>
          <w:i/>
        </w:rPr>
        <w:t>Cities in a World Economy</w:t>
      </w:r>
      <w:r>
        <w:t xml:space="preserve"> (Thousand Oaks: Pine Forge Press, 2012).</w:t>
      </w:r>
    </w:p>
  </w:endnote>
  <w:endnote w:id="24">
    <w:p w14:paraId="79E6353B" w14:textId="7AC4B46B" w:rsidR="00142F9D" w:rsidRDefault="00142F9D">
      <w:pPr>
        <w:pStyle w:val="EndnoteText"/>
      </w:pPr>
      <w:r>
        <w:rPr>
          <w:rStyle w:val="EndnoteReference"/>
        </w:rPr>
        <w:endnoteRef/>
      </w:r>
      <w:r>
        <w:t xml:space="preserve"> </w:t>
      </w:r>
      <w:proofErr w:type="spellStart"/>
      <w:r>
        <w:t>Organisation</w:t>
      </w:r>
      <w:proofErr w:type="spellEnd"/>
      <w:r>
        <w:t xml:space="preserve"> for Economic Co-operation and Development, “Inclusive Growth in Cities Campaign,” available at: </w:t>
      </w:r>
      <w:hyperlink r:id="rId3" w:history="1">
        <w:r w:rsidRPr="00D62F54">
          <w:rPr>
            <w:rStyle w:val="Hyperlink"/>
          </w:rPr>
          <w:t>www.oecd.org/inclusive-growth/Inclusive%20Growth%20in%20Cities_Flyer_ENG.pdf</w:t>
        </w:r>
      </w:hyperlink>
      <w:r>
        <w:t xml:space="preserve">. </w:t>
      </w:r>
    </w:p>
  </w:endnote>
  <w:endnote w:id="25">
    <w:p w14:paraId="083081DF" w14:textId="25D0FFEA" w:rsidR="00142F9D" w:rsidRDefault="00142F9D">
      <w:pPr>
        <w:pStyle w:val="EndnoteText"/>
      </w:pPr>
      <w:r>
        <w:rPr>
          <w:rStyle w:val="EndnoteReference"/>
        </w:rPr>
        <w:endnoteRef/>
      </w:r>
      <w:r>
        <w:t xml:space="preserve"> </w:t>
      </w:r>
      <w:r w:rsidRPr="00622002">
        <w:t xml:space="preserve">Federico </w:t>
      </w:r>
      <w:proofErr w:type="spellStart"/>
      <w:r w:rsidRPr="00622002">
        <w:t>Cingano</w:t>
      </w:r>
      <w:proofErr w:type="spellEnd"/>
      <w:r>
        <w:t>, “</w:t>
      </w:r>
      <w:r w:rsidRPr="00622002">
        <w:t>Trends in Income Inequality and its Impact on Economic Growth</w:t>
      </w:r>
      <w:r>
        <w:t xml:space="preserve">,” (Paris: </w:t>
      </w:r>
      <w:proofErr w:type="spellStart"/>
      <w:r>
        <w:t>Organisation</w:t>
      </w:r>
      <w:proofErr w:type="spellEnd"/>
      <w:r>
        <w:t xml:space="preserve"> for Economic Co-operation and Development, 2014). </w:t>
      </w:r>
    </w:p>
  </w:endnote>
  <w:endnote w:id="26">
    <w:p w14:paraId="6C45004A" w14:textId="77777777" w:rsidR="00142F9D" w:rsidRPr="00424540" w:rsidRDefault="00142F9D" w:rsidP="00090692">
      <w:pPr>
        <w:pStyle w:val="Footer"/>
        <w:rPr>
          <w:sz w:val="20"/>
          <w:szCs w:val="20"/>
        </w:rPr>
      </w:pPr>
      <w:r w:rsidRPr="00424540">
        <w:rPr>
          <w:rStyle w:val="EndnoteReference"/>
          <w:sz w:val="20"/>
          <w:szCs w:val="20"/>
        </w:rPr>
        <w:endnoteRef/>
      </w:r>
      <w:r w:rsidRPr="00424540">
        <w:rPr>
          <w:sz w:val="20"/>
          <w:szCs w:val="20"/>
        </w:rPr>
        <w:t xml:space="preserve"> James </w:t>
      </w:r>
      <w:proofErr w:type="spellStart"/>
      <w:r w:rsidRPr="00424540">
        <w:rPr>
          <w:sz w:val="20"/>
          <w:szCs w:val="20"/>
        </w:rPr>
        <w:t>Manyika</w:t>
      </w:r>
      <w:proofErr w:type="spellEnd"/>
      <w:r w:rsidRPr="00424540">
        <w:rPr>
          <w:sz w:val="20"/>
          <w:szCs w:val="20"/>
        </w:rPr>
        <w:t xml:space="preserve"> and others, “Disruptive technologies: Advances that will transform life, business, and the global economy,” (San Francisco: McKinsey Global Institute, 2013).  </w:t>
      </w:r>
      <w:proofErr w:type="gramStart"/>
      <w:r w:rsidRPr="00424540">
        <w:rPr>
          <w:sz w:val="20"/>
          <w:szCs w:val="20"/>
        </w:rPr>
        <w:t xml:space="preserve">Michael Chui, James </w:t>
      </w:r>
      <w:proofErr w:type="spellStart"/>
      <w:r w:rsidRPr="00424540">
        <w:rPr>
          <w:sz w:val="20"/>
          <w:szCs w:val="20"/>
        </w:rPr>
        <w:t>Manyika</w:t>
      </w:r>
      <w:proofErr w:type="spellEnd"/>
      <w:r w:rsidRPr="00424540">
        <w:rPr>
          <w:sz w:val="20"/>
          <w:szCs w:val="20"/>
        </w:rPr>
        <w:t xml:space="preserve">, and Mehdi </w:t>
      </w:r>
      <w:proofErr w:type="spellStart"/>
      <w:r w:rsidRPr="00424540">
        <w:rPr>
          <w:sz w:val="20"/>
          <w:szCs w:val="20"/>
        </w:rPr>
        <w:t>Miremadi</w:t>
      </w:r>
      <w:proofErr w:type="spellEnd"/>
      <w:r w:rsidRPr="00424540">
        <w:rPr>
          <w:sz w:val="20"/>
          <w:szCs w:val="20"/>
        </w:rPr>
        <w:t xml:space="preserve">, “Four fundamentals of workplace automation,” </w:t>
      </w:r>
      <w:r w:rsidRPr="00424540">
        <w:rPr>
          <w:i/>
          <w:iCs/>
          <w:sz w:val="20"/>
          <w:szCs w:val="20"/>
        </w:rPr>
        <w:t xml:space="preserve">McKinsey Quarterly, </w:t>
      </w:r>
      <w:r w:rsidRPr="00424540">
        <w:rPr>
          <w:sz w:val="20"/>
          <w:szCs w:val="20"/>
        </w:rPr>
        <w:t>November 2015.</w:t>
      </w:r>
      <w:proofErr w:type="gramEnd"/>
    </w:p>
  </w:endnote>
  <w:endnote w:id="27">
    <w:p w14:paraId="2E28F957" w14:textId="77777777" w:rsidR="00142F9D" w:rsidRPr="00424540" w:rsidRDefault="00142F9D" w:rsidP="00244147">
      <w:pPr>
        <w:pStyle w:val="EndnoteText"/>
      </w:pPr>
      <w:r w:rsidRPr="00424540">
        <w:rPr>
          <w:rStyle w:val="EndnoteReference"/>
        </w:rPr>
        <w:endnoteRef/>
      </w:r>
      <w:r w:rsidRPr="00424540">
        <w:t xml:space="preserve"> </w:t>
      </w:r>
      <w:proofErr w:type="gramStart"/>
      <w:r w:rsidRPr="00424540">
        <w:t>Ibid.</w:t>
      </w:r>
      <w:proofErr w:type="gramEnd"/>
      <w:r w:rsidRPr="00424540">
        <w:t xml:space="preserve">  </w:t>
      </w:r>
    </w:p>
  </w:endnote>
  <w:endnote w:id="28">
    <w:p w14:paraId="215845D0" w14:textId="31D79C9D" w:rsidR="00142F9D" w:rsidRPr="00C47B0E" w:rsidRDefault="00142F9D">
      <w:pPr>
        <w:pStyle w:val="EndnoteText"/>
      </w:pPr>
      <w:r>
        <w:rPr>
          <w:rStyle w:val="EndnoteReference"/>
        </w:rPr>
        <w:endnoteRef/>
      </w:r>
      <w:r>
        <w:rPr>
          <w:bCs/>
        </w:rPr>
        <w:t xml:space="preserve"> </w:t>
      </w:r>
      <w:r w:rsidRPr="00736B80">
        <w:rPr>
          <w:bCs/>
        </w:rPr>
        <w:t xml:space="preserve">Yet even with these major technological changes, productivity growth has been stagnant, a paradox that has created an intense debate among economists. Scholars like </w:t>
      </w:r>
      <w:proofErr w:type="spellStart"/>
      <w:r w:rsidRPr="00736B80">
        <w:rPr>
          <w:bCs/>
        </w:rPr>
        <w:t>Northwestern’s</w:t>
      </w:r>
      <w:proofErr w:type="spellEnd"/>
      <w:r w:rsidRPr="00736B80">
        <w:rPr>
          <w:bCs/>
        </w:rPr>
        <w:t xml:space="preserve"> Robert Gordon argue that the United States is experiencing a “regression to the mean” to its low historical norm of technology-induced productivity growth. Other research shows that, while the pace of recent digital innovation has been relentless, it has been unevenly distributed across industries, labor markets, and communities. At the industry level, information and communication technology, media, professional services, and finance are highly digitized whereas agriculture, construction, hospitality, health care, and government are less so. These dynamics are also playing out at the firm level. The OECD finds that the differential in productivity growth has been increasing between the most innovative firms and their less innovative counterparts. Essentially, some firms are pulling ahead in the race to create innovative products and services, and those innovations are not trickling through to other firms. In other words, there has been a breakdown in the diffusion of new innovations between the most innovative “frontier” firms and their “non-frontier” counterparts. Several explanations, none definitive, have been put forth: it may be that frontier firms uniquely use technologies that non-frontier firms do not have the capabilities to leverage; it may be the rising importance of tacit knowledge in the information economy means that practices are not easily translated between firms; and/or it may be the prevalence of new, winner-take-all dynamics in certain industries. Future research is required to definitively answer these questions. Whatever their cause, these trends matter for regional economies because they are where the dichotomy between frontier and non-frontier comes to ground. Because frontier firms demand high levels of technology, relatively scarce technically-skilled workers, and access to ecosystems of complementary firms, universities, and research laboratories, they tend to cluster in certain city-regions. For instance, San Jose-the home of Silicon Valley-boasts 6 times the share of employment in advanced industries (30 percent) as Miami (5 percent). This dynamic has given rise to “frontier regions” and “non-frontier regions.” The OECD has documented that frontier regions are pulling away from non-frontier regions in terms of productivity growth. </w:t>
      </w:r>
      <w:r>
        <w:t xml:space="preserve">Mark </w:t>
      </w:r>
      <w:proofErr w:type="spellStart"/>
      <w:r>
        <w:t>Muro</w:t>
      </w:r>
      <w:proofErr w:type="spellEnd"/>
      <w:r>
        <w:t>, “</w:t>
      </w:r>
      <w:r w:rsidRPr="00C47B0E">
        <w:t>Look to advanced industries to help drive productivity gains</w:t>
      </w:r>
      <w:r>
        <w:t xml:space="preserve">,” </w:t>
      </w:r>
      <w:r>
        <w:rPr>
          <w:i/>
        </w:rPr>
        <w:t xml:space="preserve">The Avenue, </w:t>
      </w:r>
      <w:r>
        <w:t xml:space="preserve">July 21, 2016. </w:t>
      </w:r>
      <w:proofErr w:type="spellStart"/>
      <w:proofErr w:type="gramStart"/>
      <w:r>
        <w:t>Organisation</w:t>
      </w:r>
      <w:proofErr w:type="spellEnd"/>
      <w:r>
        <w:t xml:space="preserve"> for Economic Co-operation and Development, “The Productivity-Inclusiveness Nexus” (2016).</w:t>
      </w:r>
      <w:proofErr w:type="gramEnd"/>
      <w:r>
        <w:t xml:space="preserve"> </w:t>
      </w:r>
      <w:proofErr w:type="gramStart"/>
      <w:r>
        <w:t>OECD, “Regional Outlook 2016.”</w:t>
      </w:r>
      <w:proofErr w:type="gramEnd"/>
      <w:r>
        <w:t xml:space="preserve">  </w:t>
      </w:r>
    </w:p>
  </w:endnote>
  <w:endnote w:id="29">
    <w:p w14:paraId="74F24C27" w14:textId="0510BBBE" w:rsidR="00142F9D" w:rsidRDefault="00142F9D">
      <w:pPr>
        <w:pStyle w:val="EndnoteText"/>
      </w:pPr>
      <w:r>
        <w:rPr>
          <w:rStyle w:val="EndnoteReference"/>
        </w:rPr>
        <w:endnoteRef/>
      </w:r>
      <w:r>
        <w:t xml:space="preserve"> Mark </w:t>
      </w:r>
      <w:proofErr w:type="spellStart"/>
      <w:r>
        <w:t>Muro</w:t>
      </w:r>
      <w:proofErr w:type="spellEnd"/>
      <w:r>
        <w:t xml:space="preserve"> and others, “America’s Advanced Industries” (Washington: Brookings Institution, 2015)</w:t>
      </w:r>
    </w:p>
  </w:endnote>
  <w:endnote w:id="30">
    <w:p w14:paraId="0E60744C" w14:textId="55C2968F" w:rsidR="00142F9D" w:rsidRDefault="00142F9D">
      <w:pPr>
        <w:pStyle w:val="EndnoteText"/>
      </w:pPr>
      <w:r>
        <w:rPr>
          <w:rStyle w:val="EndnoteReference"/>
        </w:rPr>
        <w:endnoteRef/>
      </w:r>
      <w:r>
        <w:t xml:space="preserve"> </w:t>
      </w:r>
      <w:r w:rsidRPr="00493BFF">
        <w:t xml:space="preserve">Melanie </w:t>
      </w:r>
      <w:proofErr w:type="spellStart"/>
      <w:r w:rsidRPr="00493BFF">
        <w:t>Arntz</w:t>
      </w:r>
      <w:proofErr w:type="spellEnd"/>
      <w:r>
        <w:t xml:space="preserve">, Terry Gregory, and Ulrich </w:t>
      </w:r>
      <w:proofErr w:type="spellStart"/>
      <w:r>
        <w:t>Zierahn</w:t>
      </w:r>
      <w:proofErr w:type="spellEnd"/>
      <w:r>
        <w:t xml:space="preserve">, “The Risk of Automation for Jobs in OECD Countries: A Comparative Analysis,” (Paris: </w:t>
      </w:r>
      <w:proofErr w:type="spellStart"/>
      <w:r>
        <w:t>Organisation</w:t>
      </w:r>
      <w:proofErr w:type="spellEnd"/>
      <w:r>
        <w:t xml:space="preserve"> for Economic Co-operation and Development, 2016).</w:t>
      </w:r>
    </w:p>
  </w:endnote>
  <w:endnote w:id="31">
    <w:p w14:paraId="255A5277" w14:textId="77777777" w:rsidR="00142F9D" w:rsidRPr="009B01DC" w:rsidRDefault="00142F9D" w:rsidP="00244147">
      <w:pPr>
        <w:pStyle w:val="EndnoteText"/>
      </w:pPr>
      <w:r w:rsidRPr="00424540">
        <w:rPr>
          <w:rStyle w:val="EndnoteReference"/>
        </w:rPr>
        <w:endnoteRef/>
      </w:r>
      <w:r w:rsidRPr="009B01DC">
        <w:t xml:space="preserve"> Ibid.</w:t>
      </w:r>
    </w:p>
  </w:endnote>
  <w:endnote w:id="32">
    <w:p w14:paraId="151A6451" w14:textId="6D3042B3" w:rsidR="00142F9D" w:rsidRPr="009B01DC" w:rsidRDefault="00142F9D" w:rsidP="001F41ED">
      <w:pPr>
        <w:pStyle w:val="EndnoteText"/>
      </w:pPr>
      <w:r>
        <w:rPr>
          <w:rStyle w:val="EndnoteReference"/>
        </w:rPr>
        <w:endnoteRef/>
      </w:r>
      <w:r w:rsidRPr="009B01DC">
        <w:t xml:space="preserve"> </w:t>
      </w:r>
      <w:r w:rsidRPr="000D3D5F">
        <w:rPr>
          <w:bCs/>
        </w:rPr>
        <w:t xml:space="preserve">Dani </w:t>
      </w:r>
      <w:proofErr w:type="spellStart"/>
      <w:r w:rsidRPr="000D3D5F">
        <w:rPr>
          <w:bCs/>
        </w:rPr>
        <w:t>Rodrik</w:t>
      </w:r>
      <w:proofErr w:type="spellEnd"/>
      <w:r w:rsidRPr="000D3D5F">
        <w:rPr>
          <w:bCs/>
        </w:rPr>
        <w:t xml:space="preserve"> has found that emerging markets are deindustrializing at much lower average income levels than in previous economic cycles, due in part to automation. </w:t>
      </w:r>
      <w:r w:rsidRPr="009B01DC">
        <w:t xml:space="preserve">Dani </w:t>
      </w:r>
      <w:proofErr w:type="spellStart"/>
      <w:r w:rsidRPr="009B01DC">
        <w:t>Rodrik</w:t>
      </w:r>
      <w:proofErr w:type="spellEnd"/>
      <w:r w:rsidRPr="009B01DC">
        <w:t xml:space="preserve">, “Premature Deindustrialization,” IAS School of Social Science Working Paper 107, 2015.  </w:t>
      </w:r>
    </w:p>
  </w:endnote>
  <w:endnote w:id="33">
    <w:p w14:paraId="4D0EBF40" w14:textId="2F5F83B2" w:rsidR="00142F9D" w:rsidRPr="00736B80" w:rsidRDefault="00142F9D" w:rsidP="00BB1CEA">
      <w:pPr>
        <w:spacing w:after="0" w:line="240" w:lineRule="auto"/>
        <w:rPr>
          <w:bCs/>
          <w:sz w:val="24"/>
          <w:szCs w:val="24"/>
        </w:rPr>
      </w:pPr>
      <w:r>
        <w:rPr>
          <w:rStyle w:val="EndnoteReference"/>
        </w:rPr>
        <w:endnoteRef/>
      </w:r>
      <w:r>
        <w:t xml:space="preserve"> </w:t>
      </w:r>
      <w:r>
        <w:rPr>
          <w:sz w:val="20"/>
          <w:szCs w:val="20"/>
        </w:rPr>
        <w:t xml:space="preserve">James </w:t>
      </w:r>
      <w:proofErr w:type="spellStart"/>
      <w:r>
        <w:rPr>
          <w:sz w:val="20"/>
          <w:szCs w:val="20"/>
        </w:rPr>
        <w:t>Manyika</w:t>
      </w:r>
      <w:proofErr w:type="spellEnd"/>
      <w:r w:rsidRPr="00736B80">
        <w:rPr>
          <w:sz w:val="20"/>
          <w:szCs w:val="20"/>
        </w:rPr>
        <w:t xml:space="preserve"> and others, “</w:t>
      </w:r>
      <w:r>
        <w:rPr>
          <w:sz w:val="20"/>
          <w:szCs w:val="20"/>
        </w:rPr>
        <w:t>Global Growth: Can Productivity Save the Day in an Aging World?</w:t>
      </w:r>
      <w:r w:rsidRPr="00736B80">
        <w:rPr>
          <w:sz w:val="20"/>
          <w:szCs w:val="20"/>
        </w:rPr>
        <w:t>” (San Francisco:</w:t>
      </w:r>
      <w:r>
        <w:rPr>
          <w:sz w:val="20"/>
          <w:szCs w:val="20"/>
        </w:rPr>
        <w:t xml:space="preserve"> McKinsey Global Institute, 2015</w:t>
      </w:r>
      <w:r w:rsidRPr="00736B80">
        <w:rPr>
          <w:sz w:val="20"/>
          <w:szCs w:val="20"/>
        </w:rPr>
        <w:t>).</w:t>
      </w:r>
    </w:p>
  </w:endnote>
  <w:endnote w:id="34">
    <w:p w14:paraId="79E823D9" w14:textId="77777777" w:rsidR="00142F9D" w:rsidRPr="00424540" w:rsidRDefault="00142F9D" w:rsidP="00013880">
      <w:pPr>
        <w:pStyle w:val="EndnoteText"/>
      </w:pPr>
      <w:r w:rsidRPr="00424540">
        <w:rPr>
          <w:rStyle w:val="EndnoteReference"/>
        </w:rPr>
        <w:endnoteRef/>
      </w:r>
      <w:r w:rsidRPr="00424540">
        <w:t xml:space="preserve"> </w:t>
      </w:r>
      <w:r w:rsidRPr="00CD5F09">
        <w:t xml:space="preserve">Brad </w:t>
      </w:r>
      <w:proofErr w:type="spellStart"/>
      <w:r w:rsidRPr="00CD5F09">
        <w:t>McDearman</w:t>
      </w:r>
      <w:proofErr w:type="spellEnd"/>
      <w:r w:rsidRPr="00CD5F09">
        <w:t xml:space="preserve">, Greg Clark and Joseph </w:t>
      </w:r>
      <w:proofErr w:type="spellStart"/>
      <w:r w:rsidRPr="00CD5F09">
        <w:t>Parilla</w:t>
      </w:r>
      <w:proofErr w:type="spellEnd"/>
      <w:r>
        <w:t xml:space="preserve">, “The 10 Traits of Globally Fluent Metro Areas,” (Washington: Brookings Institution, 2013). </w:t>
      </w:r>
      <w:proofErr w:type="gramStart"/>
      <w:r w:rsidRPr="00424540">
        <w:t xml:space="preserve">Amy Liu and Joseph </w:t>
      </w:r>
      <w:proofErr w:type="spellStart"/>
      <w:r w:rsidRPr="00424540">
        <w:t>Parilla</w:t>
      </w:r>
      <w:proofErr w:type="spellEnd"/>
      <w:r w:rsidRPr="00424540">
        <w:t xml:space="preserve">, “U.S. cities should not abandon trade,” </w:t>
      </w:r>
      <w:r w:rsidRPr="00424540">
        <w:rPr>
          <w:i/>
        </w:rPr>
        <w:t>The Avenue</w:t>
      </w:r>
      <w:r w:rsidRPr="00424540">
        <w:t>, April 7, 2016.</w:t>
      </w:r>
      <w:proofErr w:type="gramEnd"/>
      <w:r w:rsidRPr="00424540">
        <w:t xml:space="preserve"> </w:t>
      </w:r>
    </w:p>
  </w:endnote>
  <w:endnote w:id="35">
    <w:p w14:paraId="6C42288E" w14:textId="77777777" w:rsidR="00142F9D" w:rsidRDefault="00142F9D" w:rsidP="00DF745B">
      <w:pPr>
        <w:pStyle w:val="EndnoteText"/>
      </w:pPr>
      <w:r>
        <w:rPr>
          <w:rStyle w:val="EndnoteReference"/>
        </w:rPr>
        <w:endnoteRef/>
      </w:r>
      <w:r>
        <w:t xml:space="preserve"> </w:t>
      </w:r>
      <w:r w:rsidRPr="00424540">
        <w:t xml:space="preserve">Michael E. Porter and Jan W. </w:t>
      </w:r>
      <w:proofErr w:type="spellStart"/>
      <w:r w:rsidRPr="00424540">
        <w:t>Rivkin</w:t>
      </w:r>
      <w:proofErr w:type="spellEnd"/>
      <w:r w:rsidRPr="00424540">
        <w:t xml:space="preserve">, “The Looming Challenge to U.S. Competitiveness,” </w:t>
      </w:r>
      <w:r w:rsidRPr="00424540">
        <w:rPr>
          <w:i/>
          <w:iCs/>
        </w:rPr>
        <w:t xml:space="preserve">Harvard Business Review, </w:t>
      </w:r>
      <w:r w:rsidRPr="00424540">
        <w:t xml:space="preserve">March 2012. Jan W. </w:t>
      </w:r>
      <w:proofErr w:type="spellStart"/>
      <w:r w:rsidRPr="00424540">
        <w:t>Rivkin</w:t>
      </w:r>
      <w:proofErr w:type="spellEnd"/>
      <w:r w:rsidRPr="00424540">
        <w:t>, Karen G. Mills and Michael E. Porter, “The Challenge of Shared Prosperity: Findings of Harvard Business School’s Survey on U.S. Competitiveness” (Cambridge: Harvard Business School, 2015).</w:t>
      </w:r>
    </w:p>
  </w:endnote>
  <w:endnote w:id="36">
    <w:p w14:paraId="3D681B87" w14:textId="77777777" w:rsidR="00142F9D" w:rsidRDefault="00142F9D" w:rsidP="000D0344">
      <w:pPr>
        <w:pStyle w:val="EndnoteText"/>
      </w:pPr>
      <w:r>
        <w:rPr>
          <w:rStyle w:val="EndnoteReference"/>
        </w:rPr>
        <w:endnoteRef/>
      </w:r>
      <w:r>
        <w:t xml:space="preserve"> For a full literature of why these five factors matter for economic development, see: </w:t>
      </w:r>
      <w:r w:rsidRPr="00052C0C">
        <w:t>George Washington Institute of Public Policy and RW Ventures, LLC, “Implementing Regionalism: Connecting Emerging Theory and Practice to Inform Economic Development” (Washington: George Washington University, 2011).</w:t>
      </w:r>
    </w:p>
  </w:endnote>
  <w:endnote w:id="37">
    <w:p w14:paraId="343BBE17" w14:textId="14C1C9DC" w:rsidR="00142F9D" w:rsidRDefault="00142F9D" w:rsidP="00581DD5">
      <w:pPr>
        <w:pStyle w:val="EndnoteText"/>
      </w:pPr>
      <w:r>
        <w:rPr>
          <w:rStyle w:val="EndnoteReference"/>
        </w:rPr>
        <w:endnoteRef/>
      </w:r>
      <w:r>
        <w:t xml:space="preserve"> </w:t>
      </w:r>
      <w:proofErr w:type="spellStart"/>
      <w:r w:rsidRPr="00581DD5">
        <w:t>Devashree</w:t>
      </w:r>
      <w:proofErr w:type="spellEnd"/>
      <w:r w:rsidRPr="00581DD5">
        <w:t xml:space="preserve"> </w:t>
      </w:r>
      <w:proofErr w:type="spellStart"/>
      <w:r w:rsidRPr="00581DD5">
        <w:t>Saha</w:t>
      </w:r>
      <w:proofErr w:type="spellEnd"/>
      <w:r w:rsidRPr="00581DD5">
        <w:t xml:space="preserve">, Kenan </w:t>
      </w:r>
      <w:proofErr w:type="spellStart"/>
      <w:r w:rsidRPr="00581DD5">
        <w:t>Fikri</w:t>
      </w:r>
      <w:proofErr w:type="spellEnd"/>
      <w:r w:rsidRPr="00581DD5">
        <w:t xml:space="preserve">, and Nick </w:t>
      </w:r>
      <w:proofErr w:type="spellStart"/>
      <w:r w:rsidRPr="00581DD5">
        <w:t>Marchio</w:t>
      </w:r>
      <w:proofErr w:type="spellEnd"/>
      <w:r>
        <w:t xml:space="preserve">, “FDI in U.S. Metro Areas: The Geography of Jobs in Foreign-Owned Establishments,” (Washington: Brookings Institution, 2014). </w:t>
      </w:r>
    </w:p>
  </w:endnote>
  <w:endnote w:id="38">
    <w:p w14:paraId="23F2AC3D" w14:textId="77777777" w:rsidR="00142F9D" w:rsidRPr="00052C0C" w:rsidRDefault="00142F9D" w:rsidP="00581DD5">
      <w:pPr>
        <w:pStyle w:val="EndnoteText"/>
      </w:pPr>
      <w:r w:rsidRPr="00052C0C">
        <w:rPr>
          <w:rStyle w:val="EndnoteReference"/>
        </w:rPr>
        <w:endnoteRef/>
      </w:r>
      <w:r w:rsidRPr="00052C0C">
        <w:t xml:space="preserve"> For a full review of the role of innovation in metropolitan growth, see George Washington Institute of Public Policy and RW Ventures, “Implementing Regionalism.” </w:t>
      </w:r>
    </w:p>
  </w:endnote>
  <w:endnote w:id="39">
    <w:p w14:paraId="317DD85A" w14:textId="6E45CA97" w:rsidR="00142F9D" w:rsidRDefault="00142F9D">
      <w:pPr>
        <w:pStyle w:val="EndnoteText"/>
      </w:pPr>
      <w:r>
        <w:rPr>
          <w:rStyle w:val="EndnoteReference"/>
        </w:rPr>
        <w:endnoteRef/>
      </w:r>
      <w:r>
        <w:t xml:space="preserve"> </w:t>
      </w:r>
      <w:r w:rsidRPr="00052C0C">
        <w:t xml:space="preserve">For a full review of the benefits of research and development for technological innovation, see </w:t>
      </w:r>
      <w:proofErr w:type="spellStart"/>
      <w:r w:rsidRPr="00052C0C">
        <w:t>Muro</w:t>
      </w:r>
      <w:proofErr w:type="spellEnd"/>
      <w:r w:rsidRPr="00052C0C">
        <w:t xml:space="preserve"> and others, “America’s Advanced Industries</w:t>
      </w:r>
      <w:r>
        <w:t>.</w:t>
      </w:r>
      <w:r w:rsidRPr="00052C0C">
        <w:t xml:space="preserve">” </w:t>
      </w:r>
      <w:proofErr w:type="gramStart"/>
      <w:r w:rsidRPr="00052C0C">
        <w:t>Frank Lichtenberg, “R&amp;D Investment and International Productivity Differences.</w:t>
      </w:r>
      <w:r>
        <w:t>”</w:t>
      </w:r>
      <w:proofErr w:type="gramEnd"/>
      <w:r>
        <w:t xml:space="preserve"> Working Paper 4161 (Cambridge</w:t>
      </w:r>
      <w:r w:rsidRPr="00052C0C">
        <w:t xml:space="preserve">: National Bureau of Economic Research, 1992); Manuel </w:t>
      </w:r>
      <w:proofErr w:type="spellStart"/>
      <w:r w:rsidRPr="00052C0C">
        <w:t>Trajtenberg</w:t>
      </w:r>
      <w:proofErr w:type="spellEnd"/>
      <w:r w:rsidRPr="00052C0C">
        <w:t xml:space="preserve">, </w:t>
      </w:r>
      <w:r w:rsidRPr="00052C0C">
        <w:rPr>
          <w:i/>
          <w:iCs/>
        </w:rPr>
        <w:t>Economic Analysis of Product Innovation</w:t>
      </w:r>
      <w:r w:rsidRPr="00052C0C">
        <w:t xml:space="preserve"> (Cambridge: Cambridge University Press, 1990); </w:t>
      </w:r>
      <w:proofErr w:type="spellStart"/>
      <w:r w:rsidRPr="00052C0C">
        <w:t>Zvi</w:t>
      </w:r>
      <w:proofErr w:type="spellEnd"/>
      <w:r w:rsidRPr="00052C0C">
        <w:t xml:space="preserve"> </w:t>
      </w:r>
      <w:proofErr w:type="spellStart"/>
      <w:r w:rsidRPr="00052C0C">
        <w:t>Griliches</w:t>
      </w:r>
      <w:proofErr w:type="spellEnd"/>
      <w:r w:rsidRPr="00052C0C">
        <w:t xml:space="preserve">, “The Search for R&amp;D Spillovers,” </w:t>
      </w:r>
      <w:r w:rsidRPr="00052C0C">
        <w:rPr>
          <w:i/>
          <w:iCs/>
        </w:rPr>
        <w:t>Scandinavian Journal of Economics</w:t>
      </w:r>
      <w:r w:rsidRPr="00052C0C">
        <w:t xml:space="preserve"> 94 (1992): 29-47; and David </w:t>
      </w:r>
      <w:proofErr w:type="spellStart"/>
      <w:r w:rsidRPr="00052C0C">
        <w:t>Audretsch</w:t>
      </w:r>
      <w:proofErr w:type="spellEnd"/>
      <w:r w:rsidRPr="00052C0C">
        <w:t xml:space="preserve"> and MaryAnn Feldman, “R&amp;D Spillovers and the Geography of Innovation and Production,” </w:t>
      </w:r>
      <w:r w:rsidRPr="00052C0C">
        <w:rPr>
          <w:i/>
          <w:iCs/>
        </w:rPr>
        <w:t>American Economic Review</w:t>
      </w:r>
      <w:r w:rsidRPr="00052C0C">
        <w:t xml:space="preserve"> 86 (3) (1996): 630-640.</w:t>
      </w:r>
      <w:r>
        <w:t xml:space="preserve"> For a full review of research universities in innovation see, </w:t>
      </w:r>
      <w:r w:rsidRPr="00052C0C">
        <w:t xml:space="preserve">Gerald A. </w:t>
      </w:r>
      <w:proofErr w:type="spellStart"/>
      <w:r w:rsidRPr="00052C0C">
        <w:t>Carlino</w:t>
      </w:r>
      <w:proofErr w:type="spellEnd"/>
      <w:r w:rsidRPr="00052C0C">
        <w:t xml:space="preserve">, “New Ideas in the Air: Cities and Economic Growth,” </w:t>
      </w:r>
      <w:r w:rsidRPr="00052C0C">
        <w:rPr>
          <w:i/>
          <w:iCs/>
        </w:rPr>
        <w:t xml:space="preserve">Business Review </w:t>
      </w:r>
      <w:r w:rsidRPr="00052C0C">
        <w:t xml:space="preserve">Q4 (2014): 1-7. The Science Coalition, “Sparking Economic Growth: How federally funded university research creates innovation, new companies and jobs” (2010).  </w:t>
      </w:r>
      <w:proofErr w:type="gramStart"/>
      <w:r w:rsidRPr="00052C0C">
        <w:t>National Science Foundation, “Science and Engineering Technology Indicators, 2014” (2015).</w:t>
      </w:r>
      <w:proofErr w:type="gramEnd"/>
      <w:r>
        <w:t xml:space="preserve"> </w:t>
      </w:r>
      <w:r w:rsidRPr="00E30D2A">
        <w:t xml:space="preserve">For a full review of the use of patenting activity as a proxy for innovation prowess, see </w:t>
      </w:r>
      <w:r w:rsidRPr="00AE456F">
        <w:t>Jonathan Rothwell and others, “Patenting Prosperity: Invention and Economic Performance in the United States and its Metropolitan Areas”</w:t>
      </w:r>
      <w:r w:rsidRPr="00AE456F">
        <w:rPr>
          <w:i/>
        </w:rPr>
        <w:t xml:space="preserve"> </w:t>
      </w:r>
      <w:r w:rsidRPr="00AE456F">
        <w:t>(Washington: Brookings Institution, 2013).</w:t>
      </w:r>
      <w:r>
        <w:t xml:space="preserve"> For a full review of the role of venture capital in innovation, see: </w:t>
      </w:r>
      <w:r w:rsidRPr="00052C0C">
        <w:t xml:space="preserve">Samuel </w:t>
      </w:r>
      <w:proofErr w:type="spellStart"/>
      <w:r w:rsidRPr="00052C0C">
        <w:t>Kortum</w:t>
      </w:r>
      <w:proofErr w:type="spellEnd"/>
      <w:r w:rsidRPr="00052C0C">
        <w:t xml:space="preserve"> and Josh Lerner, “Assessing the Contribution of Venture Capital to Innovation,” </w:t>
      </w:r>
      <w:r w:rsidRPr="00052C0C">
        <w:rPr>
          <w:i/>
          <w:iCs/>
        </w:rPr>
        <w:t>Rand Journal of Economics</w:t>
      </w:r>
      <w:r w:rsidRPr="00052C0C">
        <w:t xml:space="preserve"> 31 (4) (2000): 674-92. Dirk Engel and Max </w:t>
      </w:r>
      <w:proofErr w:type="spellStart"/>
      <w:r w:rsidRPr="00052C0C">
        <w:t>Keilbach</w:t>
      </w:r>
      <w:proofErr w:type="spellEnd"/>
      <w:r w:rsidRPr="00052C0C">
        <w:t xml:space="preserve">, “Firm-level implications of early stage venture capital investment — </w:t>
      </w:r>
      <w:proofErr w:type="gramStart"/>
      <w:r w:rsidRPr="00052C0C">
        <w:t>An</w:t>
      </w:r>
      <w:proofErr w:type="gramEnd"/>
      <w:r w:rsidRPr="00052C0C">
        <w:t xml:space="preserve"> empirical investigation,” </w:t>
      </w:r>
      <w:r w:rsidRPr="00052C0C">
        <w:rPr>
          <w:i/>
          <w:iCs/>
        </w:rPr>
        <w:t xml:space="preserve">Journal of Empirical Finance </w:t>
      </w:r>
      <w:r w:rsidRPr="00052C0C">
        <w:t>14 (2) (2007): 150-167.</w:t>
      </w:r>
    </w:p>
  </w:endnote>
  <w:endnote w:id="40">
    <w:p w14:paraId="432F0F97" w14:textId="77777777" w:rsidR="00142F9D" w:rsidRPr="005A52C5" w:rsidRDefault="00142F9D" w:rsidP="00945853">
      <w:pPr>
        <w:autoSpaceDE w:val="0"/>
        <w:autoSpaceDN w:val="0"/>
        <w:adjustRightInd w:val="0"/>
        <w:spacing w:after="0" w:line="240" w:lineRule="auto"/>
        <w:rPr>
          <w:sz w:val="20"/>
          <w:szCs w:val="20"/>
        </w:rPr>
      </w:pPr>
      <w:r w:rsidRPr="00052C0C">
        <w:rPr>
          <w:rStyle w:val="EndnoteReference"/>
        </w:rPr>
        <w:endnoteRef/>
      </w:r>
      <w:r w:rsidRPr="00052C0C">
        <w:t xml:space="preserve"> </w:t>
      </w:r>
      <w:r w:rsidRPr="00D72809">
        <w:rPr>
          <w:sz w:val="20"/>
          <w:szCs w:val="20"/>
        </w:rPr>
        <w:t xml:space="preserve">See Robert E. Lucas, Jr., “On the Mechanics of Economic Development,” </w:t>
      </w:r>
      <w:r w:rsidRPr="00D72809">
        <w:rPr>
          <w:i/>
          <w:iCs/>
          <w:sz w:val="20"/>
          <w:szCs w:val="20"/>
        </w:rPr>
        <w:t xml:space="preserve">Journal of Monetary Economics </w:t>
      </w:r>
      <w:r w:rsidRPr="00D72809">
        <w:rPr>
          <w:sz w:val="20"/>
          <w:szCs w:val="20"/>
        </w:rPr>
        <w:t xml:space="preserve">22 (1988): 3-42. Enrico Moretti, “Human Capital Externalities in Cities.” Working Paper 9461 (National Bureau of Economic Research, 2003).  Jesse M. Shapiro, “Smart Cities: Quality of Life, Productivity, and the Growth Effects of Human Capital,” </w:t>
      </w:r>
      <w:r w:rsidRPr="00D72809">
        <w:rPr>
          <w:rFonts w:cs="Times-Italic"/>
          <w:i/>
          <w:iCs/>
          <w:sz w:val="20"/>
          <w:szCs w:val="20"/>
        </w:rPr>
        <w:t xml:space="preserve">The Review of Economics and Statistics </w:t>
      </w:r>
      <w:r w:rsidRPr="00D72809">
        <w:rPr>
          <w:rFonts w:cs="Times-Roman"/>
          <w:sz w:val="20"/>
          <w:szCs w:val="20"/>
        </w:rPr>
        <w:t>88(2) (2006): 324-335.</w:t>
      </w:r>
      <w:r w:rsidRPr="00D72809">
        <w:rPr>
          <w:sz w:val="20"/>
          <w:szCs w:val="20"/>
        </w:rPr>
        <w:t xml:space="preserve"> Ricardo </w:t>
      </w:r>
      <w:proofErr w:type="spellStart"/>
      <w:r w:rsidRPr="00D72809">
        <w:rPr>
          <w:sz w:val="20"/>
          <w:szCs w:val="20"/>
        </w:rPr>
        <w:t>Hausmann</w:t>
      </w:r>
      <w:proofErr w:type="spellEnd"/>
      <w:r w:rsidRPr="00D72809">
        <w:rPr>
          <w:sz w:val="20"/>
          <w:szCs w:val="20"/>
        </w:rPr>
        <w:t xml:space="preserve"> and others, “The Atlas of Economic Complexity: Mapping Paths to Prosperity” (Cambridge: Harvard Center for International Development, 2013). Rodolfo E. </w:t>
      </w:r>
      <w:proofErr w:type="spellStart"/>
      <w:r w:rsidRPr="00D72809">
        <w:rPr>
          <w:sz w:val="20"/>
          <w:szCs w:val="20"/>
        </w:rPr>
        <w:t>Manuelli</w:t>
      </w:r>
      <w:proofErr w:type="spellEnd"/>
      <w:r w:rsidRPr="00D72809">
        <w:rPr>
          <w:sz w:val="20"/>
          <w:szCs w:val="20"/>
        </w:rPr>
        <w:t xml:space="preserve"> and </w:t>
      </w:r>
      <w:proofErr w:type="spellStart"/>
      <w:r w:rsidRPr="00D72809">
        <w:rPr>
          <w:sz w:val="20"/>
          <w:szCs w:val="20"/>
        </w:rPr>
        <w:t>Ananth</w:t>
      </w:r>
      <w:proofErr w:type="spellEnd"/>
      <w:r w:rsidRPr="00D72809">
        <w:rPr>
          <w:sz w:val="20"/>
          <w:szCs w:val="20"/>
        </w:rPr>
        <w:t xml:space="preserve"> </w:t>
      </w:r>
      <w:proofErr w:type="spellStart"/>
      <w:r w:rsidRPr="00D72809">
        <w:rPr>
          <w:sz w:val="20"/>
          <w:szCs w:val="20"/>
        </w:rPr>
        <w:t>Seshadri</w:t>
      </w:r>
      <w:proofErr w:type="spellEnd"/>
      <w:r w:rsidRPr="00D72809">
        <w:rPr>
          <w:sz w:val="20"/>
          <w:szCs w:val="20"/>
        </w:rPr>
        <w:t xml:space="preserve">, “Human Capital and the Wealth of Nations,” </w:t>
      </w:r>
      <w:r w:rsidRPr="00D72809">
        <w:rPr>
          <w:i/>
          <w:iCs/>
          <w:sz w:val="20"/>
          <w:szCs w:val="20"/>
        </w:rPr>
        <w:t xml:space="preserve">American Economic Review </w:t>
      </w:r>
      <w:r w:rsidRPr="00D72809">
        <w:rPr>
          <w:sz w:val="20"/>
          <w:szCs w:val="20"/>
        </w:rPr>
        <w:t xml:space="preserve">104(9) (2014): 2736-2762. </w:t>
      </w:r>
      <w:proofErr w:type="gramStart"/>
      <w:r w:rsidRPr="00D72809">
        <w:rPr>
          <w:sz w:val="20"/>
          <w:szCs w:val="20"/>
        </w:rPr>
        <w:t xml:space="preserve">Eric A. </w:t>
      </w:r>
      <w:proofErr w:type="spellStart"/>
      <w:r w:rsidRPr="00D72809">
        <w:rPr>
          <w:sz w:val="20"/>
          <w:szCs w:val="20"/>
        </w:rPr>
        <w:t>Hanushek</w:t>
      </w:r>
      <w:proofErr w:type="spellEnd"/>
      <w:r w:rsidRPr="00D72809">
        <w:rPr>
          <w:sz w:val="20"/>
          <w:szCs w:val="20"/>
        </w:rPr>
        <w:t xml:space="preserve"> and </w:t>
      </w:r>
      <w:proofErr w:type="spellStart"/>
      <w:r w:rsidRPr="00D72809">
        <w:rPr>
          <w:sz w:val="20"/>
          <w:szCs w:val="20"/>
        </w:rPr>
        <w:t>Ludger</w:t>
      </w:r>
      <w:proofErr w:type="spellEnd"/>
      <w:r w:rsidRPr="00D72809">
        <w:rPr>
          <w:sz w:val="20"/>
          <w:szCs w:val="20"/>
        </w:rPr>
        <w:t xml:space="preserve"> </w:t>
      </w:r>
      <w:proofErr w:type="spellStart"/>
      <w:r w:rsidRPr="00D72809">
        <w:rPr>
          <w:sz w:val="20"/>
          <w:szCs w:val="20"/>
        </w:rPr>
        <w:t>Woessmann</w:t>
      </w:r>
      <w:proofErr w:type="spellEnd"/>
      <w:r w:rsidRPr="00D72809">
        <w:rPr>
          <w:sz w:val="20"/>
          <w:szCs w:val="20"/>
        </w:rPr>
        <w:t>, “Education and Economic Growth.”</w:t>
      </w:r>
      <w:proofErr w:type="gramEnd"/>
      <w:r w:rsidRPr="00D72809">
        <w:rPr>
          <w:sz w:val="20"/>
          <w:szCs w:val="20"/>
        </w:rPr>
        <w:t xml:space="preserve"> In Dominic J. Brewer and Patrick J. McEwan, eds., </w:t>
      </w:r>
      <w:r w:rsidRPr="00D72809">
        <w:rPr>
          <w:i/>
          <w:iCs/>
          <w:sz w:val="20"/>
          <w:szCs w:val="20"/>
        </w:rPr>
        <w:t xml:space="preserve">Economics of Education </w:t>
      </w:r>
      <w:r w:rsidRPr="00D72809">
        <w:rPr>
          <w:sz w:val="20"/>
          <w:szCs w:val="20"/>
        </w:rPr>
        <w:t>(Amsterdam: Elsevier, 2010).</w:t>
      </w:r>
      <w:r w:rsidRPr="00052C0C">
        <w:t xml:space="preserve"> </w:t>
      </w:r>
      <w:r w:rsidRPr="00052C0C">
        <w:rPr>
          <w:sz w:val="20"/>
          <w:szCs w:val="20"/>
        </w:rPr>
        <w:t xml:space="preserve">Higher concentrations of educated workers not only increase the productivity of the cities directly, but also raise the average productivity of the surrounding workforce. Moretti (2004) found that the productivity of non-tertiary educated workforce increased by 5-6 percent for every 10 percentage point increase in the share of tertiary-educated population in a city. </w:t>
      </w:r>
      <w:proofErr w:type="spellStart"/>
      <w:r w:rsidRPr="00052C0C">
        <w:rPr>
          <w:sz w:val="20"/>
          <w:szCs w:val="20"/>
        </w:rPr>
        <w:t>Ahrend</w:t>
      </w:r>
      <w:proofErr w:type="spellEnd"/>
      <w:r w:rsidRPr="00052C0C">
        <w:rPr>
          <w:sz w:val="20"/>
          <w:szCs w:val="20"/>
        </w:rPr>
        <w:t xml:space="preserve"> et al. (2014) found that these gains were slightly smaller, at 3-4 percent, for a 10 percentage point increase.  </w:t>
      </w:r>
      <w:proofErr w:type="spellStart"/>
      <w:r w:rsidRPr="00052C0C">
        <w:rPr>
          <w:sz w:val="20"/>
          <w:szCs w:val="20"/>
        </w:rPr>
        <w:t>Organisation</w:t>
      </w:r>
      <w:proofErr w:type="spellEnd"/>
      <w:r w:rsidRPr="00052C0C">
        <w:rPr>
          <w:sz w:val="20"/>
          <w:szCs w:val="20"/>
        </w:rPr>
        <w:t xml:space="preserve"> of Economic Co-operation and Development, “The Metropolitan Century: Understanding </w:t>
      </w:r>
      <w:proofErr w:type="spellStart"/>
      <w:r w:rsidRPr="00052C0C">
        <w:rPr>
          <w:sz w:val="20"/>
          <w:szCs w:val="20"/>
        </w:rPr>
        <w:t>Urbanisation</w:t>
      </w:r>
      <w:proofErr w:type="spellEnd"/>
      <w:r w:rsidRPr="00052C0C">
        <w:rPr>
          <w:sz w:val="20"/>
          <w:szCs w:val="20"/>
        </w:rPr>
        <w:t xml:space="preserve"> and its Consequences” (2015).  Enrico </w:t>
      </w:r>
      <w:r w:rsidRPr="00052C0C">
        <w:rPr>
          <w:rFonts w:cs="TimesNewRoman"/>
          <w:sz w:val="20"/>
          <w:szCs w:val="20"/>
        </w:rPr>
        <w:t xml:space="preserve">Moretti, “Workers’ education, spillovers, and productivity: Evidence from plant-level production functions,” </w:t>
      </w:r>
      <w:r w:rsidRPr="00052C0C">
        <w:rPr>
          <w:rFonts w:cs="TimesNewRoman,Italic"/>
          <w:i/>
          <w:iCs/>
          <w:sz w:val="20"/>
          <w:szCs w:val="20"/>
        </w:rPr>
        <w:t>American Economic Review</w:t>
      </w:r>
      <w:r w:rsidRPr="00052C0C">
        <w:rPr>
          <w:rFonts w:cs="TimesNewRoman"/>
          <w:sz w:val="20"/>
          <w:szCs w:val="20"/>
        </w:rPr>
        <w:t xml:space="preserve">, 94 (3) (2004): 656-690. </w:t>
      </w:r>
      <w:proofErr w:type="spellStart"/>
      <w:proofErr w:type="gramStart"/>
      <w:r w:rsidRPr="00052C0C">
        <w:rPr>
          <w:rFonts w:cs="TimesNewRoman"/>
          <w:sz w:val="20"/>
          <w:szCs w:val="20"/>
        </w:rPr>
        <w:t>Rudiger</w:t>
      </w:r>
      <w:proofErr w:type="spellEnd"/>
      <w:r w:rsidRPr="00052C0C">
        <w:rPr>
          <w:rFonts w:cs="TimesNewRoman"/>
          <w:sz w:val="20"/>
          <w:szCs w:val="20"/>
        </w:rPr>
        <w:t xml:space="preserve"> </w:t>
      </w:r>
      <w:proofErr w:type="spellStart"/>
      <w:r w:rsidRPr="00052C0C">
        <w:rPr>
          <w:rFonts w:cs="TimesNewRoman"/>
          <w:sz w:val="20"/>
          <w:szCs w:val="20"/>
        </w:rPr>
        <w:t>Ahrend</w:t>
      </w:r>
      <w:proofErr w:type="spellEnd"/>
      <w:r w:rsidRPr="00052C0C">
        <w:rPr>
          <w:rFonts w:cs="TimesNewRoman"/>
          <w:sz w:val="20"/>
          <w:szCs w:val="20"/>
        </w:rPr>
        <w:t xml:space="preserve"> and others, “What Makes Cities More Productive?</w:t>
      </w:r>
      <w:proofErr w:type="gramEnd"/>
      <w:r w:rsidRPr="00052C0C">
        <w:rPr>
          <w:rFonts w:cs="TimesNewRoman"/>
          <w:sz w:val="20"/>
          <w:szCs w:val="20"/>
        </w:rPr>
        <w:t xml:space="preserve"> Evidence on the Role of Urban Governance from Five OECD Countries,” (Paris: </w:t>
      </w:r>
      <w:proofErr w:type="spellStart"/>
      <w:r w:rsidRPr="00052C0C">
        <w:rPr>
          <w:sz w:val="20"/>
          <w:szCs w:val="20"/>
        </w:rPr>
        <w:t>Organisation</w:t>
      </w:r>
      <w:proofErr w:type="spellEnd"/>
      <w:r w:rsidRPr="00052C0C">
        <w:rPr>
          <w:sz w:val="20"/>
          <w:szCs w:val="20"/>
        </w:rPr>
        <w:t xml:space="preserve"> of Economic Co-operation and Development</w:t>
      </w:r>
      <w:r w:rsidRPr="00052C0C">
        <w:rPr>
          <w:rFonts w:cs="TimesNewRoman"/>
          <w:sz w:val="20"/>
          <w:szCs w:val="20"/>
        </w:rPr>
        <w:t xml:space="preserve">, 2014). Also see broader human capital literature review in </w:t>
      </w:r>
      <w:r w:rsidRPr="00052C0C">
        <w:rPr>
          <w:sz w:val="20"/>
          <w:szCs w:val="20"/>
        </w:rPr>
        <w:t xml:space="preserve">George Washington Institute of Public Policy and RW Ventures, “Implementing Regionalism.” </w:t>
      </w:r>
      <w:r w:rsidRPr="00A30FE5">
        <w:rPr>
          <w:sz w:val="20"/>
          <w:szCs w:val="20"/>
        </w:rPr>
        <w:t>An increasing literature shows that immigration has positive long run economic impacts. Kerr and Lincoln (2010) show that a 10 percent increase in H1-B visa holders in U.S. cities is associated with a 0.2-0.7 increase in total invention. Indian and Chinese inventions, in particular, increase by 4-5 percent. Immigrants are not less skilled (Cortés and Pan, 2014) nor more violent (Miles and Cox, 2014) than natives, and increase natives’ scientific productivity (</w:t>
      </w:r>
      <w:proofErr w:type="spellStart"/>
      <w:r w:rsidRPr="00A30FE5">
        <w:rPr>
          <w:sz w:val="20"/>
          <w:szCs w:val="20"/>
        </w:rPr>
        <w:t>Chellaraj</w:t>
      </w:r>
      <w:proofErr w:type="spellEnd"/>
      <w:r w:rsidRPr="00A30FE5">
        <w:rPr>
          <w:sz w:val="20"/>
          <w:szCs w:val="20"/>
        </w:rPr>
        <w:t xml:space="preserve"> et al, 2008). Although Wozniak and Murray (2012), amongst others, show that one additional migrant reduces high-skilled labor supply by 0.38-0.58 in the short term, the longer term impacts likely offset any displacement or reduction in natives’ wages immediately after immigration waves. Altogether, the literature supports attracting more foreign-born labor supply to increase innovation and thus competitiveness of metropolitan areas. William R. Kerr and William F. Lincoln, "The Supply Side of Innovation: H‐1B Visa Reforms and U.S. Ethnic Invention", </w:t>
      </w:r>
      <w:r w:rsidRPr="00A30FE5">
        <w:rPr>
          <w:i/>
          <w:sz w:val="20"/>
          <w:szCs w:val="20"/>
        </w:rPr>
        <w:t>Journal of Labor Economics</w:t>
      </w:r>
      <w:r w:rsidRPr="00A30FE5">
        <w:rPr>
          <w:sz w:val="20"/>
          <w:szCs w:val="20"/>
        </w:rPr>
        <w:t xml:space="preserve"> 28 (3):473-508, 2010. </w:t>
      </w:r>
      <w:proofErr w:type="gramStart"/>
      <w:r w:rsidRPr="00A30FE5">
        <w:rPr>
          <w:sz w:val="20"/>
          <w:szCs w:val="20"/>
        </w:rPr>
        <w:t xml:space="preserve">Patricia Cortés and Jessica Pan, "Foreign nurse importation and the supply of native nurses", </w:t>
      </w:r>
      <w:r w:rsidRPr="00A30FE5">
        <w:rPr>
          <w:i/>
          <w:sz w:val="20"/>
          <w:szCs w:val="20"/>
        </w:rPr>
        <w:t>Journal of Health Economics</w:t>
      </w:r>
      <w:r w:rsidRPr="00A30FE5">
        <w:rPr>
          <w:sz w:val="20"/>
          <w:szCs w:val="20"/>
        </w:rPr>
        <w:t xml:space="preserve"> 37:164-180, 2014.</w:t>
      </w:r>
      <w:proofErr w:type="gramEnd"/>
      <w:r w:rsidRPr="00A30FE5">
        <w:rPr>
          <w:sz w:val="20"/>
          <w:szCs w:val="20"/>
        </w:rPr>
        <w:t xml:space="preserve"> Thomas J. Miles and Adam B. Cox, "Does Immigration Enforcement Reduce Crime? Evidence from Secure Communities", </w:t>
      </w:r>
      <w:r w:rsidRPr="00A30FE5">
        <w:rPr>
          <w:i/>
          <w:sz w:val="20"/>
          <w:szCs w:val="20"/>
        </w:rPr>
        <w:t>Journal of Law and Economics</w:t>
      </w:r>
      <w:r w:rsidRPr="00A30FE5">
        <w:rPr>
          <w:sz w:val="20"/>
          <w:szCs w:val="20"/>
        </w:rPr>
        <w:t xml:space="preserve"> 57 (4):937-973, 2014. Abigail Wozniak and Thomas J. Murray, “Timing is everything: Short-run population impacts of immigration in US cities”, </w:t>
      </w:r>
      <w:r w:rsidRPr="00A30FE5">
        <w:rPr>
          <w:i/>
          <w:sz w:val="20"/>
          <w:szCs w:val="20"/>
        </w:rPr>
        <w:t>Journal of Urban Economics</w:t>
      </w:r>
      <w:r w:rsidRPr="00A30FE5">
        <w:rPr>
          <w:sz w:val="20"/>
          <w:szCs w:val="20"/>
        </w:rPr>
        <w:t xml:space="preserve"> 72 (1): 60-78, 2012. </w:t>
      </w:r>
      <w:proofErr w:type="spellStart"/>
      <w:r w:rsidRPr="00A30FE5">
        <w:rPr>
          <w:sz w:val="20"/>
          <w:szCs w:val="20"/>
        </w:rPr>
        <w:t>Gnanaraj</w:t>
      </w:r>
      <w:proofErr w:type="spellEnd"/>
      <w:r w:rsidRPr="00A30FE5">
        <w:rPr>
          <w:sz w:val="20"/>
          <w:szCs w:val="20"/>
        </w:rPr>
        <w:t xml:space="preserve"> </w:t>
      </w:r>
      <w:proofErr w:type="spellStart"/>
      <w:r w:rsidRPr="00A30FE5">
        <w:rPr>
          <w:sz w:val="20"/>
          <w:szCs w:val="20"/>
        </w:rPr>
        <w:t>Chellaraj</w:t>
      </w:r>
      <w:proofErr w:type="spellEnd"/>
      <w:r w:rsidRPr="00A30FE5">
        <w:rPr>
          <w:sz w:val="20"/>
          <w:szCs w:val="20"/>
        </w:rPr>
        <w:t xml:space="preserve">, Keith E. </w:t>
      </w:r>
      <w:proofErr w:type="spellStart"/>
      <w:r w:rsidRPr="00A30FE5">
        <w:rPr>
          <w:sz w:val="20"/>
          <w:szCs w:val="20"/>
        </w:rPr>
        <w:t>Maskus</w:t>
      </w:r>
      <w:proofErr w:type="spellEnd"/>
      <w:r w:rsidRPr="00A30FE5">
        <w:rPr>
          <w:sz w:val="20"/>
          <w:szCs w:val="20"/>
        </w:rPr>
        <w:t xml:space="preserve">, </w:t>
      </w:r>
      <w:proofErr w:type="spellStart"/>
      <w:r w:rsidRPr="00A30FE5">
        <w:rPr>
          <w:sz w:val="20"/>
          <w:szCs w:val="20"/>
        </w:rPr>
        <w:t>Aaditya</w:t>
      </w:r>
      <w:proofErr w:type="spellEnd"/>
      <w:r w:rsidRPr="00A30FE5">
        <w:rPr>
          <w:sz w:val="20"/>
          <w:szCs w:val="20"/>
        </w:rPr>
        <w:t xml:space="preserve"> </w:t>
      </w:r>
      <w:proofErr w:type="spellStart"/>
      <w:r w:rsidRPr="00A30FE5">
        <w:rPr>
          <w:sz w:val="20"/>
          <w:szCs w:val="20"/>
        </w:rPr>
        <w:t>Mattoo</w:t>
      </w:r>
      <w:proofErr w:type="spellEnd"/>
      <w:r w:rsidRPr="00A30FE5">
        <w:rPr>
          <w:sz w:val="20"/>
          <w:szCs w:val="20"/>
        </w:rPr>
        <w:t xml:space="preserve">, “The Contribution of International Graduate Students to U.S. Innovation”, </w:t>
      </w:r>
      <w:r w:rsidRPr="00A30FE5">
        <w:rPr>
          <w:i/>
          <w:sz w:val="20"/>
          <w:szCs w:val="20"/>
        </w:rPr>
        <w:t>Review of International Economics</w:t>
      </w:r>
      <w:r w:rsidRPr="00A30FE5">
        <w:rPr>
          <w:sz w:val="20"/>
          <w:szCs w:val="20"/>
        </w:rPr>
        <w:t xml:space="preserve"> 16 (3): 444-462, 2008.</w:t>
      </w:r>
    </w:p>
  </w:endnote>
  <w:endnote w:id="41">
    <w:p w14:paraId="6DFABE77" w14:textId="77562E4D" w:rsidR="00142F9D" w:rsidRPr="00052C0C" w:rsidRDefault="00142F9D" w:rsidP="00A30FE5">
      <w:pPr>
        <w:pStyle w:val="EndnoteText"/>
      </w:pPr>
      <w:r w:rsidRPr="00052C0C">
        <w:rPr>
          <w:rStyle w:val="EndnoteReference"/>
        </w:rPr>
        <w:endnoteRef/>
      </w:r>
      <w:r w:rsidRPr="00052C0C">
        <w:t xml:space="preserve"> World Bank (1993) highlighted that the contribution of infrastructure to growth is only to the extent that the infrastructure increases productivity or improve quality of life. Canning and Fay (1993) showed that the increase in physical infrastructure such as transportation and telecommunication systems have significant impacts on growth rates. Meanwhile, the improvement in quality of life raises the productivity of other factors of production by lowering the cost of attainment of labor or capital, and thereby increasing their rate of returns. </w:t>
      </w:r>
      <w:proofErr w:type="gramStart"/>
      <w:r w:rsidRPr="00052C0C">
        <w:t xml:space="preserve">Christine </w:t>
      </w:r>
      <w:proofErr w:type="spellStart"/>
      <w:r w:rsidRPr="00052C0C">
        <w:t>Kessides</w:t>
      </w:r>
      <w:proofErr w:type="spellEnd"/>
      <w:r w:rsidRPr="00052C0C">
        <w:t>, “The Contributions of Infrastructure to Economic Development” (Washington: World Bank, 1993).</w:t>
      </w:r>
      <w:proofErr w:type="gramEnd"/>
      <w:r w:rsidRPr="00052C0C">
        <w:t xml:space="preserve"> </w:t>
      </w:r>
      <w:proofErr w:type="gramStart"/>
      <w:r w:rsidRPr="00052C0C">
        <w:t>David Canning and Marianne Fay, “The Effects of Transportation Networks on Economic Growth” Discussion Paper (Columbia University, 1993).</w:t>
      </w:r>
      <w:proofErr w:type="gramEnd"/>
      <w:r>
        <w:t xml:space="preserve"> </w:t>
      </w:r>
      <w:r w:rsidRPr="00052C0C">
        <w:t xml:space="preserve">Jan K. </w:t>
      </w:r>
      <w:proofErr w:type="spellStart"/>
      <w:r w:rsidRPr="00052C0C">
        <w:t>Brueckner</w:t>
      </w:r>
      <w:proofErr w:type="spellEnd"/>
      <w:r w:rsidRPr="00052C0C">
        <w:t xml:space="preserve">, “Airline Traffic and Urban Economic Development,” </w:t>
      </w:r>
      <w:r w:rsidRPr="00052C0C">
        <w:rPr>
          <w:i/>
          <w:iCs/>
        </w:rPr>
        <w:t>Urban Studies</w:t>
      </w:r>
      <w:r w:rsidRPr="00052C0C">
        <w:t xml:space="preserve"> 40(8) (2003): 1455 -1469. Richard Florida, </w:t>
      </w:r>
      <w:proofErr w:type="spellStart"/>
      <w:r w:rsidRPr="00052C0C">
        <w:t>Charlotta</w:t>
      </w:r>
      <w:proofErr w:type="spellEnd"/>
      <w:r w:rsidRPr="00052C0C">
        <w:t xml:space="preserve"> </w:t>
      </w:r>
      <w:proofErr w:type="spellStart"/>
      <w:r w:rsidRPr="00052C0C">
        <w:t>Mellander</w:t>
      </w:r>
      <w:proofErr w:type="spellEnd"/>
      <w:r w:rsidRPr="00052C0C">
        <w:t xml:space="preserve">, and Thomas </w:t>
      </w:r>
      <w:proofErr w:type="spellStart"/>
      <w:r w:rsidRPr="00052C0C">
        <w:t>Holgersson</w:t>
      </w:r>
      <w:proofErr w:type="spellEnd"/>
      <w:r w:rsidRPr="00052C0C">
        <w:t xml:space="preserve">, “Up in the Air: The Role of Airports for Regional Economic Development,” Working Paper 267 (Stockholm: Royal Institute of Technology’s Centre of Excellence for Science and Innovation Studies, 2012). Richard K. Green, “Airports and Economic Development,” </w:t>
      </w:r>
      <w:r w:rsidRPr="00052C0C">
        <w:rPr>
          <w:i/>
          <w:iCs/>
        </w:rPr>
        <w:t>Real Estate Economics</w:t>
      </w:r>
      <w:r w:rsidRPr="00052C0C">
        <w:t xml:space="preserve"> 35(1) (2007): 91-112. Zachary P. Neal, “Refining the Air Traffic Approach to City Networks,” </w:t>
      </w:r>
      <w:r w:rsidRPr="00052C0C">
        <w:rPr>
          <w:i/>
          <w:iCs/>
        </w:rPr>
        <w:t>Urban Studies</w:t>
      </w:r>
      <w:r w:rsidRPr="00052C0C">
        <w:t xml:space="preserve"> </w:t>
      </w:r>
      <w:r w:rsidRPr="00052C0C">
        <w:rPr>
          <w:i/>
          <w:iCs/>
        </w:rPr>
        <w:t>47</w:t>
      </w:r>
      <w:r w:rsidRPr="00052C0C">
        <w:t xml:space="preserve">(10) (2010): 2195 -2215. Zachary P. Neal, “The Causal Relationship </w:t>
      </w:r>
      <w:proofErr w:type="gramStart"/>
      <w:r w:rsidRPr="00052C0C">
        <w:t>Between</w:t>
      </w:r>
      <w:proofErr w:type="gramEnd"/>
      <w:r w:rsidRPr="00052C0C">
        <w:t xml:space="preserve"> Employment and Business Networks in U.S. Cities,” </w:t>
      </w:r>
      <w:r w:rsidRPr="00052C0C">
        <w:rPr>
          <w:i/>
          <w:iCs/>
        </w:rPr>
        <w:t xml:space="preserve">Journal of Urban Affairs </w:t>
      </w:r>
      <w:r w:rsidRPr="00052C0C">
        <w:t>00(0) (2011): 1-18.</w:t>
      </w:r>
      <w:r>
        <w:t xml:space="preserve"> </w:t>
      </w:r>
      <w:proofErr w:type="spellStart"/>
      <w:r w:rsidRPr="00052C0C">
        <w:t>Tranos</w:t>
      </w:r>
      <w:proofErr w:type="spellEnd"/>
      <w:r w:rsidRPr="00052C0C">
        <w:t xml:space="preserve"> (2013) finds that internet infrastructure can generate significant positive effects for the economic development of cities, primarily in knowledge-intensive and services industries, but must be complemented by other factors that allows for the true value of new information to be realized, assimilated and commercialized (e.g. sufficient human capital, complementary technologies, etc.). </w:t>
      </w:r>
      <w:proofErr w:type="spellStart"/>
      <w:r w:rsidRPr="00052C0C">
        <w:t>Kolko</w:t>
      </w:r>
      <w:proofErr w:type="spellEnd"/>
      <w:r w:rsidRPr="00052C0C">
        <w:t xml:space="preserve"> (2010) finds a positive relationship between broadband expansion and economic growth, which is strongest in industries that rely more on information technology and in areas with lower population densities. Finally, a study from Copenhagen Economics indicates that the greatest productivity gains from broadband speed increases occur at lower ends of the speed spectrum. For instance, an increase from 5 to 10 Mbps gives a gain of approximately 1.9 percent while an increase from 25 to 30 Mbps gives a gain of approximately 0.5 percent. </w:t>
      </w:r>
      <w:proofErr w:type="spellStart"/>
      <w:r w:rsidRPr="00052C0C">
        <w:t>Emmanouil</w:t>
      </w:r>
      <w:proofErr w:type="spellEnd"/>
      <w:r w:rsidRPr="00052C0C">
        <w:t xml:space="preserve"> </w:t>
      </w:r>
      <w:proofErr w:type="spellStart"/>
      <w:r w:rsidRPr="00052C0C">
        <w:t>Tranos</w:t>
      </w:r>
      <w:proofErr w:type="spellEnd"/>
      <w:r w:rsidRPr="00052C0C">
        <w:t xml:space="preserve">, </w:t>
      </w:r>
      <w:proofErr w:type="gramStart"/>
      <w:r w:rsidRPr="00052C0C">
        <w:rPr>
          <w:i/>
          <w:iCs/>
        </w:rPr>
        <w:t>The</w:t>
      </w:r>
      <w:proofErr w:type="gramEnd"/>
      <w:r w:rsidRPr="00052C0C">
        <w:rPr>
          <w:i/>
          <w:iCs/>
        </w:rPr>
        <w:t xml:space="preserve"> Geography of the Internet: Cities, Regions and Internet Infrastructure in Europe </w:t>
      </w:r>
      <w:r w:rsidRPr="00052C0C">
        <w:t xml:space="preserve">(Cheltenham: Edward Elgar, 2013). Jed </w:t>
      </w:r>
      <w:proofErr w:type="spellStart"/>
      <w:r w:rsidRPr="00052C0C">
        <w:t>Kolko</w:t>
      </w:r>
      <w:proofErr w:type="spellEnd"/>
      <w:r w:rsidRPr="00052C0C">
        <w:t>, “Does Broadband Boost Local Economic Development?” (San Francisco: Public Policy Institute of California, 2010). Copenhagen Economics, “The Socio-economic Value of Digital Infrastructures” (2010).</w:t>
      </w:r>
    </w:p>
  </w:endnote>
  <w:endnote w:id="42">
    <w:p w14:paraId="7A3A4A79" w14:textId="77777777" w:rsidR="00142F9D" w:rsidRDefault="00142F9D" w:rsidP="006B165C">
      <w:pPr>
        <w:pStyle w:val="EndnoteText"/>
      </w:pPr>
      <w:r>
        <w:rPr>
          <w:rStyle w:val="EndnoteReference"/>
        </w:rPr>
        <w:endnoteRef/>
      </w:r>
      <w:r>
        <w:t xml:space="preserve"> </w:t>
      </w:r>
      <w:proofErr w:type="spellStart"/>
      <w:proofErr w:type="gramStart"/>
      <w:r w:rsidRPr="0024783D">
        <w:t>McDearman</w:t>
      </w:r>
      <w:proofErr w:type="spellEnd"/>
      <w:r w:rsidRPr="0024783D">
        <w:t xml:space="preserve"> and others, “10 Traits of Globally Fluent Metro Areas.”</w:t>
      </w:r>
      <w:proofErr w:type="gramEnd"/>
      <w:r>
        <w:t xml:space="preserve"> Clark and </w:t>
      </w:r>
      <w:proofErr w:type="spellStart"/>
      <w:r>
        <w:t>Moonen</w:t>
      </w:r>
      <w:proofErr w:type="spellEnd"/>
      <w:r>
        <w:t>, “</w:t>
      </w:r>
      <w:r w:rsidRPr="00F319C1">
        <w:t>The 10 Traits of Globally Fluent Metro Areas</w:t>
      </w:r>
      <w:r>
        <w:t>: International Edition.”</w:t>
      </w:r>
    </w:p>
  </w:endnote>
  <w:endnote w:id="43">
    <w:p w14:paraId="266C03E5" w14:textId="158530D0" w:rsidR="00142F9D" w:rsidRDefault="00142F9D">
      <w:pPr>
        <w:pStyle w:val="EndnoteText"/>
      </w:pPr>
      <w:r>
        <w:rPr>
          <w:rStyle w:val="EndnoteReference"/>
        </w:rPr>
        <w:endnoteRef/>
      </w:r>
      <w:r>
        <w:t xml:space="preserve"> Note: Tshwane, Ekurhuleni, and Cape Town are smaller metro economies that were included due to having available data. </w:t>
      </w:r>
    </w:p>
  </w:endnote>
  <w:endnote w:id="44">
    <w:p w14:paraId="4D73F14D" w14:textId="6F159702" w:rsidR="00142F9D" w:rsidRDefault="00142F9D" w:rsidP="005A52C5">
      <w:pPr>
        <w:pStyle w:val="EndnoteText"/>
      </w:pPr>
      <w:r>
        <w:rPr>
          <w:rStyle w:val="EndnoteReference"/>
        </w:rPr>
        <w:endnoteRef/>
      </w:r>
      <w:r>
        <w:t xml:space="preserve"> Joseph </w:t>
      </w:r>
      <w:proofErr w:type="spellStart"/>
      <w:r>
        <w:t>Parilla</w:t>
      </w:r>
      <w:proofErr w:type="spellEnd"/>
      <w:r>
        <w:t xml:space="preserve"> and others, “Global </w:t>
      </w:r>
      <w:proofErr w:type="spellStart"/>
      <w:r>
        <w:t>MetroMonitor</w:t>
      </w:r>
      <w:proofErr w:type="spellEnd"/>
      <w:r>
        <w:t xml:space="preserve"> 2014: An Uncertain Recovery,” (Washington: Brookings Institution, 2015). Austin Kilroy and others, “</w:t>
      </w:r>
      <w:r w:rsidRPr="005A52C5">
        <w:t>Competi</w:t>
      </w:r>
      <w:r>
        <w:t>tive cities for jobs and growth</w:t>
      </w:r>
      <w:r w:rsidRPr="005A52C5">
        <w:t>: wha</w:t>
      </w:r>
      <w:r>
        <w:t>t, who, and how,” (Washington: The World Bank, 2015). Richard Dobbs and others, “Urban world: Mapping the economic power of cities” (San Francisco: McKinsey Global Institute, 2011).</w:t>
      </w:r>
    </w:p>
  </w:endnote>
  <w:endnote w:id="45">
    <w:p w14:paraId="344C5991" w14:textId="02E0F3B1" w:rsidR="00142F9D" w:rsidRDefault="00142F9D" w:rsidP="00EC6CF6">
      <w:pPr>
        <w:pStyle w:val="EndnoteText"/>
      </w:pPr>
      <w:r>
        <w:rPr>
          <w:rStyle w:val="EndnoteReference"/>
        </w:rPr>
        <w:endnoteRef/>
      </w:r>
      <w:r>
        <w:t xml:space="preserve"> Paul M. </w:t>
      </w:r>
      <w:proofErr w:type="spellStart"/>
      <w:r>
        <w:t>Romer</w:t>
      </w:r>
      <w:proofErr w:type="spellEnd"/>
      <w:r>
        <w:t xml:space="preserve">, “The Origins of Endogenous Growth.” </w:t>
      </w:r>
      <w:r>
        <w:rPr>
          <w:i/>
        </w:rPr>
        <w:t xml:space="preserve">The Journal of Economic Perspectives </w:t>
      </w:r>
      <w:r>
        <w:t xml:space="preserve">8(1) (1994): 3-22. </w:t>
      </w:r>
    </w:p>
  </w:endnote>
  <w:endnote w:id="46">
    <w:p w14:paraId="0D2A2AF6" w14:textId="01604173" w:rsidR="00142F9D" w:rsidRDefault="00142F9D">
      <w:pPr>
        <w:pStyle w:val="EndnoteText"/>
      </w:pPr>
      <w:r>
        <w:rPr>
          <w:rStyle w:val="EndnoteReference"/>
        </w:rPr>
        <w:endnoteRef/>
      </w:r>
      <w:r>
        <w:t xml:space="preserve"> See the </w:t>
      </w:r>
      <w:r w:rsidRPr="00F60788">
        <w:t>Globalization and World Cities Research Network</w:t>
      </w:r>
      <w:r>
        <w:t xml:space="preserve"> website: </w:t>
      </w:r>
      <w:hyperlink r:id="rId4" w:history="1">
        <w:r w:rsidRPr="00E84773">
          <w:rPr>
            <w:rStyle w:val="Hyperlink"/>
          </w:rPr>
          <w:t>www.lboro.ac.uk/gawc/</w:t>
        </w:r>
      </w:hyperlink>
      <w:r>
        <w:t xml:space="preserve">. </w:t>
      </w:r>
    </w:p>
  </w:endnote>
  <w:endnote w:id="47">
    <w:p w14:paraId="10D7EDE6" w14:textId="48717C62" w:rsidR="00142F9D" w:rsidRDefault="00142F9D">
      <w:pPr>
        <w:pStyle w:val="EndnoteText"/>
      </w:pPr>
      <w:r>
        <w:rPr>
          <w:rStyle w:val="EndnoteReference"/>
        </w:rPr>
        <w:endnoteRef/>
      </w:r>
      <w:r>
        <w:t xml:space="preserve"> Greg Clark, </w:t>
      </w:r>
      <w:proofErr w:type="gramStart"/>
      <w:r>
        <w:rPr>
          <w:i/>
        </w:rPr>
        <w:t>A</w:t>
      </w:r>
      <w:proofErr w:type="gramEnd"/>
      <w:r>
        <w:rPr>
          <w:i/>
        </w:rPr>
        <w:t xml:space="preserve"> Short History of Global Cities </w:t>
      </w:r>
      <w:r>
        <w:t xml:space="preserve">(Washington: Brookings Institution Press, 2016).  </w:t>
      </w:r>
    </w:p>
  </w:endnote>
  <w:endnote w:id="48">
    <w:p w14:paraId="1FD47C66" w14:textId="77777777" w:rsidR="00142F9D" w:rsidRDefault="00142F9D" w:rsidP="0034078D">
      <w:pPr>
        <w:pStyle w:val="EndnoteText"/>
      </w:pPr>
      <w:r>
        <w:rPr>
          <w:rStyle w:val="EndnoteReference"/>
        </w:rPr>
        <w:endnoteRef/>
      </w:r>
      <w:r>
        <w:t xml:space="preserve"> </w:t>
      </w:r>
      <w:r w:rsidRPr="00247A54">
        <w:t xml:space="preserve">Scott </w:t>
      </w:r>
      <w:proofErr w:type="spellStart"/>
      <w:r w:rsidRPr="00247A54">
        <w:t>Leff</w:t>
      </w:r>
      <w:proofErr w:type="spellEnd"/>
      <w:r w:rsidRPr="00247A54">
        <w:t xml:space="preserve"> and Brittany Petersen</w:t>
      </w:r>
      <w:r>
        <w:t xml:space="preserve">, “Beyond the Scorecard: Understanding Global City Rankings,” (Chicago: The Chicago Council on Global Affairs, 2015).  </w:t>
      </w:r>
    </w:p>
  </w:endnote>
  <w:endnote w:id="49">
    <w:p w14:paraId="5910E6AA" w14:textId="77777777" w:rsidR="00142F9D" w:rsidRDefault="00142F9D" w:rsidP="00784896">
      <w:pPr>
        <w:pStyle w:val="EndnoteText"/>
      </w:pPr>
      <w:r>
        <w:rPr>
          <w:rStyle w:val="EndnoteReference"/>
        </w:rPr>
        <w:endnoteRef/>
      </w:r>
      <w:r>
        <w:t xml:space="preserve"> For an overview of the three methods utilized see </w:t>
      </w:r>
      <w:r w:rsidRPr="002D0D0E">
        <w:t xml:space="preserve">Trevor Hastie, Robert </w:t>
      </w:r>
      <w:proofErr w:type="spellStart"/>
      <w:r w:rsidRPr="002D0D0E">
        <w:t>Tibshirani</w:t>
      </w:r>
      <w:proofErr w:type="spellEnd"/>
      <w:r w:rsidRPr="002D0D0E">
        <w:t xml:space="preserve">, </w:t>
      </w:r>
      <w:r>
        <w:t xml:space="preserve">and Jerome Friedman, </w:t>
      </w:r>
      <w:r w:rsidRPr="002D0D0E">
        <w:rPr>
          <w:i/>
        </w:rPr>
        <w:t>The Elements of Statistical Learning: Data Mining, Inference, and Prediction</w:t>
      </w:r>
      <w:r w:rsidRPr="002D0D0E">
        <w:t>, Springer</w:t>
      </w:r>
      <w:r>
        <w:t>: New York, 2011.</w:t>
      </w:r>
    </w:p>
  </w:endnote>
  <w:endnote w:id="50">
    <w:p w14:paraId="51390EDA" w14:textId="1A0B36AE" w:rsidR="00142F9D" w:rsidRDefault="00142F9D">
      <w:pPr>
        <w:pStyle w:val="EndnoteText"/>
      </w:pPr>
      <w:r>
        <w:rPr>
          <w:rStyle w:val="EndnoteReference"/>
        </w:rPr>
        <w:endnoteRef/>
      </w:r>
      <w:r>
        <w:t xml:space="preserve"> The only metros in this analysis that do not generate more than $100 billion in annual nominal output are Johannesburg ($94 billion), Cape Town ($67 billion), East Rand ($62 billion), and Pretoria ($61 billion). Because of their proximity, Johannesburg, East Rand, and Pretoria are often considered together as the Gauteng City-Region, which has an annual GDP of $218 billion. </w:t>
      </w:r>
    </w:p>
  </w:endnote>
  <w:endnote w:id="51">
    <w:p w14:paraId="5D5CDDBC" w14:textId="6562897C" w:rsidR="00142F9D" w:rsidRDefault="00142F9D" w:rsidP="00793FA5">
      <w:pPr>
        <w:pStyle w:val="EndnoteText"/>
      </w:pPr>
      <w:r>
        <w:rPr>
          <w:rStyle w:val="EndnoteReference"/>
        </w:rPr>
        <w:endnoteRef/>
      </w:r>
      <w:r>
        <w:t xml:space="preserve"> </w:t>
      </w:r>
      <w:proofErr w:type="gramStart"/>
      <w:r>
        <w:t xml:space="preserve">Brookings analysis of </w:t>
      </w:r>
      <w:proofErr w:type="spellStart"/>
      <w:r>
        <w:t>GaWC</w:t>
      </w:r>
      <w:proofErr w:type="spellEnd"/>
      <w:r>
        <w:t xml:space="preserve"> data.</w:t>
      </w:r>
      <w:proofErr w:type="gramEnd"/>
      <w:r>
        <w:t xml:space="preserve"> Richard Dobbs and others, “Urban world: The shifting global business landscape,” (London: McKinsey Global Institute, 2013).  </w:t>
      </w:r>
    </w:p>
  </w:endnote>
  <w:endnote w:id="52">
    <w:p w14:paraId="4EB34FF6" w14:textId="789B99B5" w:rsidR="00142F9D" w:rsidRDefault="00142F9D">
      <w:pPr>
        <w:pStyle w:val="EndnoteText"/>
      </w:pPr>
      <w:r>
        <w:rPr>
          <w:rStyle w:val="EndnoteReference"/>
        </w:rPr>
        <w:endnoteRef/>
      </w:r>
      <w:r>
        <w:t xml:space="preserve"> See generally, Saskia </w:t>
      </w:r>
      <w:proofErr w:type="spellStart"/>
      <w:r>
        <w:t>Sassen</w:t>
      </w:r>
      <w:proofErr w:type="spellEnd"/>
      <w:r>
        <w:t xml:space="preserve">, </w:t>
      </w:r>
      <w:r w:rsidRPr="00CD5F09">
        <w:rPr>
          <w:i/>
        </w:rPr>
        <w:t>The Global City: New York, London, Tokyo</w:t>
      </w:r>
      <w:r>
        <w:t xml:space="preserve"> (Princeton: Princeton University Press, 1991); Saskia </w:t>
      </w:r>
      <w:proofErr w:type="spellStart"/>
      <w:r>
        <w:t>Sassen</w:t>
      </w:r>
      <w:proofErr w:type="spellEnd"/>
      <w:r>
        <w:t xml:space="preserve">, </w:t>
      </w:r>
      <w:r w:rsidRPr="00CD5F09">
        <w:rPr>
          <w:i/>
        </w:rPr>
        <w:t>Cities in a World Economy</w:t>
      </w:r>
      <w:r>
        <w:t xml:space="preserve"> (Thousand Oaks: Pine Forge Press, 2012); Peter J. Taylor, </w:t>
      </w:r>
      <w:r w:rsidRPr="00CD5F09">
        <w:rPr>
          <w:i/>
        </w:rPr>
        <w:t>Global Urban Analysis: A Survey of Cities in Globalization</w:t>
      </w:r>
      <w:r>
        <w:t xml:space="preserve"> (London: </w:t>
      </w:r>
      <w:proofErr w:type="spellStart"/>
      <w:r>
        <w:t>Earthscan</w:t>
      </w:r>
      <w:proofErr w:type="spellEnd"/>
      <w:r>
        <w:t>, 2011).</w:t>
      </w:r>
    </w:p>
  </w:endnote>
  <w:endnote w:id="53">
    <w:p w14:paraId="500F61F7" w14:textId="3A6772CC" w:rsidR="00142F9D" w:rsidRDefault="00142F9D">
      <w:pPr>
        <w:pStyle w:val="EndnoteText"/>
      </w:pPr>
      <w:r>
        <w:rPr>
          <w:rStyle w:val="EndnoteReference"/>
        </w:rPr>
        <w:endnoteRef/>
      </w:r>
      <w:r>
        <w:t xml:space="preserve"> We should note that foreign-born shares are much lower in Tokyo and Osaka-Kobe (approximately 2 percent) than their European and American peers in this cluster (approximately 28 percent). </w:t>
      </w:r>
    </w:p>
  </w:endnote>
  <w:endnote w:id="54">
    <w:p w14:paraId="0789D115" w14:textId="3BECCCEF" w:rsidR="00142F9D" w:rsidRDefault="00142F9D" w:rsidP="001D7BCF">
      <w:pPr>
        <w:pStyle w:val="EndnoteText"/>
      </w:pPr>
      <w:r>
        <w:rPr>
          <w:rStyle w:val="EndnoteReference"/>
        </w:rPr>
        <w:endnoteRef/>
      </w:r>
      <w:r>
        <w:t xml:space="preserve"> James </w:t>
      </w:r>
      <w:proofErr w:type="spellStart"/>
      <w:r>
        <w:t>Manyika</w:t>
      </w:r>
      <w:proofErr w:type="spellEnd"/>
      <w:r>
        <w:t xml:space="preserve"> and others, “</w:t>
      </w:r>
      <w:r w:rsidRPr="00CD5F09">
        <w:t>Digital globalization: The new era of global flows</w:t>
      </w:r>
      <w:r>
        <w:t xml:space="preserve">,” (San Francisco: McKinsey Global Institute, 2016). </w:t>
      </w:r>
    </w:p>
  </w:endnote>
  <w:endnote w:id="55">
    <w:p w14:paraId="4309F15B" w14:textId="2925CBAB" w:rsidR="00142F9D" w:rsidRDefault="00142F9D" w:rsidP="00CD5F09">
      <w:pPr>
        <w:pStyle w:val="EndnoteText"/>
      </w:pPr>
      <w:r>
        <w:rPr>
          <w:rStyle w:val="EndnoteReference"/>
        </w:rPr>
        <w:endnoteRef/>
      </w:r>
      <w:r>
        <w:t xml:space="preserve"> Richard Florida and Karen M. King, “</w:t>
      </w:r>
      <w:r w:rsidRPr="00CD5F09">
        <w:t>Rise of the Global Startup City</w:t>
      </w:r>
      <w:r>
        <w:t xml:space="preserve">: The Geography of Venture Capital Investment in Cities and Metros across the Globe,” (Toronto: Martin Prosperity Institute, 2016).   </w:t>
      </w:r>
    </w:p>
  </w:endnote>
  <w:endnote w:id="56">
    <w:p w14:paraId="208600F4" w14:textId="7877E126" w:rsidR="00142F9D" w:rsidRDefault="00142F9D">
      <w:pPr>
        <w:pStyle w:val="EndnoteText"/>
      </w:pPr>
      <w:r>
        <w:rPr>
          <w:rStyle w:val="EndnoteReference"/>
        </w:rPr>
        <w:endnoteRef/>
      </w:r>
      <w:r>
        <w:t xml:space="preserve"> Greg Clark, </w:t>
      </w:r>
      <w:proofErr w:type="gramStart"/>
      <w:r>
        <w:rPr>
          <w:i/>
        </w:rPr>
        <w:t>A</w:t>
      </w:r>
      <w:proofErr w:type="gramEnd"/>
      <w:r>
        <w:rPr>
          <w:i/>
        </w:rPr>
        <w:t xml:space="preserve"> Short History of Global Cities </w:t>
      </w:r>
      <w:r>
        <w:t xml:space="preserve">(Washington: Brookings Institution Press, 2016).  </w:t>
      </w:r>
    </w:p>
  </w:endnote>
  <w:endnote w:id="57">
    <w:p w14:paraId="6889877E" w14:textId="4003C351" w:rsidR="00142F9D" w:rsidRDefault="00142F9D" w:rsidP="006677BC">
      <w:pPr>
        <w:pStyle w:val="EndnoteText"/>
      </w:pPr>
      <w:r>
        <w:rPr>
          <w:rStyle w:val="EndnoteReference"/>
        </w:rPr>
        <w:endnoteRef/>
      </w:r>
      <w:r>
        <w:t xml:space="preserve"> While Russia extends across Europe and Asia, Moscow is generally regarded as more of a European-facing metro area </w:t>
      </w:r>
    </w:p>
  </w:endnote>
  <w:endnote w:id="58">
    <w:p w14:paraId="65BCF0E4" w14:textId="78023936" w:rsidR="00142F9D" w:rsidRDefault="00142F9D">
      <w:pPr>
        <w:pStyle w:val="EndnoteText"/>
      </w:pPr>
      <w:r>
        <w:rPr>
          <w:rStyle w:val="EndnoteReference"/>
        </w:rPr>
        <w:endnoteRef/>
      </w:r>
      <w:r>
        <w:t xml:space="preserve"> This third factor is especially apparent in Singapore, South Korea, and Hong Kong, rank first, fourth, and fifth of 189 countries in the World Bank’s Doing Business report, available at: </w:t>
      </w:r>
      <w:hyperlink r:id="rId5" w:history="1">
        <w:r w:rsidRPr="00E84773">
          <w:rPr>
            <w:rStyle w:val="Hyperlink"/>
          </w:rPr>
          <w:t>www.doingbusiness.org/rankings</w:t>
        </w:r>
      </w:hyperlink>
      <w:r>
        <w:t xml:space="preserve">. </w:t>
      </w:r>
    </w:p>
  </w:endnote>
  <w:endnote w:id="59">
    <w:p w14:paraId="478EA1DB" w14:textId="56B2E414" w:rsidR="00142F9D" w:rsidRDefault="00142F9D" w:rsidP="00260F83">
      <w:pPr>
        <w:pStyle w:val="EndnoteText"/>
      </w:pPr>
      <w:r>
        <w:rPr>
          <w:rStyle w:val="EndnoteReference"/>
        </w:rPr>
        <w:endnoteRef/>
      </w:r>
      <w:r>
        <w:t xml:space="preserve"> For an overview of the wave of democratization and financial liberalization see, </w:t>
      </w:r>
      <w:r w:rsidRPr="00323AEE">
        <w:t xml:space="preserve">Helen V. Milner and </w:t>
      </w:r>
      <w:proofErr w:type="spellStart"/>
      <w:r w:rsidRPr="00323AEE">
        <w:t>Bumba</w:t>
      </w:r>
      <w:proofErr w:type="spellEnd"/>
      <w:r w:rsidRPr="00323AEE">
        <w:t xml:space="preserve"> Mukherjee</w:t>
      </w:r>
      <w:r>
        <w:t xml:space="preserve">, “Democratization and Economic Globalization.” </w:t>
      </w:r>
      <w:r w:rsidRPr="00636418">
        <w:rPr>
          <w:i/>
        </w:rPr>
        <w:t>Annual Review of Political Science</w:t>
      </w:r>
      <w:r>
        <w:t xml:space="preserve"> 12 (2009): 163-181.</w:t>
      </w:r>
    </w:p>
  </w:endnote>
  <w:endnote w:id="60">
    <w:p w14:paraId="7A66CA2A" w14:textId="0931175A" w:rsidR="00142F9D" w:rsidRDefault="00142F9D">
      <w:pPr>
        <w:pStyle w:val="EndnoteText"/>
      </w:pPr>
      <w:r>
        <w:rPr>
          <w:rStyle w:val="EndnoteReference"/>
        </w:rPr>
        <w:endnoteRef/>
      </w:r>
      <w:r>
        <w:t xml:space="preserve"> Richard Dobbs and others, “Urban World: The shifting global business landscape”, (San Francisco: McKinsey Global Institute, 2013)</w:t>
      </w:r>
    </w:p>
  </w:endnote>
  <w:endnote w:id="61">
    <w:p w14:paraId="4FC4B67D" w14:textId="6DCE5453" w:rsidR="00142F9D" w:rsidRDefault="00142F9D" w:rsidP="00391E8E">
      <w:pPr>
        <w:pStyle w:val="EndnoteText"/>
      </w:pPr>
      <w:r>
        <w:rPr>
          <w:rStyle w:val="EndnoteReference"/>
        </w:rPr>
        <w:endnoteRef/>
      </w:r>
      <w:r>
        <w:t xml:space="preserve"> Joseph </w:t>
      </w:r>
      <w:proofErr w:type="spellStart"/>
      <w:r>
        <w:t>Parilla</w:t>
      </w:r>
      <w:proofErr w:type="spellEnd"/>
      <w:r>
        <w:t xml:space="preserve"> and Jesus Leal Trujillo, “South Africa’s Global Gateway: Profiling the Gauteng City-Region’s International Competitiveness and Connections,” (Washington: Brookings Institution, 2015). </w:t>
      </w:r>
    </w:p>
  </w:endnote>
  <w:endnote w:id="62">
    <w:p w14:paraId="0419A34D" w14:textId="4AE23ABC" w:rsidR="00142F9D" w:rsidRDefault="00142F9D">
      <w:pPr>
        <w:pStyle w:val="EndnoteText"/>
      </w:pPr>
      <w:r>
        <w:rPr>
          <w:rStyle w:val="EndnoteReference"/>
        </w:rPr>
        <w:endnoteRef/>
      </w:r>
      <w:r>
        <w:t xml:space="preserve"> Data for the productivity differential in traded sectors for metropolitan areas in the Factory China group was not included due to quality of the employment figures.</w:t>
      </w:r>
    </w:p>
  </w:endnote>
  <w:endnote w:id="63">
    <w:p w14:paraId="3C095571" w14:textId="40EBDE15" w:rsidR="00142F9D" w:rsidRDefault="00142F9D" w:rsidP="00D93FE2">
      <w:pPr>
        <w:pStyle w:val="EndnoteText"/>
      </w:pPr>
      <w:r>
        <w:rPr>
          <w:rStyle w:val="EndnoteReference"/>
        </w:rPr>
        <w:endnoteRef/>
      </w:r>
      <w:r>
        <w:t xml:space="preserve"> Data for the metropolitan areas in the Factory China group </w:t>
      </w:r>
      <w:r w:rsidR="009723B3">
        <w:t xml:space="preserve">regarding differential in traded sectors productivity </w:t>
      </w:r>
      <w:r>
        <w:t xml:space="preserve">was not included due to quality issues </w:t>
      </w:r>
      <w:r w:rsidR="009723B3">
        <w:t xml:space="preserve">of </w:t>
      </w:r>
      <w:r>
        <w:t>employment figures.</w:t>
      </w:r>
      <w:r w:rsidR="009723B3">
        <w:t xml:space="preserve"> Data for foreign born population in Factory China metros was not available.</w:t>
      </w:r>
    </w:p>
  </w:endnote>
  <w:endnote w:id="64">
    <w:p w14:paraId="455752C7" w14:textId="5FF97644" w:rsidR="00142F9D" w:rsidRDefault="00142F9D">
      <w:pPr>
        <w:pStyle w:val="EndnoteText"/>
      </w:pPr>
      <w:r>
        <w:rPr>
          <w:rStyle w:val="EndnoteReference"/>
        </w:rPr>
        <w:endnoteRef/>
      </w:r>
      <w:r>
        <w:t xml:space="preserve"> Christoph Bliss and Ronald </w:t>
      </w:r>
      <w:proofErr w:type="spellStart"/>
      <w:r>
        <w:t>Hadcock</w:t>
      </w:r>
      <w:proofErr w:type="spellEnd"/>
      <w:r>
        <w:t>, “</w:t>
      </w:r>
      <w:r w:rsidRPr="00636418">
        <w:t xml:space="preserve">Integrating China into Your Global Supply Chain: </w:t>
      </w:r>
      <w:r>
        <w:t>Lessons Learned from Global Supply Chain Integrators,” (</w:t>
      </w:r>
      <w:proofErr w:type="spellStart"/>
      <w:r>
        <w:t>Booz&amp;Co</w:t>
      </w:r>
      <w:proofErr w:type="spellEnd"/>
      <w:r>
        <w:t xml:space="preserve">, 2008).  </w:t>
      </w:r>
      <w:proofErr w:type="gramStart"/>
      <w:r>
        <w:t>Don Clark, “</w:t>
      </w:r>
      <w:r w:rsidRPr="00636418">
        <w:t>Intel to Convert Processor Chip Factory in China to Make Memory Chips</w:t>
      </w:r>
      <w:r>
        <w:t xml:space="preserve">,” </w:t>
      </w:r>
      <w:r w:rsidRPr="00636418">
        <w:rPr>
          <w:i/>
        </w:rPr>
        <w:t>Wall Street Journal</w:t>
      </w:r>
      <w:r>
        <w:t>, October 20, 2015.</w:t>
      </w:r>
      <w:proofErr w:type="gramEnd"/>
      <w:r>
        <w:t xml:space="preserve"> “</w:t>
      </w:r>
      <w:r w:rsidRPr="00636418">
        <w:t>Company Overview of Dongguan SAM</w:t>
      </w:r>
      <w:r>
        <w:t xml:space="preserve">SUNG Electro-Mechanics Co., Ltd” available at: </w:t>
      </w:r>
      <w:hyperlink r:id="rId6" w:history="1">
        <w:r w:rsidRPr="00D757DE">
          <w:rPr>
            <w:rStyle w:val="Hyperlink"/>
          </w:rPr>
          <w:t>www.bloomberg.com/Research/stocks/private/snapshot.asp?privcapid=5521940</w:t>
        </w:r>
      </w:hyperlink>
      <w:r>
        <w:t xml:space="preserve">  (accessed July 26, 2016).</w:t>
      </w:r>
    </w:p>
  </w:endnote>
  <w:endnote w:id="65">
    <w:p w14:paraId="7A1A5639" w14:textId="7260DDB0" w:rsidR="00142F9D" w:rsidRDefault="00142F9D" w:rsidP="00AE4ADC">
      <w:pPr>
        <w:pStyle w:val="EndnoteText"/>
        <w:tabs>
          <w:tab w:val="left" w:pos="699"/>
        </w:tabs>
      </w:pPr>
      <w:r>
        <w:rPr>
          <w:rStyle w:val="EndnoteReference"/>
        </w:rPr>
        <w:endnoteRef/>
      </w:r>
      <w:r>
        <w:t xml:space="preserve"> </w:t>
      </w:r>
      <w:proofErr w:type="spellStart"/>
      <w:r w:rsidRPr="00E02F43">
        <w:t>Yanzhong</w:t>
      </w:r>
      <w:proofErr w:type="spellEnd"/>
      <w:r w:rsidRPr="00E02F43">
        <w:t xml:space="preserve"> Huang</w:t>
      </w:r>
      <w:r>
        <w:t xml:space="preserve">, “China: The Dark Side of Growth,” </w:t>
      </w:r>
      <w:r>
        <w:rPr>
          <w:i/>
        </w:rPr>
        <w:t xml:space="preserve">Yale Global, </w:t>
      </w:r>
      <w:r w:rsidRPr="00E02F43">
        <w:t>June</w:t>
      </w:r>
      <w:r>
        <w:t xml:space="preserve"> 6, 2013.</w:t>
      </w:r>
    </w:p>
  </w:endnote>
  <w:endnote w:id="66">
    <w:p w14:paraId="3BDCB9D2" w14:textId="10C2C8E3" w:rsidR="00142F9D" w:rsidRDefault="00142F9D" w:rsidP="00D6511E">
      <w:pPr>
        <w:pStyle w:val="EndnoteText"/>
      </w:pPr>
      <w:r>
        <w:rPr>
          <w:rStyle w:val="EndnoteReference"/>
        </w:rPr>
        <w:endnoteRef/>
      </w:r>
      <w:r>
        <w:t xml:space="preserve"> </w:t>
      </w:r>
      <w:proofErr w:type="spellStart"/>
      <w:proofErr w:type="gramStart"/>
      <w:r>
        <w:t>Muro</w:t>
      </w:r>
      <w:proofErr w:type="spellEnd"/>
      <w:r>
        <w:t xml:space="preserve"> and others, “America’s Advanced Industries.”</w:t>
      </w:r>
      <w:proofErr w:type="gramEnd"/>
      <w:r>
        <w:t xml:space="preserve">  </w:t>
      </w:r>
    </w:p>
  </w:endnote>
  <w:endnote w:id="67">
    <w:p w14:paraId="504A83F3" w14:textId="5A0720EB" w:rsidR="00142F9D" w:rsidRDefault="00142F9D" w:rsidP="00A145E7">
      <w:pPr>
        <w:pStyle w:val="EndnoteText"/>
      </w:pPr>
      <w:r>
        <w:rPr>
          <w:rStyle w:val="EndnoteReference"/>
        </w:rPr>
        <w:endnoteRef/>
      </w:r>
      <w:r>
        <w:t xml:space="preserve"> Brookings analysis with data of the “Brookings Export Monitor 2015”, available at: </w:t>
      </w:r>
      <w:hyperlink r:id="rId7" w:history="1">
        <w:r w:rsidRPr="008F6614">
          <w:rPr>
            <w:rStyle w:val="Hyperlink"/>
          </w:rPr>
          <w:t>www.brookings.edu/interactives/export-monitor-2015/</w:t>
        </w:r>
      </w:hyperlink>
      <w:r>
        <w:t xml:space="preserve"> </w:t>
      </w:r>
    </w:p>
  </w:endnote>
  <w:endnote w:id="68">
    <w:p w14:paraId="480EF4F6" w14:textId="499ED54A" w:rsidR="00142F9D" w:rsidRPr="00253362" w:rsidRDefault="00142F9D">
      <w:pPr>
        <w:pStyle w:val="EndnoteText"/>
      </w:pPr>
      <w:r>
        <w:rPr>
          <w:rStyle w:val="EndnoteReference"/>
        </w:rPr>
        <w:endnoteRef/>
      </w:r>
      <w:r w:rsidRPr="00253362">
        <w:t xml:space="preserve"> </w:t>
      </w:r>
      <w:r>
        <w:t>John Collins Rudolf, “</w:t>
      </w:r>
      <w:r w:rsidRPr="00253362">
        <w:t>Construction That Fueled Growth in the Sun Belt Slows</w:t>
      </w:r>
      <w:r>
        <w:t xml:space="preserve">,” </w:t>
      </w:r>
      <w:r>
        <w:rPr>
          <w:i/>
        </w:rPr>
        <w:t>The New York Times</w:t>
      </w:r>
      <w:r>
        <w:t xml:space="preserve">, August 27, 2009. Alan </w:t>
      </w:r>
      <w:proofErr w:type="spellStart"/>
      <w:r>
        <w:t>Berube</w:t>
      </w:r>
      <w:proofErr w:type="spellEnd"/>
      <w:r>
        <w:t xml:space="preserve"> and others, “State of Metropolitan America: on the Front Lines of Demographic Transformation, (Washington: Brookings Institution, 2010).   </w:t>
      </w:r>
    </w:p>
  </w:endnote>
  <w:endnote w:id="69">
    <w:p w14:paraId="71AC6D07" w14:textId="0A11447B" w:rsidR="00142F9D" w:rsidRPr="0062310C" w:rsidRDefault="00142F9D">
      <w:pPr>
        <w:pStyle w:val="EndnoteText"/>
      </w:pPr>
      <w:r>
        <w:rPr>
          <w:rStyle w:val="EndnoteReference"/>
        </w:rPr>
        <w:endnoteRef/>
      </w:r>
      <w:r w:rsidRPr="0062310C">
        <w:t xml:space="preserve"> Analysis of the </w:t>
      </w:r>
      <w:r>
        <w:t xml:space="preserve">seasonally adjusted </w:t>
      </w:r>
      <w:r w:rsidRPr="0062310C">
        <w:t>house purchase on</w:t>
      </w:r>
      <w:r>
        <w:t xml:space="preserve">ly index at the metropolitan level published by the Federal Housing Finance Agency, Available at: </w:t>
      </w:r>
      <w:hyperlink r:id="rId8" w:anchor="qpo" w:history="1">
        <w:r w:rsidRPr="00D757DE">
          <w:rPr>
            <w:rStyle w:val="Hyperlink"/>
          </w:rPr>
          <w:t>www.fhfa.gov/DataTools/Downloads/Pages/House-Price-Index-Datasets.aspx#qpo</w:t>
        </w:r>
      </w:hyperlink>
      <w:r>
        <w:t xml:space="preserve"> </w:t>
      </w:r>
    </w:p>
  </w:endnote>
  <w:endnote w:id="70">
    <w:p w14:paraId="48099F09" w14:textId="27DAE47C" w:rsidR="00142F9D" w:rsidRPr="0062310C" w:rsidRDefault="00142F9D">
      <w:pPr>
        <w:pStyle w:val="EndnoteText"/>
      </w:pPr>
      <w:r>
        <w:rPr>
          <w:rStyle w:val="EndnoteReference"/>
        </w:rPr>
        <w:endnoteRef/>
      </w:r>
      <w:r w:rsidRPr="0062310C">
        <w:t xml:space="preserve"> </w:t>
      </w:r>
      <w:r>
        <w:t xml:space="preserve">“Silicon Valley 1.0,” </w:t>
      </w:r>
      <w:r>
        <w:rPr>
          <w:i/>
        </w:rPr>
        <w:t>The Economist</w:t>
      </w:r>
      <w:r>
        <w:t xml:space="preserve">, July 23, 2016. </w:t>
      </w:r>
    </w:p>
  </w:endnote>
  <w:endnote w:id="71">
    <w:p w14:paraId="78316011" w14:textId="727A5C37" w:rsidR="00142F9D" w:rsidRPr="00E05D6C" w:rsidRDefault="00142F9D">
      <w:pPr>
        <w:pStyle w:val="EndnoteText"/>
      </w:pPr>
      <w:r>
        <w:rPr>
          <w:rStyle w:val="EndnoteReference"/>
        </w:rPr>
        <w:endnoteRef/>
      </w:r>
      <w:r>
        <w:t xml:space="preserve"> </w:t>
      </w:r>
      <w:proofErr w:type="gramStart"/>
      <w:r w:rsidRPr="00E05D6C">
        <w:t xml:space="preserve">Joseph </w:t>
      </w:r>
      <w:proofErr w:type="spellStart"/>
      <w:r w:rsidRPr="00E05D6C">
        <w:t>Parilla</w:t>
      </w:r>
      <w:proofErr w:type="spellEnd"/>
      <w:r w:rsidRPr="00E05D6C">
        <w:t xml:space="preserve"> and Marek </w:t>
      </w:r>
      <w:proofErr w:type="spellStart"/>
      <w:r w:rsidRPr="00E05D6C">
        <w:t>Gootman</w:t>
      </w:r>
      <w:proofErr w:type="spellEnd"/>
      <w:r>
        <w:t>, “</w:t>
      </w:r>
      <w:r w:rsidRPr="00E05D6C">
        <w:t>Paris bets big on science and technology with new mega-university</w:t>
      </w:r>
      <w:r>
        <w:t xml:space="preserve">,” </w:t>
      </w:r>
      <w:r>
        <w:rPr>
          <w:i/>
        </w:rPr>
        <w:t xml:space="preserve">The Avenue, </w:t>
      </w:r>
      <w:r>
        <w:t>May 11, 2016.</w:t>
      </w:r>
      <w:proofErr w:type="gramEnd"/>
      <w:r>
        <w:t xml:space="preserve"> </w:t>
      </w:r>
    </w:p>
  </w:endnote>
  <w:endnote w:id="72">
    <w:p w14:paraId="7CA9D9FD" w14:textId="56CBDDD6" w:rsidR="00142F9D" w:rsidRDefault="00142F9D">
      <w:pPr>
        <w:pStyle w:val="EndnoteText"/>
      </w:pPr>
      <w:r>
        <w:rPr>
          <w:rStyle w:val="EndnoteReference"/>
        </w:rPr>
        <w:endnoteRef/>
      </w:r>
      <w:r>
        <w:t xml:space="preserve"> “Mayor’s International Business </w:t>
      </w:r>
      <w:proofErr w:type="spellStart"/>
      <w:r>
        <w:t>Programme</w:t>
      </w:r>
      <w:proofErr w:type="spellEnd"/>
      <w:r>
        <w:t xml:space="preserve">,” available at: </w:t>
      </w:r>
      <w:hyperlink r:id="rId9" w:history="1">
        <w:proofErr w:type="spellStart"/>
        <w:r w:rsidRPr="00891CC2">
          <w:rPr>
            <w:rStyle w:val="Hyperlink"/>
          </w:rPr>
          <w:t>gotogrow.london</w:t>
        </w:r>
        <w:proofErr w:type="spellEnd"/>
        <w:r w:rsidRPr="00891CC2">
          <w:rPr>
            <w:rStyle w:val="Hyperlink"/>
          </w:rPr>
          <w:t>/</w:t>
        </w:r>
      </w:hyperlink>
      <w:r>
        <w:t xml:space="preserve">. </w:t>
      </w:r>
    </w:p>
  </w:endnote>
  <w:endnote w:id="73">
    <w:p w14:paraId="4814CFC7" w14:textId="38E01C84" w:rsidR="00142F9D" w:rsidRDefault="00142F9D">
      <w:pPr>
        <w:pStyle w:val="EndnoteText"/>
      </w:pPr>
      <w:r>
        <w:rPr>
          <w:rStyle w:val="EndnoteReference"/>
        </w:rPr>
        <w:endnoteRef/>
      </w:r>
      <w:r>
        <w:t xml:space="preserve"> “Worldwide cost of living survey,” </w:t>
      </w:r>
      <w:r>
        <w:rPr>
          <w:i/>
        </w:rPr>
        <w:t xml:space="preserve">The Economist, </w:t>
      </w:r>
      <w:r>
        <w:t xml:space="preserve">available at: </w:t>
      </w:r>
      <w:hyperlink r:id="rId10" w:history="1">
        <w:r w:rsidRPr="00FE0418">
          <w:rPr>
            <w:rStyle w:val="Hyperlink"/>
          </w:rPr>
          <w:t>www.economist.com/blogs/graphicdetail/2016/03/daily-chart-4</w:t>
        </w:r>
      </w:hyperlink>
      <w:r>
        <w:t xml:space="preserve"> (accessed July 27, 2016). </w:t>
      </w:r>
    </w:p>
  </w:endnote>
  <w:endnote w:id="74">
    <w:p w14:paraId="52EBCF92" w14:textId="0483F366" w:rsidR="00142F9D" w:rsidRDefault="00142F9D">
      <w:pPr>
        <w:pStyle w:val="EndnoteText"/>
      </w:pPr>
      <w:r>
        <w:rPr>
          <w:rStyle w:val="EndnoteReference"/>
        </w:rPr>
        <w:endnoteRef/>
      </w:r>
      <w:r>
        <w:t xml:space="preserve"> Stephen J. Smith, “Tokyo Takes New York: Astounding Housing Facts,” </w:t>
      </w:r>
      <w:r>
        <w:rPr>
          <w:i/>
        </w:rPr>
        <w:t>Next City</w:t>
      </w:r>
      <w:r>
        <w:t xml:space="preserve">, May 16, 2014. </w:t>
      </w:r>
    </w:p>
  </w:endnote>
  <w:endnote w:id="75">
    <w:p w14:paraId="3578B1B5" w14:textId="679ADE7F" w:rsidR="00142F9D" w:rsidRDefault="00142F9D">
      <w:pPr>
        <w:pStyle w:val="EndnoteText"/>
      </w:pPr>
      <w:r>
        <w:rPr>
          <w:rStyle w:val="EndnoteReference"/>
        </w:rPr>
        <w:endnoteRef/>
      </w:r>
      <w:r>
        <w:t xml:space="preserve"> </w:t>
      </w:r>
      <w:proofErr w:type="gramStart"/>
      <w:r w:rsidRPr="00E05E99">
        <w:t>“</w:t>
      </w:r>
      <w:r>
        <w:t xml:space="preserve">Worldwide cost of living survey,” </w:t>
      </w:r>
      <w:r>
        <w:rPr>
          <w:i/>
        </w:rPr>
        <w:t>The Economist.</w:t>
      </w:r>
      <w:proofErr w:type="gramEnd"/>
      <w:r>
        <w:rPr>
          <w:i/>
        </w:rPr>
        <w:t xml:space="preserve"> </w:t>
      </w:r>
      <w:r>
        <w:t xml:space="preserve"> </w:t>
      </w:r>
    </w:p>
  </w:endnote>
  <w:endnote w:id="76">
    <w:p w14:paraId="7ABB605F" w14:textId="4244B97A" w:rsidR="00142F9D" w:rsidRDefault="00142F9D">
      <w:pPr>
        <w:pStyle w:val="EndnoteText"/>
      </w:pPr>
      <w:r>
        <w:rPr>
          <w:rStyle w:val="EndnoteReference"/>
        </w:rPr>
        <w:endnoteRef/>
      </w:r>
      <w:r>
        <w:t xml:space="preserve"> Wendell Cox, “The Evolving Urban Form: Jing-</w:t>
      </w:r>
      <w:proofErr w:type="spellStart"/>
      <w:r>
        <w:t>Jin</w:t>
      </w:r>
      <w:proofErr w:type="spellEnd"/>
      <w:r>
        <w:t xml:space="preserve">-Ji (Dispersing Beijing), </w:t>
      </w:r>
      <w:r>
        <w:rPr>
          <w:i/>
        </w:rPr>
        <w:t>New Geography</w:t>
      </w:r>
      <w:r>
        <w:t xml:space="preserve">, July </w:t>
      </w:r>
      <w:proofErr w:type="gramStart"/>
      <w:r>
        <w:t>30 ,2015</w:t>
      </w:r>
      <w:proofErr w:type="gramEnd"/>
      <w:r>
        <w:t xml:space="preserve">. MasterCard Center for Inclusive Growth, “Building Inclusive and Innovative Megacities in China,” available at: </w:t>
      </w:r>
      <w:hyperlink r:id="rId11" w:history="1">
        <w:r w:rsidRPr="006F45D2">
          <w:rPr>
            <w:rStyle w:val="Hyperlink"/>
          </w:rPr>
          <w:t>mastercardcenter.org/action/building-inclusive-innovative-megacities-china/</w:t>
        </w:r>
      </w:hyperlink>
      <w:r>
        <w:rPr>
          <w:rStyle w:val="Hyperlink"/>
        </w:rPr>
        <w:t>.</w:t>
      </w:r>
      <w:r>
        <w:t xml:space="preserve"> </w:t>
      </w:r>
    </w:p>
  </w:endnote>
  <w:endnote w:id="77">
    <w:p w14:paraId="1F409087" w14:textId="4EE30E7B" w:rsidR="00142F9D" w:rsidRDefault="00142F9D" w:rsidP="00D91001">
      <w:pPr>
        <w:pStyle w:val="EndnoteText"/>
      </w:pPr>
      <w:r>
        <w:rPr>
          <w:rStyle w:val="EndnoteReference"/>
        </w:rPr>
        <w:endnoteRef/>
      </w:r>
      <w:r>
        <w:t xml:space="preserve"> The World Bank and Development Research Center of the State Council, “Urban China: Toward Efficient, Inclusive, and Sustainable Urbanization” (2014). </w:t>
      </w:r>
    </w:p>
  </w:endnote>
  <w:endnote w:id="78">
    <w:p w14:paraId="4DCB2152" w14:textId="680DE26A" w:rsidR="00142F9D" w:rsidRDefault="00142F9D">
      <w:pPr>
        <w:pStyle w:val="EndnoteText"/>
      </w:pPr>
      <w:r>
        <w:rPr>
          <w:rStyle w:val="EndnoteReference"/>
        </w:rPr>
        <w:endnoteRef/>
      </w:r>
      <w:r>
        <w:t xml:space="preserve"> Kelly </w:t>
      </w:r>
      <w:proofErr w:type="spellStart"/>
      <w:r>
        <w:t>Tay</w:t>
      </w:r>
      <w:proofErr w:type="spellEnd"/>
      <w:r>
        <w:t xml:space="preserve"> and Andrea </w:t>
      </w:r>
      <w:proofErr w:type="spellStart"/>
      <w:r>
        <w:t>Soh</w:t>
      </w:r>
      <w:proofErr w:type="spellEnd"/>
      <w:r>
        <w:t xml:space="preserve">, “Beyond 50: Singapore’s growth strategy shifts,” </w:t>
      </w:r>
      <w:r>
        <w:rPr>
          <w:i/>
        </w:rPr>
        <w:t xml:space="preserve">The Business Times, </w:t>
      </w:r>
      <w:r>
        <w:t>August 11, 2015.</w:t>
      </w:r>
    </w:p>
  </w:endnote>
  <w:endnote w:id="79">
    <w:p w14:paraId="2C849D3D" w14:textId="30401810" w:rsidR="00142F9D" w:rsidRDefault="00142F9D">
      <w:pPr>
        <w:pStyle w:val="EndnoteText"/>
      </w:pPr>
      <w:r>
        <w:rPr>
          <w:rStyle w:val="EndnoteReference"/>
        </w:rPr>
        <w:endnoteRef/>
      </w:r>
      <w:r>
        <w:t xml:space="preserve"> “Korea Tech Incubator Program Startup,” Available at: </w:t>
      </w:r>
      <w:hyperlink r:id="rId12" w:history="1">
        <w:r w:rsidRPr="00FE0418">
          <w:rPr>
            <w:rStyle w:val="Hyperlink"/>
          </w:rPr>
          <w:t>www.jointips.or.kr/about_en.php</w:t>
        </w:r>
      </w:hyperlink>
      <w:r>
        <w:t xml:space="preserve"> (accessed July 27, 2016). </w:t>
      </w:r>
    </w:p>
  </w:endnote>
  <w:endnote w:id="80">
    <w:p w14:paraId="2ABA16A1" w14:textId="180B983E" w:rsidR="00142F9D" w:rsidRDefault="00142F9D">
      <w:pPr>
        <w:pStyle w:val="EndnoteText"/>
      </w:pPr>
      <w:r>
        <w:rPr>
          <w:rStyle w:val="EndnoteReference"/>
        </w:rPr>
        <w:endnoteRef/>
      </w:r>
      <w:r>
        <w:t xml:space="preserve"> Jesus Leal Trujillo and Joseph </w:t>
      </w:r>
      <w:proofErr w:type="spellStart"/>
      <w:r>
        <w:t>Parilla</w:t>
      </w:r>
      <w:proofErr w:type="spellEnd"/>
      <w:r>
        <w:t>, “Global Santiago: Profiling the Metropolitan Region’s International Competitiveness and Connections,” (Washington: Brookings Institution, 2016).</w:t>
      </w:r>
    </w:p>
  </w:endnote>
  <w:endnote w:id="81">
    <w:p w14:paraId="222A884A" w14:textId="1714360B" w:rsidR="00142F9D" w:rsidRDefault="00142F9D" w:rsidP="00E21A2E">
      <w:pPr>
        <w:pStyle w:val="EndnoteText"/>
      </w:pPr>
      <w:r>
        <w:rPr>
          <w:rStyle w:val="EndnoteReference"/>
        </w:rPr>
        <w:endnoteRef/>
      </w:r>
      <w:r>
        <w:t xml:space="preserve"> OECD, Pisa 2012 results, OECD: Paris, available at </w:t>
      </w:r>
      <w:hyperlink r:id="rId13" w:history="1">
        <w:r w:rsidRPr="00BF3CDE">
          <w:rPr>
            <w:rStyle w:val="Hyperlink"/>
          </w:rPr>
          <w:t>www.oecd.org/pisa/keyfindings/pisa-2012-results-overview.pdf</w:t>
        </w:r>
      </w:hyperlink>
      <w:r>
        <w:t xml:space="preserve"> </w:t>
      </w:r>
    </w:p>
  </w:endnote>
  <w:endnote w:id="82">
    <w:p w14:paraId="54BB37D4" w14:textId="77777777" w:rsidR="00142F9D" w:rsidRDefault="00142F9D" w:rsidP="00E21A2E">
      <w:pPr>
        <w:pStyle w:val="EndnoteText"/>
      </w:pPr>
      <w:r>
        <w:rPr>
          <w:rStyle w:val="EndnoteReference"/>
        </w:rPr>
        <w:endnoteRef/>
      </w:r>
      <w:r>
        <w:t xml:space="preserve"> </w:t>
      </w:r>
      <w:proofErr w:type="gramStart"/>
      <w:r>
        <w:t xml:space="preserve">Jesus Leal Trujillo &amp; Joseph </w:t>
      </w:r>
      <w:proofErr w:type="spellStart"/>
      <w:r>
        <w:t>Parilla</w:t>
      </w:r>
      <w:proofErr w:type="spellEnd"/>
      <w:r>
        <w:t>, “</w:t>
      </w:r>
      <w:r w:rsidRPr="00A3063F">
        <w:t>Santiago’s innovative startup scene a new avenue for economic growth</w:t>
      </w:r>
      <w:r>
        <w:t xml:space="preserve">,” </w:t>
      </w:r>
      <w:r>
        <w:rPr>
          <w:i/>
        </w:rPr>
        <w:t xml:space="preserve">The Avenue, </w:t>
      </w:r>
      <w:r w:rsidRPr="002B7A5A">
        <w:t>May</w:t>
      </w:r>
      <w:r>
        <w:t xml:space="preserve"> 4, 2016.</w:t>
      </w:r>
      <w:proofErr w:type="gramEnd"/>
      <w:r>
        <w:t xml:space="preserve">   </w:t>
      </w:r>
    </w:p>
  </w:endnote>
  <w:endnote w:id="83">
    <w:p w14:paraId="2D599BA8" w14:textId="723E4433" w:rsidR="00142F9D" w:rsidRPr="00142F9D" w:rsidRDefault="00142F9D" w:rsidP="00E21A2E">
      <w:pPr>
        <w:pStyle w:val="EndnoteText"/>
      </w:pPr>
      <w:r>
        <w:rPr>
          <w:rStyle w:val="EndnoteReference"/>
        </w:rPr>
        <w:endnoteRef/>
      </w:r>
      <w:r w:rsidRPr="009B01DC">
        <w:rPr>
          <w:lang w:val="es-MX"/>
        </w:rPr>
        <w:t xml:space="preserve"> </w:t>
      </w:r>
      <w:r w:rsidRPr="00142F9D">
        <w:rPr>
          <w:lang w:val="es-MX"/>
        </w:rPr>
        <w:t xml:space="preserve">“Ampliación de aeropuerto de Santiago aumentará su capacidad para 50 millones de pasajeros al año”, </w:t>
      </w:r>
      <w:r w:rsidRPr="006D494E">
        <w:rPr>
          <w:i/>
          <w:lang w:val="es-MX"/>
        </w:rPr>
        <w:t>El Mercurio</w:t>
      </w:r>
      <w:r w:rsidRPr="006D494E">
        <w:rPr>
          <w:lang w:val="es-MX"/>
        </w:rPr>
        <w:t xml:space="preserve">, </w:t>
      </w:r>
      <w:proofErr w:type="spellStart"/>
      <w:r w:rsidRPr="006D494E">
        <w:rPr>
          <w:lang w:val="es-MX"/>
        </w:rPr>
        <w:t>October</w:t>
      </w:r>
      <w:proofErr w:type="spellEnd"/>
      <w:r w:rsidRPr="006D494E">
        <w:rPr>
          <w:lang w:val="es-MX"/>
        </w:rPr>
        <w:t xml:space="preserve"> 25. </w:t>
      </w:r>
      <w:r w:rsidRPr="00142F9D">
        <w:t xml:space="preserve">2012. “A new operator readies Rio de Janeiro’s airport for 2016 Olympics”, </w:t>
      </w:r>
      <w:r w:rsidRPr="00142F9D">
        <w:rPr>
          <w:i/>
        </w:rPr>
        <w:t>Miami Herald</w:t>
      </w:r>
      <w:r w:rsidRPr="00142F9D">
        <w:t xml:space="preserve">, </w:t>
      </w:r>
      <w:r>
        <w:t>September 1, 2014.</w:t>
      </w:r>
    </w:p>
  </w:endnote>
  <w:endnote w:id="84">
    <w:p w14:paraId="294D72D6" w14:textId="77777777" w:rsidR="00142F9D" w:rsidRDefault="00142F9D" w:rsidP="00E21A2E">
      <w:pPr>
        <w:pStyle w:val="EndnoteText"/>
      </w:pPr>
      <w:r>
        <w:rPr>
          <w:rStyle w:val="EndnoteReference"/>
        </w:rPr>
        <w:endnoteRef/>
      </w:r>
      <w:r>
        <w:t xml:space="preserve"> </w:t>
      </w:r>
      <w:r w:rsidRPr="00AB682D">
        <w:t>E</w:t>
      </w:r>
      <w:r>
        <w:t xml:space="preserve">leanor Albert and </w:t>
      </w:r>
      <w:proofErr w:type="spellStart"/>
      <w:r>
        <w:t>Beina</w:t>
      </w:r>
      <w:proofErr w:type="spellEnd"/>
      <w:r>
        <w:t xml:space="preserve"> Xu, “China’s Environment Crisis,” (New York: Council on Foreign Relations, 2016). </w:t>
      </w:r>
    </w:p>
  </w:endnote>
  <w:endnote w:id="85">
    <w:p w14:paraId="1B3B3644" w14:textId="77777777" w:rsidR="00142F9D" w:rsidRDefault="00142F9D" w:rsidP="00E21A2E">
      <w:pPr>
        <w:pStyle w:val="EndnoteText"/>
      </w:pPr>
      <w:r>
        <w:rPr>
          <w:rStyle w:val="EndnoteReference"/>
        </w:rPr>
        <w:endnoteRef/>
      </w:r>
      <w:r>
        <w:t xml:space="preserve"> </w:t>
      </w:r>
      <w:proofErr w:type="gramStart"/>
      <w:r w:rsidRPr="00860E5C">
        <w:t>Asi</w:t>
      </w:r>
      <w:r>
        <w:t>an Development Bank, “Addressing Climate Change Risks, Disasters, and Adaptation in the People’s Republic of China” (2015).</w:t>
      </w:r>
      <w:proofErr w:type="gramEnd"/>
      <w:r>
        <w:t xml:space="preserve"> </w:t>
      </w:r>
    </w:p>
  </w:endnote>
  <w:endnote w:id="86">
    <w:p w14:paraId="6918974D" w14:textId="1E7BB95B" w:rsidR="00142F9D" w:rsidRDefault="00142F9D">
      <w:pPr>
        <w:pStyle w:val="EndnoteText"/>
      </w:pPr>
      <w:r>
        <w:rPr>
          <w:rStyle w:val="EndnoteReference"/>
        </w:rPr>
        <w:endnoteRef/>
      </w:r>
      <w:r>
        <w:t xml:space="preserve"> </w:t>
      </w:r>
      <w:proofErr w:type="gramStart"/>
      <w:r>
        <w:t>“</w:t>
      </w:r>
      <w:r w:rsidRPr="00733A20">
        <w:t>The coming debt bust</w:t>
      </w:r>
      <w:r>
        <w:t xml:space="preserve">”, </w:t>
      </w:r>
      <w:r w:rsidRPr="00733A20">
        <w:rPr>
          <w:i/>
        </w:rPr>
        <w:t>The Economist</w:t>
      </w:r>
      <w:r>
        <w:t>, May 7, 2016.</w:t>
      </w:r>
      <w:proofErr w:type="gramEnd"/>
    </w:p>
  </w:endnote>
  <w:endnote w:id="87">
    <w:p w14:paraId="499D7CDC" w14:textId="77777777" w:rsidR="00142F9D" w:rsidRDefault="00142F9D" w:rsidP="00E21A2E">
      <w:pPr>
        <w:pStyle w:val="EndnoteText"/>
      </w:pPr>
      <w:r>
        <w:rPr>
          <w:rStyle w:val="EndnoteReference"/>
        </w:rPr>
        <w:endnoteRef/>
      </w:r>
      <w:r>
        <w:t xml:space="preserve"> </w:t>
      </w:r>
      <w:proofErr w:type="spellStart"/>
      <w:r>
        <w:t>Rodrik</w:t>
      </w:r>
      <w:proofErr w:type="spellEnd"/>
      <w:r>
        <w:t xml:space="preserve">, </w:t>
      </w:r>
      <w:r w:rsidRPr="009B01DC">
        <w:t>“Premature Deindustrialization.”</w:t>
      </w:r>
    </w:p>
  </w:endnote>
  <w:endnote w:id="88">
    <w:p w14:paraId="39CBD991" w14:textId="77777777" w:rsidR="00142F9D" w:rsidRDefault="00142F9D" w:rsidP="00E21A2E">
      <w:pPr>
        <w:pStyle w:val="EndnoteText"/>
      </w:pPr>
      <w:r>
        <w:rPr>
          <w:rStyle w:val="EndnoteReference"/>
        </w:rPr>
        <w:endnoteRef/>
      </w:r>
      <w:r>
        <w:t xml:space="preserve"> </w:t>
      </w:r>
      <w:proofErr w:type="gramStart"/>
      <w:r>
        <w:t xml:space="preserve">“Silicon Valley 1.0,” </w:t>
      </w:r>
      <w:r>
        <w:rPr>
          <w:i/>
        </w:rPr>
        <w:t>The Economist.</w:t>
      </w:r>
      <w:proofErr w:type="gramEnd"/>
    </w:p>
  </w:endnote>
  <w:endnote w:id="89">
    <w:p w14:paraId="637D1373" w14:textId="410B63B5" w:rsidR="00142F9D" w:rsidRDefault="00142F9D">
      <w:pPr>
        <w:pStyle w:val="EndnoteText"/>
      </w:pPr>
      <w:r>
        <w:rPr>
          <w:rStyle w:val="EndnoteReference"/>
        </w:rPr>
        <w:endnoteRef/>
      </w:r>
      <w:r>
        <w:t xml:space="preserve"> </w:t>
      </w:r>
      <w:proofErr w:type="spellStart"/>
      <w:proofErr w:type="gramStart"/>
      <w:r>
        <w:t>Muro</w:t>
      </w:r>
      <w:proofErr w:type="spellEnd"/>
      <w:r>
        <w:t xml:space="preserve"> and others, “America’s Advanced Industries.”</w:t>
      </w:r>
      <w:proofErr w:type="gramEnd"/>
      <w:r>
        <w:t xml:space="preserve"> </w:t>
      </w:r>
    </w:p>
  </w:endnote>
  <w:endnote w:id="90">
    <w:p w14:paraId="79B1A335" w14:textId="79619734" w:rsidR="00142F9D" w:rsidRDefault="00142F9D">
      <w:pPr>
        <w:pStyle w:val="EndnoteText"/>
      </w:pPr>
      <w:r>
        <w:rPr>
          <w:rStyle w:val="EndnoteReference"/>
        </w:rPr>
        <w:endnoteRef/>
      </w:r>
      <w:r>
        <w:t xml:space="preserve"> Amy Liu and Rachel Barker, “Making Global Cities,” (Washington: Brookings Institution, 2016). </w:t>
      </w:r>
    </w:p>
  </w:endnote>
  <w:endnote w:id="91">
    <w:p w14:paraId="0EAF800E" w14:textId="4AC76EFA" w:rsidR="00142F9D" w:rsidRDefault="00142F9D" w:rsidP="006C6510">
      <w:pPr>
        <w:pStyle w:val="EndnoteText"/>
      </w:pPr>
      <w:r>
        <w:rPr>
          <w:rStyle w:val="EndnoteReference"/>
        </w:rPr>
        <w:endnoteRef/>
      </w:r>
      <w:r>
        <w:t xml:space="preserve"> Jason Furman, “</w:t>
      </w:r>
      <w:r w:rsidRPr="00D7258E">
        <w:t>Barriers to Shared Growth: The Case of Land Us</w:t>
      </w:r>
      <w:r>
        <w:t xml:space="preserve">e Regulation and Economic Rents,” Remarks delivered at the Urban Institute on November 20, 2015, available at: </w:t>
      </w:r>
      <w:hyperlink r:id="rId14" w:history="1">
        <w:r w:rsidRPr="006F45D2">
          <w:rPr>
            <w:rStyle w:val="Hyperlink"/>
          </w:rPr>
          <w:t>www.whitehouse.gov/sites/default/files/page/files/20151120_barriers_shared_growth_land_use_regulation_and_economic_rents.pdf</w:t>
        </w:r>
      </w:hyperlink>
      <w:r>
        <w:rPr>
          <w:rStyle w:val="Hyperlink"/>
        </w:rPr>
        <w:t>.</w:t>
      </w:r>
      <w:r>
        <w:t xml:space="preserve"> </w:t>
      </w:r>
    </w:p>
  </w:endnote>
  <w:endnote w:id="92">
    <w:p w14:paraId="307D937D" w14:textId="1B0B0E0D" w:rsidR="00142F9D" w:rsidRDefault="00142F9D">
      <w:pPr>
        <w:pStyle w:val="EndnoteText"/>
      </w:pPr>
      <w:r>
        <w:rPr>
          <w:rStyle w:val="EndnoteReference"/>
        </w:rPr>
        <w:endnoteRef/>
      </w:r>
      <w:r>
        <w:t xml:space="preserve"> </w:t>
      </w:r>
      <w:proofErr w:type="gramStart"/>
      <w:r>
        <w:t xml:space="preserve">Matthias </w:t>
      </w:r>
      <w:proofErr w:type="spellStart"/>
      <w:r>
        <w:t>Verbergt</w:t>
      </w:r>
      <w:proofErr w:type="spellEnd"/>
      <w:r>
        <w:t xml:space="preserve"> and Charles Duxbury, “Spotify Founders Blast Sweden’s Business Environment in Open Letter,” </w:t>
      </w:r>
      <w:r>
        <w:rPr>
          <w:i/>
        </w:rPr>
        <w:t>The Wall Street Journal</w:t>
      </w:r>
      <w:r>
        <w:t>, April 12, 2016.</w:t>
      </w:r>
      <w:proofErr w:type="gramEnd"/>
      <w:r>
        <w:t xml:space="preserve">  </w:t>
      </w:r>
    </w:p>
  </w:endnote>
  <w:endnote w:id="93">
    <w:p w14:paraId="28AFCD2E" w14:textId="5ACEF9A4" w:rsidR="00142F9D" w:rsidRPr="004941C8" w:rsidRDefault="00142F9D">
      <w:pPr>
        <w:pStyle w:val="EndnoteText"/>
      </w:pPr>
      <w:r>
        <w:rPr>
          <w:rStyle w:val="EndnoteReference"/>
        </w:rPr>
        <w:endnoteRef/>
      </w:r>
      <w:r>
        <w:t xml:space="preserve"> </w:t>
      </w:r>
      <w:r w:rsidRPr="004941C8">
        <w:t xml:space="preserve">Antoine van </w:t>
      </w:r>
      <w:proofErr w:type="spellStart"/>
      <w:r w:rsidRPr="004941C8">
        <w:t>Agtmael</w:t>
      </w:r>
      <w:proofErr w:type="spellEnd"/>
      <w:r w:rsidRPr="004941C8">
        <w:t xml:space="preserve"> and Fred Bakker</w:t>
      </w:r>
      <w:r>
        <w:t xml:space="preserve">, </w:t>
      </w:r>
      <w:r>
        <w:rPr>
          <w:i/>
        </w:rPr>
        <w:t xml:space="preserve">The Smartest Places on Earth: </w:t>
      </w:r>
      <w:r w:rsidRPr="004941C8">
        <w:rPr>
          <w:i/>
        </w:rPr>
        <w:t>Why Rustbelts Are the Emerging Hotspots of Global Innovation</w:t>
      </w:r>
      <w:r>
        <w:rPr>
          <w:i/>
        </w:rPr>
        <w:t xml:space="preserve"> </w:t>
      </w:r>
      <w:r>
        <w:t xml:space="preserve">(New York: Public Affairs, 2016). </w:t>
      </w:r>
    </w:p>
  </w:endnote>
  <w:endnote w:id="94">
    <w:p w14:paraId="149D5CC8" w14:textId="338E966A" w:rsidR="00142F9D" w:rsidRPr="00BA313A" w:rsidRDefault="00142F9D" w:rsidP="00A43113">
      <w:pPr>
        <w:pStyle w:val="EndnoteText"/>
      </w:pPr>
      <w:r w:rsidRPr="00BA313A">
        <w:rPr>
          <w:rStyle w:val="EndnoteReference"/>
        </w:rPr>
        <w:endnoteRef/>
      </w:r>
      <w:proofErr w:type="gramStart"/>
      <w:r w:rsidRPr="00BA313A">
        <w:t xml:space="preserve">, “GE Digital to hire 300 over next 2 years”, </w:t>
      </w:r>
      <w:r w:rsidRPr="00BA313A">
        <w:rPr>
          <w:i/>
        </w:rPr>
        <w:t>Detroit Free Press</w:t>
      </w:r>
      <w:r w:rsidRPr="00BA313A">
        <w:t>, June 25, 2016.</w:t>
      </w:r>
      <w:proofErr w:type="gramEnd"/>
    </w:p>
  </w:endnote>
  <w:endnote w:id="95">
    <w:p w14:paraId="73FD3234" w14:textId="0A903A54" w:rsidR="00142F9D" w:rsidRPr="00BA313A" w:rsidRDefault="00142F9D" w:rsidP="00A43113">
      <w:pPr>
        <w:pStyle w:val="EndnoteText"/>
      </w:pPr>
      <w:r w:rsidRPr="00BA313A">
        <w:rPr>
          <w:rStyle w:val="EndnoteReference"/>
        </w:rPr>
        <w:endnoteRef/>
      </w:r>
      <w:r w:rsidRPr="00BA313A">
        <w:t xml:space="preserve"> “Pitt, CMU and UPMC hope to remake health care via new big data alliance”, </w:t>
      </w:r>
      <w:r w:rsidRPr="00BA313A">
        <w:rPr>
          <w:i/>
        </w:rPr>
        <w:t xml:space="preserve">Pittsburgh Post-Gazette, </w:t>
      </w:r>
      <w:r w:rsidRPr="00BA313A">
        <w:t>March 16, 2015.</w:t>
      </w:r>
    </w:p>
  </w:endnote>
  <w:endnote w:id="96">
    <w:p w14:paraId="51AB95F8" w14:textId="77777777" w:rsidR="00142F9D" w:rsidRPr="00BA313A" w:rsidRDefault="00142F9D" w:rsidP="008B6F17">
      <w:pPr>
        <w:pStyle w:val="EndnoteText"/>
      </w:pPr>
      <w:r w:rsidRPr="00BA313A">
        <w:rPr>
          <w:rStyle w:val="EndnoteReference"/>
        </w:rPr>
        <w:endnoteRef/>
      </w:r>
      <w:r w:rsidRPr="00BA313A">
        <w:t xml:space="preserve"> Sixteen of the metropolitan areas in this group are part of the Brookings-JP Morgan Global Cities initiative: The exchange. The Exchange is a network of metro areas that have worked to develop and implement regional strategies to boost global trade and investment, forge partnerships between U.S. and international metropolitan areas, and advocate for state and national policy changes. A detailed description of project and the specific actions of the metropolitan areas can be found here: </w:t>
      </w:r>
      <w:hyperlink r:id="rId15" w:history="1">
        <w:r w:rsidRPr="00BA313A">
          <w:rPr>
            <w:rStyle w:val="Hyperlink"/>
          </w:rPr>
          <w:t>www.brookings.edu/global-cities-initiative-the-exchange/</w:t>
        </w:r>
      </w:hyperlink>
      <w:r w:rsidRPr="00BA313A">
        <w:t xml:space="preserve"> </w:t>
      </w:r>
    </w:p>
  </w:endnote>
  <w:endnote w:id="97">
    <w:p w14:paraId="537BF504" w14:textId="7762CBC2" w:rsidR="00142F9D" w:rsidRPr="00BA313A" w:rsidRDefault="00142F9D" w:rsidP="00A43113">
      <w:pPr>
        <w:pStyle w:val="EndnoteText"/>
      </w:pPr>
      <w:r w:rsidRPr="00BA313A">
        <w:rPr>
          <w:rStyle w:val="EndnoteReference"/>
        </w:rPr>
        <w:endnoteRef/>
      </w:r>
      <w:r w:rsidRPr="00BA313A">
        <w:t xml:space="preserve"> </w:t>
      </w:r>
      <w:proofErr w:type="gramStart"/>
      <w:r w:rsidRPr="00BA313A">
        <w:t xml:space="preserve">“Canada’s startup scene struggling to compete because of funding woes, Salesforce Ventures boss says”, </w:t>
      </w:r>
      <w:r w:rsidRPr="00BA313A">
        <w:rPr>
          <w:i/>
        </w:rPr>
        <w:t>Financial Post</w:t>
      </w:r>
      <w:r w:rsidRPr="00BA313A">
        <w:t>, March 18, 2016.</w:t>
      </w:r>
      <w:proofErr w:type="gramEnd"/>
      <w:r w:rsidRPr="00BA313A">
        <w:t xml:space="preserve"> </w:t>
      </w:r>
    </w:p>
  </w:endnote>
  <w:endnote w:id="98">
    <w:p w14:paraId="55738BAB" w14:textId="2D4C354B" w:rsidR="00142F9D" w:rsidRPr="00BA313A" w:rsidRDefault="00142F9D" w:rsidP="00A43113">
      <w:pPr>
        <w:pStyle w:val="EndnoteText"/>
      </w:pPr>
      <w:r w:rsidRPr="00BA313A">
        <w:rPr>
          <w:rStyle w:val="EndnoteReference"/>
        </w:rPr>
        <w:endnoteRef/>
      </w:r>
      <w:r w:rsidRPr="00BA313A">
        <w:t xml:space="preserve"> “Investor tax breaks aim to counter the 'Valley of Death' for startups”, </w:t>
      </w:r>
      <w:r w:rsidRPr="00BA313A">
        <w:rPr>
          <w:i/>
        </w:rPr>
        <w:t>Sydney Morning Herald</w:t>
      </w:r>
      <w:r w:rsidRPr="00BA313A">
        <w:t xml:space="preserve">, December 7, 2015. </w:t>
      </w:r>
    </w:p>
  </w:endnote>
  <w:endnote w:id="99">
    <w:p w14:paraId="308AC9C6" w14:textId="0FFE6E68" w:rsidR="00142F9D" w:rsidRPr="00BA313A" w:rsidRDefault="00142F9D">
      <w:pPr>
        <w:pStyle w:val="EndnoteText"/>
      </w:pPr>
      <w:r w:rsidRPr="00BA313A">
        <w:rPr>
          <w:rStyle w:val="EndnoteReference"/>
        </w:rPr>
        <w:endnoteRef/>
      </w:r>
      <w:r w:rsidRPr="00BA313A">
        <w:t xml:space="preserve"> See </w:t>
      </w:r>
      <w:proofErr w:type="spellStart"/>
      <w:r w:rsidRPr="00BA313A">
        <w:t>Anselin</w:t>
      </w:r>
      <w:proofErr w:type="spellEnd"/>
      <w:r w:rsidRPr="00BA313A">
        <w:t xml:space="preserve"> and others, “Local Geographic Spillovers between University Research and High Technology Innovations”, </w:t>
      </w:r>
      <w:r w:rsidRPr="00BA313A">
        <w:rPr>
          <w:i/>
        </w:rPr>
        <w:t>Journal of Urban Economics</w:t>
      </w:r>
      <w:r w:rsidRPr="00BA313A">
        <w:t xml:space="preserve">, 42(3) (1997): 422-448. Gerald A. </w:t>
      </w:r>
      <w:proofErr w:type="spellStart"/>
      <w:r w:rsidRPr="00BA313A">
        <w:t>Carlino</w:t>
      </w:r>
      <w:proofErr w:type="spellEnd"/>
      <w:r w:rsidRPr="00BA313A">
        <w:t xml:space="preserve">, “New Ideas in the Air: Cities and Economic Growth,” </w:t>
      </w:r>
      <w:r w:rsidRPr="00BA313A">
        <w:rPr>
          <w:i/>
        </w:rPr>
        <w:t>Business Review Q4</w:t>
      </w:r>
      <w:r w:rsidRPr="00BA313A">
        <w:t xml:space="preserve"> (2014): 1-7. The Science Coalition, “Sparking Economic Growth: How federally funded university research creates innovation, new companies and jobs” (2010). </w:t>
      </w:r>
    </w:p>
  </w:endnote>
  <w:endnote w:id="100">
    <w:p w14:paraId="4CC20A91" w14:textId="69AFD05D" w:rsidR="00142F9D" w:rsidRDefault="00142F9D" w:rsidP="00A43113">
      <w:pPr>
        <w:pStyle w:val="EndnoteText"/>
      </w:pPr>
      <w:r w:rsidRPr="00BA313A">
        <w:rPr>
          <w:rStyle w:val="EndnoteReference"/>
        </w:rPr>
        <w:endnoteRef/>
      </w:r>
      <w:r w:rsidRPr="00BA313A">
        <w:t xml:space="preserve"> </w:t>
      </w:r>
      <w:proofErr w:type="gramStart"/>
      <w:r w:rsidRPr="00BA313A">
        <w:t xml:space="preserve">“Germany Grapples With Growing Shortage of Skilled Labor”, </w:t>
      </w:r>
      <w:r w:rsidRPr="00BA313A">
        <w:rPr>
          <w:i/>
        </w:rPr>
        <w:t>Wall Street Journal</w:t>
      </w:r>
      <w:r w:rsidRPr="00BA313A">
        <w:t>, June 6, 2014.</w:t>
      </w:r>
      <w:proofErr w:type="gramEnd"/>
    </w:p>
  </w:endnote>
  <w:endnote w:id="101">
    <w:p w14:paraId="4B1C48A6" w14:textId="77777777" w:rsidR="00142F9D" w:rsidRDefault="00142F9D" w:rsidP="00A43113">
      <w:pPr>
        <w:pStyle w:val="EndnoteText"/>
      </w:pPr>
      <w:r>
        <w:rPr>
          <w:rStyle w:val="EndnoteReference"/>
        </w:rPr>
        <w:endnoteRef/>
      </w:r>
      <w:r>
        <w:t xml:space="preserve"> </w:t>
      </w:r>
      <w:r w:rsidRPr="002759FF">
        <w:t xml:space="preserve">Giovanni </w:t>
      </w:r>
      <w:proofErr w:type="spellStart"/>
      <w:r w:rsidRPr="002759FF">
        <w:t>Ganelli</w:t>
      </w:r>
      <w:proofErr w:type="spellEnd"/>
      <w:r w:rsidRPr="002759FF">
        <w:t xml:space="preserve"> and Naoko </w:t>
      </w:r>
      <w:proofErr w:type="spellStart"/>
      <w:r w:rsidRPr="002759FF">
        <w:t>Miake</w:t>
      </w:r>
      <w:proofErr w:type="spellEnd"/>
      <w:r>
        <w:t xml:space="preserve">, </w:t>
      </w:r>
      <w:r w:rsidRPr="002759FF">
        <w:rPr>
          <w:i/>
        </w:rPr>
        <w:t>Foreign Help Wanted: Easing Japan’s Labor Shortages</w:t>
      </w:r>
      <w:r>
        <w:t xml:space="preserve">, International Monetary Fund, Washington DC: 2015. </w:t>
      </w:r>
    </w:p>
  </w:endnote>
  <w:endnote w:id="102">
    <w:p w14:paraId="4A2EA8CA" w14:textId="77777777" w:rsidR="00142F9D" w:rsidRDefault="00142F9D" w:rsidP="003C4C1B">
      <w:pPr>
        <w:pStyle w:val="EndnoteText"/>
      </w:pPr>
      <w:r>
        <w:rPr>
          <w:rStyle w:val="EndnoteReference"/>
        </w:rPr>
        <w:endnoteRef/>
      </w:r>
      <w:r>
        <w:t xml:space="preserve"> </w:t>
      </w:r>
      <w:proofErr w:type="spellStart"/>
      <w:proofErr w:type="gramStart"/>
      <w:r w:rsidRPr="0024783D">
        <w:t>McDearman</w:t>
      </w:r>
      <w:proofErr w:type="spellEnd"/>
      <w:r w:rsidRPr="0024783D">
        <w:t xml:space="preserve"> and others, “10 Traits of Globally Fluent Metro Areas.”</w:t>
      </w:r>
      <w:proofErr w:type="gramEnd"/>
      <w:r>
        <w:t xml:space="preserve"> Clark and </w:t>
      </w:r>
      <w:proofErr w:type="spellStart"/>
      <w:r>
        <w:t>Moonen</w:t>
      </w:r>
      <w:proofErr w:type="spellEnd"/>
      <w:r>
        <w:t>, “</w:t>
      </w:r>
      <w:r w:rsidRPr="00F319C1">
        <w:t>The 10 Traits of Globally Fluent Metro Areas</w:t>
      </w:r>
      <w:r>
        <w:t>: International Edition.”</w:t>
      </w:r>
    </w:p>
  </w:endnote>
  <w:endnote w:id="103">
    <w:p w14:paraId="7B0E17EF" w14:textId="77777777" w:rsidR="00142F9D" w:rsidRDefault="00142F9D" w:rsidP="003C4C1B">
      <w:pPr>
        <w:pStyle w:val="EndnoteText"/>
      </w:pPr>
      <w:r>
        <w:rPr>
          <w:rStyle w:val="EndnoteReference"/>
        </w:rPr>
        <w:endnoteRef/>
      </w:r>
      <w:r>
        <w:t xml:space="preserve"> Amy Liu, “Remaking Economic Development: The Markets and Civics of Continuous Growth and Prosperity,” (Washington: Brookings Institution, 2016). </w:t>
      </w:r>
    </w:p>
  </w:endnote>
  <w:endnote w:id="104">
    <w:p w14:paraId="66B921C2" w14:textId="77777777" w:rsidR="00142F9D" w:rsidRPr="00A530F2" w:rsidRDefault="00142F9D" w:rsidP="003C4C1B">
      <w:pPr>
        <w:pStyle w:val="EndnoteText"/>
      </w:pPr>
      <w:r>
        <w:rPr>
          <w:rStyle w:val="EndnoteReference"/>
        </w:rPr>
        <w:endnoteRef/>
      </w:r>
      <w:r>
        <w:t xml:space="preserve"> </w:t>
      </w:r>
      <w:r w:rsidRPr="00A530F2">
        <w:t xml:space="preserve">Pete Carlson, Robert Holm, </w:t>
      </w:r>
      <w:proofErr w:type="gramStart"/>
      <w:r w:rsidRPr="00A530F2">
        <w:t>And</w:t>
      </w:r>
      <w:proofErr w:type="gramEnd"/>
      <w:r w:rsidRPr="00A530F2">
        <w:t xml:space="preserve"> Ray </w:t>
      </w:r>
      <w:proofErr w:type="spellStart"/>
      <w:r w:rsidRPr="00A530F2">
        <w:t>Uhalde</w:t>
      </w:r>
      <w:proofErr w:type="spellEnd"/>
      <w:r>
        <w:t xml:space="preserve">, “Building Regional Partnerships for Economic Growth and Opportunity” (Boston: Jobs for the Future, 2011). Greg Clark and others, “Local Economic Leadership” (Paris: </w:t>
      </w:r>
      <w:proofErr w:type="spellStart"/>
      <w:r>
        <w:t>Organisation</w:t>
      </w:r>
      <w:proofErr w:type="spellEnd"/>
      <w:r>
        <w:t xml:space="preserve"> for Co-operation and Development, 2015). </w:t>
      </w:r>
      <w:proofErr w:type="spellStart"/>
      <w:proofErr w:type="gramStart"/>
      <w:r>
        <w:t>Organisation</w:t>
      </w:r>
      <w:proofErr w:type="spellEnd"/>
      <w:r>
        <w:t xml:space="preserve"> of Economic Co-operation and Development, “Governing the City” (2015).</w:t>
      </w:r>
      <w:proofErr w:type="gramEnd"/>
      <w:r>
        <w:t xml:space="preserve"> Bruce Katz and Jennifer Bradley, </w:t>
      </w:r>
      <w:proofErr w:type="gramStart"/>
      <w:r>
        <w:rPr>
          <w:i/>
          <w:iCs/>
        </w:rPr>
        <w:t>The</w:t>
      </w:r>
      <w:proofErr w:type="gramEnd"/>
      <w:r>
        <w:rPr>
          <w:i/>
          <w:iCs/>
        </w:rPr>
        <w:t xml:space="preserve"> Metropolitan Revolution: </w:t>
      </w:r>
      <w:r w:rsidRPr="00A530F2">
        <w:rPr>
          <w:i/>
          <w:iCs/>
        </w:rPr>
        <w:t>How Cities and Metros Are Fixing Our Broken Politics and Fragile Economy</w:t>
      </w:r>
      <w:r>
        <w:t xml:space="preserve"> (Washington: Brookings Institution Press, 2013). </w:t>
      </w:r>
    </w:p>
  </w:endnote>
  <w:endnote w:id="105">
    <w:p w14:paraId="220356C8" w14:textId="012F944D" w:rsidR="00142F9D" w:rsidRDefault="00142F9D">
      <w:pPr>
        <w:pStyle w:val="EndnoteText"/>
      </w:pPr>
      <w:r>
        <w:rPr>
          <w:rStyle w:val="EndnoteReference"/>
        </w:rPr>
        <w:endnoteRef/>
      </w:r>
      <w:r>
        <w:t xml:space="preserve"> </w:t>
      </w:r>
      <w:proofErr w:type="spellStart"/>
      <w:r w:rsidRPr="00052C0C">
        <w:t>Organisation</w:t>
      </w:r>
      <w:proofErr w:type="spellEnd"/>
      <w:r w:rsidRPr="00052C0C">
        <w:t xml:space="preserve"> of Economic Co-operation and Development, “The Metropolitan Century: Understanding </w:t>
      </w:r>
      <w:proofErr w:type="spellStart"/>
      <w:r w:rsidRPr="00052C0C">
        <w:t>Urbanisation</w:t>
      </w:r>
      <w:proofErr w:type="spellEnd"/>
      <w:r w:rsidRPr="00052C0C">
        <w:t xml:space="preserve"> and its Consequences” (2015).  </w:t>
      </w:r>
    </w:p>
  </w:endnote>
  <w:endnote w:id="106">
    <w:p w14:paraId="3D1C6EAE" w14:textId="77777777" w:rsidR="00142F9D" w:rsidRPr="00804302" w:rsidRDefault="00142F9D" w:rsidP="003C4C1B">
      <w:pPr>
        <w:pStyle w:val="Default"/>
        <w:rPr>
          <w:rFonts w:asciiTheme="minorHAnsi" w:hAnsiTheme="minorHAnsi"/>
          <w:sz w:val="20"/>
          <w:szCs w:val="20"/>
        </w:rPr>
      </w:pPr>
      <w:r w:rsidRPr="00804302">
        <w:rPr>
          <w:rStyle w:val="EndnoteReference"/>
          <w:rFonts w:asciiTheme="minorHAnsi" w:hAnsiTheme="minorHAnsi"/>
        </w:rPr>
        <w:endnoteRef/>
      </w:r>
      <w:r>
        <w:rPr>
          <w:rFonts w:asciiTheme="minorHAnsi" w:hAnsiTheme="minorHAnsi"/>
          <w:sz w:val="20"/>
          <w:szCs w:val="20"/>
        </w:rPr>
        <w:t xml:space="preserve"> For this installment of the </w:t>
      </w:r>
      <w:r w:rsidRPr="00E931E1">
        <w:rPr>
          <w:rFonts w:asciiTheme="minorHAnsi" w:hAnsiTheme="minorHAnsi"/>
          <w:i/>
          <w:sz w:val="20"/>
          <w:szCs w:val="20"/>
        </w:rPr>
        <w:t xml:space="preserve">Global </w:t>
      </w:r>
      <w:proofErr w:type="spellStart"/>
      <w:r w:rsidRPr="00E931E1">
        <w:rPr>
          <w:rFonts w:asciiTheme="minorHAnsi" w:hAnsiTheme="minorHAnsi"/>
          <w:i/>
          <w:sz w:val="20"/>
          <w:szCs w:val="20"/>
        </w:rPr>
        <w:t>MetroMonitor</w:t>
      </w:r>
      <w:proofErr w:type="spellEnd"/>
      <w:r>
        <w:rPr>
          <w:rFonts w:asciiTheme="minorHAnsi" w:hAnsiTheme="minorHAnsi"/>
          <w:sz w:val="20"/>
          <w:szCs w:val="20"/>
        </w:rPr>
        <w:t xml:space="preserve">, Brookings used the 2013 metropolitan statistical areas delineations defined by the </w:t>
      </w:r>
      <w:r w:rsidRPr="00804302">
        <w:rPr>
          <w:rFonts w:asciiTheme="minorHAnsi" w:hAnsiTheme="minorHAnsi"/>
          <w:sz w:val="20"/>
          <w:szCs w:val="20"/>
        </w:rPr>
        <w:t>U.S. Office of Management and Budget</w:t>
      </w:r>
      <w:r>
        <w:rPr>
          <w:rFonts w:asciiTheme="minorHAnsi" w:hAnsiTheme="minorHAnsi"/>
          <w:sz w:val="20"/>
          <w:szCs w:val="20"/>
        </w:rPr>
        <w:t xml:space="preserve">.  </w:t>
      </w:r>
      <w:r w:rsidRPr="00804302">
        <w:rPr>
          <w:rFonts w:asciiTheme="minorHAnsi" w:hAnsiTheme="minorHAnsi"/>
          <w:sz w:val="20"/>
          <w:szCs w:val="20"/>
        </w:rPr>
        <w:t xml:space="preserve">U.S. Office of Management and Budget, </w:t>
      </w:r>
      <w:r w:rsidRPr="00F12C07">
        <w:rPr>
          <w:rFonts w:asciiTheme="minorHAnsi" w:hAnsiTheme="minorHAnsi"/>
          <w:i/>
          <w:sz w:val="20"/>
          <w:szCs w:val="20"/>
        </w:rPr>
        <w:t xml:space="preserve">Revised Delineations of Metropolitan Statistical Areas, </w:t>
      </w:r>
      <w:proofErr w:type="spellStart"/>
      <w:r w:rsidRPr="00F12C07">
        <w:rPr>
          <w:rFonts w:asciiTheme="minorHAnsi" w:hAnsiTheme="minorHAnsi"/>
          <w:i/>
          <w:sz w:val="20"/>
          <w:szCs w:val="20"/>
        </w:rPr>
        <w:t>Micropolitan</w:t>
      </w:r>
      <w:proofErr w:type="spellEnd"/>
      <w:r w:rsidRPr="00F12C07">
        <w:rPr>
          <w:rFonts w:asciiTheme="minorHAnsi" w:hAnsiTheme="minorHAnsi"/>
          <w:i/>
          <w:sz w:val="20"/>
          <w:szCs w:val="20"/>
        </w:rPr>
        <w:t xml:space="preserve"> Statistical Areas, and Combined Statistical Areas, and Guidance on Uses of</w:t>
      </w:r>
      <w:r>
        <w:rPr>
          <w:rFonts w:asciiTheme="minorHAnsi" w:hAnsiTheme="minorHAnsi"/>
          <w:i/>
          <w:sz w:val="20"/>
          <w:szCs w:val="20"/>
        </w:rPr>
        <w:t xml:space="preserve"> </w:t>
      </w:r>
      <w:r w:rsidRPr="00F12C07">
        <w:rPr>
          <w:rFonts w:asciiTheme="minorHAnsi" w:hAnsiTheme="minorHAnsi"/>
          <w:i/>
          <w:sz w:val="20"/>
          <w:szCs w:val="20"/>
        </w:rPr>
        <w:t>the Delineations of</w:t>
      </w:r>
      <w:r>
        <w:rPr>
          <w:rFonts w:asciiTheme="minorHAnsi" w:hAnsiTheme="minorHAnsi"/>
          <w:i/>
          <w:sz w:val="20"/>
          <w:szCs w:val="20"/>
        </w:rPr>
        <w:t xml:space="preserve"> </w:t>
      </w:r>
      <w:r w:rsidRPr="00F12C07">
        <w:rPr>
          <w:rFonts w:asciiTheme="minorHAnsi" w:hAnsiTheme="minorHAnsi"/>
          <w:i/>
          <w:sz w:val="20"/>
          <w:szCs w:val="20"/>
        </w:rPr>
        <w:t>These Areas</w:t>
      </w:r>
      <w:r w:rsidRPr="00804302">
        <w:rPr>
          <w:rFonts w:asciiTheme="minorHAnsi" w:hAnsiTheme="minorHAnsi"/>
          <w:sz w:val="20"/>
          <w:szCs w:val="20"/>
        </w:rPr>
        <w:t xml:space="preserve">, OMB BULLETIN NO. </w:t>
      </w:r>
      <w:proofErr w:type="gramStart"/>
      <w:r w:rsidRPr="00804302">
        <w:rPr>
          <w:rFonts w:asciiTheme="minorHAnsi" w:hAnsiTheme="minorHAnsi"/>
          <w:sz w:val="20"/>
          <w:szCs w:val="20"/>
        </w:rPr>
        <w:t>1</w:t>
      </w:r>
      <w:r>
        <w:rPr>
          <w:rFonts w:asciiTheme="minorHAnsi" w:hAnsiTheme="minorHAnsi"/>
          <w:sz w:val="20"/>
          <w:szCs w:val="20"/>
        </w:rPr>
        <w:t>3</w:t>
      </w:r>
      <w:r w:rsidRPr="00804302">
        <w:rPr>
          <w:rFonts w:asciiTheme="minorHAnsi" w:hAnsiTheme="minorHAnsi"/>
          <w:sz w:val="20"/>
          <w:szCs w:val="20"/>
        </w:rPr>
        <w:t>-0</w:t>
      </w:r>
      <w:r>
        <w:rPr>
          <w:rFonts w:asciiTheme="minorHAnsi" w:hAnsiTheme="minorHAnsi"/>
          <w:sz w:val="20"/>
          <w:szCs w:val="20"/>
        </w:rPr>
        <w:t>1</w:t>
      </w:r>
      <w:r w:rsidRPr="00804302">
        <w:rPr>
          <w:rFonts w:asciiTheme="minorHAnsi" w:hAnsiTheme="minorHAnsi"/>
          <w:sz w:val="20"/>
          <w:szCs w:val="20"/>
        </w:rPr>
        <w:t xml:space="preserve"> (U.S. Offic</w:t>
      </w:r>
      <w:r>
        <w:rPr>
          <w:rFonts w:asciiTheme="minorHAnsi" w:hAnsiTheme="minorHAnsi"/>
          <w:sz w:val="20"/>
          <w:szCs w:val="20"/>
        </w:rPr>
        <w:t>e of Management and Budget, 2013</w:t>
      </w:r>
      <w:r w:rsidRPr="00804302">
        <w:rPr>
          <w:rFonts w:asciiTheme="minorHAnsi" w:hAnsiTheme="minorHAnsi"/>
          <w:sz w:val="20"/>
          <w:szCs w:val="20"/>
        </w:rPr>
        <w:t>).</w:t>
      </w:r>
      <w:proofErr w:type="gramEnd"/>
    </w:p>
  </w:endnote>
  <w:endnote w:id="107">
    <w:p w14:paraId="06CEE47A" w14:textId="77777777" w:rsidR="00142F9D" w:rsidRPr="00804302" w:rsidRDefault="00142F9D" w:rsidP="003C4C1B">
      <w:pPr>
        <w:pStyle w:val="EndnoteText"/>
      </w:pPr>
      <w:r w:rsidRPr="00804302">
        <w:rPr>
          <w:rStyle w:val="EndnoteReference"/>
        </w:rPr>
        <w:endnoteRef/>
      </w:r>
      <w:r w:rsidRPr="00804302">
        <w:t xml:space="preserve"> European Observation Network for Territorial Development and Cohesion (ESPON), </w:t>
      </w:r>
      <w:r w:rsidRPr="00804302">
        <w:rPr>
          <w:i/>
        </w:rPr>
        <w:t>Study on Urban Functions</w:t>
      </w:r>
      <w:r w:rsidRPr="00804302">
        <w:t xml:space="preserve">, ESPON Project 1.4.3 (European Observation Network for Territorial Development and Cohesion, 2007). </w:t>
      </w:r>
      <w:r>
        <w:t xml:space="preserve"> </w:t>
      </w:r>
      <w:r w:rsidRPr="00804302">
        <w:t>ESPON is a European Commission program, funded by the Commission, the European Union member countries, Iceland, Lichtenstein, Norway</w:t>
      </w:r>
      <w:r>
        <w:t>,</w:t>
      </w:r>
      <w:r w:rsidRPr="00804302">
        <w:t xml:space="preserve"> and Switzerland. </w:t>
      </w:r>
      <w:r>
        <w:t xml:space="preserve"> </w:t>
      </w:r>
      <w:r w:rsidRPr="00804302">
        <w:t xml:space="preserve">See ESPON, </w:t>
      </w:r>
      <w:r w:rsidRPr="00804302">
        <w:rPr>
          <w:i/>
        </w:rPr>
        <w:t xml:space="preserve">ESPON 2013 </w:t>
      </w:r>
      <w:proofErr w:type="spellStart"/>
      <w:r w:rsidRPr="00804302">
        <w:rPr>
          <w:i/>
        </w:rPr>
        <w:t>Programme</w:t>
      </w:r>
      <w:proofErr w:type="spellEnd"/>
      <w:r w:rsidRPr="00804302">
        <w:t xml:space="preserve">, available at </w:t>
      </w:r>
      <w:hyperlink r:id="rId16" w:history="1">
        <w:r w:rsidRPr="00804302">
          <w:rPr>
            <w:rStyle w:val="Hyperlink"/>
          </w:rPr>
          <w:t>www.espon.eu/main/Menu_Programme/Menu_Mission/</w:t>
        </w:r>
      </w:hyperlink>
      <w:r w:rsidRPr="00804302">
        <w:t>.</w:t>
      </w:r>
    </w:p>
  </w:endnote>
  <w:endnote w:id="108">
    <w:p w14:paraId="4A1FD8F0" w14:textId="77777777" w:rsidR="00142F9D" w:rsidRPr="00804302" w:rsidRDefault="00142F9D" w:rsidP="003C4C1B">
      <w:pPr>
        <w:spacing w:after="0" w:line="240" w:lineRule="auto"/>
        <w:rPr>
          <w:rFonts w:eastAsia="Times New Roman"/>
          <w:sz w:val="20"/>
          <w:szCs w:val="20"/>
        </w:rPr>
      </w:pPr>
      <w:r w:rsidRPr="00804302">
        <w:rPr>
          <w:rStyle w:val="EndnoteReference"/>
        </w:rPr>
        <w:endnoteRef/>
      </w:r>
      <w:r w:rsidRPr="00804302">
        <w:rPr>
          <w:sz w:val="20"/>
          <w:szCs w:val="20"/>
        </w:rPr>
        <w:t xml:space="preserve"> </w:t>
      </w:r>
      <w:r w:rsidRPr="00804302">
        <w:rPr>
          <w:rFonts w:eastAsia="Times New Roman"/>
          <w:sz w:val="20"/>
          <w:szCs w:val="20"/>
        </w:rPr>
        <w:t>ESPON Database 2013 and Personal Communication fr</w:t>
      </w:r>
      <w:r>
        <w:rPr>
          <w:rFonts w:eastAsia="Times New Roman"/>
          <w:sz w:val="20"/>
          <w:szCs w:val="20"/>
        </w:rPr>
        <w:t xml:space="preserve">om Didier </w:t>
      </w:r>
      <w:proofErr w:type="spellStart"/>
      <w:r>
        <w:rPr>
          <w:rFonts w:eastAsia="Times New Roman"/>
          <w:sz w:val="20"/>
          <w:szCs w:val="20"/>
        </w:rPr>
        <w:t>Peeters</w:t>
      </w:r>
      <w:proofErr w:type="spellEnd"/>
      <w:r>
        <w:rPr>
          <w:rFonts w:eastAsia="Times New Roman"/>
          <w:sz w:val="20"/>
          <w:szCs w:val="20"/>
        </w:rPr>
        <w:t>, researcher, t</w:t>
      </w:r>
      <w:r w:rsidRPr="00804302">
        <w:rPr>
          <w:rFonts w:eastAsia="Times New Roman"/>
          <w:sz w:val="20"/>
          <w:szCs w:val="20"/>
        </w:rPr>
        <w:t xml:space="preserve">he Institute for Environmental Management and Land-use Planning, Free University of Brussels, May 2012. </w:t>
      </w:r>
      <w:r>
        <w:rPr>
          <w:rFonts w:eastAsia="Times New Roman"/>
          <w:sz w:val="20"/>
          <w:szCs w:val="20"/>
        </w:rPr>
        <w:t xml:space="preserve"> </w:t>
      </w:r>
      <w:r w:rsidRPr="00804302">
        <w:rPr>
          <w:rFonts w:eastAsia="Times New Roman"/>
          <w:sz w:val="20"/>
          <w:szCs w:val="20"/>
        </w:rPr>
        <w:t>For a discussion of metropolitan areas and functional urban areas in Europe</w:t>
      </w:r>
      <w:r>
        <w:rPr>
          <w:rFonts w:eastAsia="Times New Roman"/>
          <w:sz w:val="20"/>
          <w:szCs w:val="20"/>
        </w:rPr>
        <w:t>,</w:t>
      </w:r>
      <w:r w:rsidRPr="00804302">
        <w:rPr>
          <w:rFonts w:eastAsia="Times New Roman"/>
          <w:sz w:val="20"/>
          <w:szCs w:val="20"/>
        </w:rPr>
        <w:t xml:space="preserve"> see Didier </w:t>
      </w:r>
      <w:proofErr w:type="spellStart"/>
      <w:r w:rsidRPr="00804302">
        <w:rPr>
          <w:rFonts w:eastAsia="Times New Roman"/>
          <w:sz w:val="20"/>
          <w:szCs w:val="20"/>
        </w:rPr>
        <w:t>Peeters</w:t>
      </w:r>
      <w:proofErr w:type="spellEnd"/>
      <w:r w:rsidRPr="00804302">
        <w:rPr>
          <w:rFonts w:eastAsia="Times New Roman"/>
          <w:sz w:val="20"/>
          <w:szCs w:val="20"/>
        </w:rPr>
        <w:t>, “The Functional Urban Areas Database Technical Report” (</w:t>
      </w:r>
      <w:r w:rsidRPr="00804302">
        <w:rPr>
          <w:sz w:val="20"/>
          <w:szCs w:val="20"/>
        </w:rPr>
        <w:t>European Observation Network for Territorial Development and Cohesion (E</w:t>
      </w:r>
      <w:r>
        <w:rPr>
          <w:sz w:val="20"/>
          <w:szCs w:val="20"/>
        </w:rPr>
        <w:t>SPON)</w:t>
      </w:r>
      <w:r w:rsidRPr="00804302">
        <w:rPr>
          <w:rFonts w:eastAsia="Times New Roman"/>
          <w:sz w:val="20"/>
          <w:szCs w:val="20"/>
        </w:rPr>
        <w:t>, March 2011).</w:t>
      </w:r>
    </w:p>
  </w:endnote>
  <w:endnote w:id="109">
    <w:p w14:paraId="15CBADB5" w14:textId="77777777" w:rsidR="00142F9D" w:rsidRDefault="00142F9D" w:rsidP="00EC0CD0">
      <w:pPr>
        <w:pStyle w:val="EndnoteText"/>
      </w:pPr>
      <w:r>
        <w:rPr>
          <w:rStyle w:val="EndnoteReference"/>
        </w:rPr>
        <w:endnoteRef/>
      </w:r>
      <w:r>
        <w:t xml:space="preserve"> For an overview of the three methods utilized see </w:t>
      </w:r>
      <w:r w:rsidRPr="002D0D0E">
        <w:t xml:space="preserve">Trevor Hastie, Robert </w:t>
      </w:r>
      <w:proofErr w:type="spellStart"/>
      <w:r w:rsidRPr="002D0D0E">
        <w:t>Tibshirani</w:t>
      </w:r>
      <w:proofErr w:type="spellEnd"/>
      <w:r w:rsidRPr="002D0D0E">
        <w:t xml:space="preserve">, </w:t>
      </w:r>
      <w:r>
        <w:t xml:space="preserve">and Jerome Friedman, </w:t>
      </w:r>
      <w:r w:rsidRPr="002D0D0E">
        <w:rPr>
          <w:i/>
        </w:rPr>
        <w:t>The Elements of Statistical Learning: Data Mining, Inference, and Prediction</w:t>
      </w:r>
      <w:r w:rsidRPr="002D0D0E">
        <w:t>, Springer</w:t>
      </w:r>
      <w:r>
        <w:t>: New York, 2011.</w:t>
      </w:r>
    </w:p>
  </w:endnote>
  <w:endnote w:id="110">
    <w:p w14:paraId="41D3AB68" w14:textId="77777777" w:rsidR="00142F9D" w:rsidRDefault="00142F9D" w:rsidP="00EC0CD0">
      <w:pPr>
        <w:pStyle w:val="EndnoteText"/>
      </w:pPr>
      <w:r>
        <w:rPr>
          <w:rStyle w:val="EndnoteReference"/>
        </w:rPr>
        <w:endnoteRef/>
      </w:r>
      <w:r>
        <w:t xml:space="preserve"> </w:t>
      </w:r>
      <w:r w:rsidRPr="006553E5">
        <w:t>For industry analysis</w:t>
      </w:r>
      <w:r>
        <w:t xml:space="preserve"> we </w:t>
      </w:r>
      <w:r w:rsidRPr="006553E5">
        <w:t xml:space="preserve">collected industry-level data and estimates for </w:t>
      </w:r>
      <w:r>
        <w:t>Real Gross Value Added (GVA)</w:t>
      </w:r>
      <w:r w:rsidRPr="006553E5">
        <w:t xml:space="preserve">. </w:t>
      </w:r>
      <w:r>
        <w:t xml:space="preserve">Given the heterogeneity of the industrial classification used among the different metro areas we reclassified all the GVA information into </w:t>
      </w:r>
      <w:r w:rsidRPr="006553E5">
        <w:t>eight major industrial sectors</w:t>
      </w:r>
      <w:r>
        <w:t>: t</w:t>
      </w:r>
      <w:r w:rsidRPr="001C5916">
        <w:t>ransportation</w:t>
      </w:r>
      <w:r>
        <w:t>;</w:t>
      </w:r>
      <w:r w:rsidRPr="001C5916">
        <w:t xml:space="preserve"> utilities</w:t>
      </w:r>
      <w:r>
        <w:t>;</w:t>
      </w:r>
      <w:r w:rsidRPr="001C5916">
        <w:t xml:space="preserve"> business, financial and professional services</w:t>
      </w:r>
      <w:r>
        <w:t>;</w:t>
      </w:r>
      <w:r w:rsidRPr="001C5916">
        <w:t xml:space="preserve"> local non market services</w:t>
      </w:r>
      <w:r>
        <w:t>;</w:t>
      </w:r>
      <w:r w:rsidRPr="001C5916">
        <w:t xml:space="preserve"> construction</w:t>
      </w:r>
      <w:r>
        <w:t>;</w:t>
      </w:r>
      <w:r w:rsidRPr="001C5916">
        <w:t xml:space="preserve"> trade and tourism</w:t>
      </w:r>
      <w:r>
        <w:t>;</w:t>
      </w:r>
      <w:r w:rsidRPr="001C5916">
        <w:t xml:space="preserve"> manufacturing</w:t>
      </w:r>
      <w:r>
        <w:t>; and</w:t>
      </w:r>
      <w:r w:rsidRPr="001C5916">
        <w:t xml:space="preserve"> commodities</w:t>
      </w:r>
      <w:r>
        <w:t xml:space="preserve">. To see a complete list of the industries included in these 8 categories see: </w:t>
      </w:r>
      <w:proofErr w:type="spellStart"/>
      <w:r>
        <w:t>Parilla</w:t>
      </w:r>
      <w:proofErr w:type="spellEnd"/>
      <w:r>
        <w:t xml:space="preserve"> and others, </w:t>
      </w:r>
      <w:r w:rsidRPr="006553E5">
        <w:rPr>
          <w:i/>
        </w:rPr>
        <w:t>Global Metro Monitor</w:t>
      </w:r>
      <w:r>
        <w:rPr>
          <w:i/>
        </w:rPr>
        <w:t xml:space="preserve"> 2014: An uncertain recovery</w:t>
      </w:r>
      <w:r>
        <w:t>, Brookings Institution: Washington DC, 2015.</w:t>
      </w:r>
    </w:p>
  </w:endnote>
  <w:endnote w:id="111">
    <w:p w14:paraId="70638686" w14:textId="77777777" w:rsidR="00142F9D" w:rsidRDefault="00142F9D" w:rsidP="00EC0CD0">
      <w:pPr>
        <w:pStyle w:val="EndnoteText"/>
      </w:pPr>
      <w:r>
        <w:rPr>
          <w:rStyle w:val="EndnoteReference"/>
        </w:rPr>
        <w:endnoteRef/>
      </w:r>
      <w:r>
        <w:t xml:space="preserve"> See I.T. </w:t>
      </w:r>
      <w:proofErr w:type="spellStart"/>
      <w:r>
        <w:t>Jolliffe</w:t>
      </w:r>
      <w:proofErr w:type="spellEnd"/>
      <w:r>
        <w:t xml:space="preserve">, </w:t>
      </w:r>
      <w:r w:rsidRPr="006553E5">
        <w:rPr>
          <w:i/>
        </w:rPr>
        <w:t>Principal component Analysis: Second Edition</w:t>
      </w:r>
      <w:r>
        <w:t>, Springer: New York, 2002.</w:t>
      </w:r>
    </w:p>
  </w:endnote>
  <w:endnote w:id="112">
    <w:p w14:paraId="352CC967" w14:textId="77777777" w:rsidR="00142F9D" w:rsidRDefault="00142F9D" w:rsidP="00EC0CD0">
      <w:pPr>
        <w:pStyle w:val="EndnoteText"/>
      </w:pPr>
      <w:r>
        <w:rPr>
          <w:rStyle w:val="EndnoteReference"/>
        </w:rPr>
        <w:endnoteRef/>
      </w:r>
      <w:r>
        <w:t xml:space="preserve"> Similar approaches to quantify complexity of data have been implemented at the national level, see: </w:t>
      </w:r>
      <w:r w:rsidRPr="00BF5BC5">
        <w:t xml:space="preserve">Ricardo </w:t>
      </w:r>
      <w:proofErr w:type="spellStart"/>
      <w:r w:rsidRPr="00BF5BC5">
        <w:t>Hausmann</w:t>
      </w:r>
      <w:proofErr w:type="spellEnd"/>
      <w:r w:rsidRPr="00BF5BC5">
        <w:t xml:space="preserve">, César A. Hidalgo, </w:t>
      </w:r>
      <w:proofErr w:type="spellStart"/>
      <w:r w:rsidRPr="00BF5BC5">
        <w:t>Sebastián</w:t>
      </w:r>
      <w:proofErr w:type="spellEnd"/>
      <w:r w:rsidRPr="00BF5BC5">
        <w:t xml:space="preserve"> Bustos, Michele </w:t>
      </w:r>
      <w:proofErr w:type="spellStart"/>
      <w:r w:rsidRPr="00BF5BC5">
        <w:t>Coscia</w:t>
      </w:r>
      <w:proofErr w:type="spellEnd"/>
      <w:r w:rsidRPr="00BF5BC5">
        <w:t xml:space="preserve">, Alexander </w:t>
      </w:r>
      <w:proofErr w:type="spellStart"/>
      <w:r w:rsidRPr="00BF5BC5">
        <w:t>Simoes</w:t>
      </w:r>
      <w:proofErr w:type="spellEnd"/>
      <w:r w:rsidRPr="00BF5BC5">
        <w:t xml:space="preserve">, </w:t>
      </w:r>
      <w:r>
        <w:t xml:space="preserve">and Muhammed A. </w:t>
      </w:r>
      <w:proofErr w:type="spellStart"/>
      <w:r>
        <w:t>Yildirim</w:t>
      </w:r>
      <w:proofErr w:type="spellEnd"/>
      <w:r>
        <w:t xml:space="preserve">, </w:t>
      </w:r>
      <w:r w:rsidRPr="00BF5BC5">
        <w:rPr>
          <w:i/>
        </w:rPr>
        <w:t>The atlas of economic complexity : mapping paths to prosperity</w:t>
      </w:r>
      <w:r>
        <w:rPr>
          <w:i/>
        </w:rPr>
        <w:t xml:space="preserve">, </w:t>
      </w:r>
      <w:r>
        <w:t>MIT press: Boston, 2014.</w:t>
      </w:r>
    </w:p>
  </w:endnote>
  <w:endnote w:id="113">
    <w:p w14:paraId="12373EAD" w14:textId="77777777" w:rsidR="00142F9D" w:rsidRDefault="00142F9D" w:rsidP="00EC0CD0">
      <w:pPr>
        <w:pStyle w:val="EndnoteText"/>
      </w:pPr>
      <w:r>
        <w:rPr>
          <w:rStyle w:val="EndnoteReference"/>
        </w:rPr>
        <w:endnoteRef/>
      </w:r>
      <w:r>
        <w:t xml:space="preserve"> </w:t>
      </w:r>
      <w:r w:rsidRPr="002D0D0E">
        <w:t xml:space="preserve">Trevor Hastie, Robert </w:t>
      </w:r>
      <w:proofErr w:type="spellStart"/>
      <w:r w:rsidRPr="002D0D0E">
        <w:t>Tibshirani</w:t>
      </w:r>
      <w:proofErr w:type="spellEnd"/>
      <w:r w:rsidRPr="002D0D0E">
        <w:t xml:space="preserve">, </w:t>
      </w:r>
      <w:r>
        <w:t xml:space="preserve">and Jerome Friedman, </w:t>
      </w:r>
      <w:r w:rsidRPr="002D0D0E">
        <w:rPr>
          <w:i/>
        </w:rPr>
        <w:t>The Elements of Statistical Learning: Data Mining, Inference, and Prediction</w:t>
      </w:r>
      <w:r w:rsidRPr="002D0D0E">
        <w:t>, Springer</w:t>
      </w:r>
      <w:r>
        <w:t>: New York, 2011</w:t>
      </w:r>
    </w:p>
  </w:endnote>
  <w:endnote w:id="114">
    <w:p w14:paraId="6C6C268C" w14:textId="77777777" w:rsidR="00142F9D" w:rsidRDefault="00142F9D" w:rsidP="00EC0CD0">
      <w:pPr>
        <w:pStyle w:val="EndnoteText"/>
      </w:pPr>
      <w:r>
        <w:rPr>
          <w:rStyle w:val="EndnoteReference"/>
        </w:rPr>
        <w:endnoteRef/>
      </w:r>
      <w:r>
        <w:t xml:space="preserve"> For more information on the Google Maps Geocoding API see: </w:t>
      </w:r>
      <w:hyperlink r:id="rId17" w:history="1">
        <w:r w:rsidRPr="00281CDF">
          <w:rPr>
            <w:rStyle w:val="Hyperlink"/>
          </w:rPr>
          <w:t>https://developers.google.com/maps/documentation/geocoding/intro</w:t>
        </w:r>
      </w:hyperlink>
      <w:r>
        <w:t xml:space="preserve"> </w:t>
      </w:r>
    </w:p>
  </w:endnote>
  <w:endnote w:id="115">
    <w:p w14:paraId="0C0FAF71" w14:textId="77777777" w:rsidR="00142F9D" w:rsidRDefault="00142F9D" w:rsidP="00EC0CD0">
      <w:pPr>
        <w:pStyle w:val="EndnoteText"/>
      </w:pPr>
      <w:r>
        <w:rPr>
          <w:rStyle w:val="EndnoteReference"/>
        </w:rPr>
        <w:endnoteRef/>
      </w:r>
      <w:r>
        <w:t xml:space="preserve"> </w:t>
      </w:r>
      <w:proofErr w:type="spellStart"/>
      <w:r w:rsidRPr="00E87598">
        <w:t>Wilpen</w:t>
      </w:r>
      <w:proofErr w:type="spellEnd"/>
      <w:r w:rsidRPr="00E87598">
        <w:t xml:space="preserve"> L. </w:t>
      </w:r>
      <w:proofErr w:type="spellStart"/>
      <w:r w:rsidRPr="00E87598">
        <w:t>Gorr</w:t>
      </w:r>
      <w:proofErr w:type="spellEnd"/>
      <w:r w:rsidRPr="00E87598">
        <w:t xml:space="preserve"> </w:t>
      </w:r>
      <w:r>
        <w:t xml:space="preserve">and </w:t>
      </w:r>
      <w:r w:rsidRPr="00E87598">
        <w:t>Kristen S. Kurland</w:t>
      </w:r>
      <w:r>
        <w:t xml:space="preserve">, </w:t>
      </w:r>
      <w:r w:rsidRPr="00E87598">
        <w:t>GIS Tutorial 1: Basic Workbook</w:t>
      </w:r>
      <w:r>
        <w:t xml:space="preserve">, </w:t>
      </w:r>
      <w:proofErr w:type="spellStart"/>
      <w:r w:rsidRPr="00E87598">
        <w:t>Esri</w:t>
      </w:r>
      <w:proofErr w:type="spellEnd"/>
      <w:r w:rsidRPr="00E87598">
        <w:t xml:space="preserve"> Press: California, 2013.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Times New Roman PS MT">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Italic">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swiss"/>
    <w:notTrueType/>
    <w:pitch w:val="default"/>
    <w:sig w:usb0="00000003" w:usb1="00000000" w:usb2="00000000" w:usb3="00000000" w:csb0="00000001" w:csb1="00000000"/>
  </w:font>
  <w:font w:name="TimesNewRoman,Itali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4381021"/>
      <w:docPartObj>
        <w:docPartGallery w:val="Page Numbers (Bottom of Page)"/>
        <w:docPartUnique/>
      </w:docPartObj>
    </w:sdtPr>
    <w:sdtEndPr>
      <w:rPr>
        <w:noProof/>
      </w:rPr>
    </w:sdtEndPr>
    <w:sdtContent>
      <w:p w14:paraId="132B4771" w14:textId="4FFEE5BD" w:rsidR="00142F9D" w:rsidRDefault="00142F9D">
        <w:pPr>
          <w:pStyle w:val="Footer"/>
          <w:jc w:val="right"/>
        </w:pPr>
        <w:r>
          <w:fldChar w:fldCharType="begin"/>
        </w:r>
        <w:r>
          <w:instrText xml:space="preserve"> PAGE   \* MERGEFORMAT </w:instrText>
        </w:r>
        <w:r>
          <w:fldChar w:fldCharType="separate"/>
        </w:r>
        <w:r w:rsidR="00112BC8">
          <w:rPr>
            <w:noProof/>
          </w:rPr>
          <w:t>14</w:t>
        </w:r>
        <w:r>
          <w:rPr>
            <w:noProof/>
          </w:rPr>
          <w:fldChar w:fldCharType="end"/>
        </w:r>
      </w:p>
    </w:sdtContent>
  </w:sdt>
  <w:p w14:paraId="7EEC248D" w14:textId="77777777" w:rsidR="00142F9D" w:rsidRDefault="00142F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7654F2" w14:textId="77777777" w:rsidR="00142F9D" w:rsidRDefault="00142F9D" w:rsidP="0025214A">
      <w:pPr>
        <w:spacing w:after="0" w:line="240" w:lineRule="auto"/>
      </w:pPr>
      <w:r>
        <w:separator/>
      </w:r>
    </w:p>
  </w:footnote>
  <w:footnote w:type="continuationSeparator" w:id="0">
    <w:p w14:paraId="5A750F38" w14:textId="77777777" w:rsidR="00142F9D" w:rsidRDefault="00142F9D" w:rsidP="002521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4C942" w14:textId="6970780E" w:rsidR="00142F9D" w:rsidRDefault="00142F9D">
    <w:pPr>
      <w:pStyle w:val="Header"/>
    </w:pPr>
    <w:sdt>
      <w:sdtPr>
        <w:id w:val="1710220618"/>
        <w:docPartObj>
          <w:docPartGallery w:val="Watermarks"/>
          <w:docPartUnique/>
        </w:docPartObj>
      </w:sdtPr>
      <w:sdtContent>
        <w:r>
          <w:rPr>
            <w:noProof/>
          </w:rPr>
          <w:pict w14:anchorId="2E7791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3073"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t xml:space="preserve">8/23/2016 </w:t>
    </w:r>
  </w:p>
  <w:p w14:paraId="35CB75D3" w14:textId="77777777" w:rsidR="00142F9D" w:rsidRDefault="00142F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52865"/>
    <w:multiLevelType w:val="hybridMultilevel"/>
    <w:tmpl w:val="36B41B9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0A5B081E"/>
    <w:multiLevelType w:val="hybridMultilevel"/>
    <w:tmpl w:val="1AAA4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C070CD"/>
    <w:multiLevelType w:val="hybridMultilevel"/>
    <w:tmpl w:val="8C8C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1778DD"/>
    <w:multiLevelType w:val="hybridMultilevel"/>
    <w:tmpl w:val="2C80B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74547F"/>
    <w:multiLevelType w:val="hybridMultilevel"/>
    <w:tmpl w:val="12FEE0B0"/>
    <w:lvl w:ilvl="0" w:tplc="0DA83A54">
      <w:start w:val="2"/>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5B0156E"/>
    <w:multiLevelType w:val="hybridMultilevel"/>
    <w:tmpl w:val="BA90D6BA"/>
    <w:lvl w:ilvl="0" w:tplc="8E4C9912">
      <w:numFmt w:val="bullet"/>
      <w:lvlText w:val="-"/>
      <w:lvlJc w:val="left"/>
      <w:pPr>
        <w:ind w:left="720" w:hanging="360"/>
      </w:pPr>
      <w:rPr>
        <w:rFonts w:ascii="Calibri Light" w:eastAsiaTheme="minorEastAsia"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D50A79"/>
    <w:multiLevelType w:val="hybridMultilevel"/>
    <w:tmpl w:val="08CCC6A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6152B39"/>
    <w:multiLevelType w:val="hybridMultilevel"/>
    <w:tmpl w:val="CA5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8405E2"/>
    <w:multiLevelType w:val="hybridMultilevel"/>
    <w:tmpl w:val="D728C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1214A7"/>
    <w:multiLevelType w:val="hybridMultilevel"/>
    <w:tmpl w:val="C89C8DE8"/>
    <w:lvl w:ilvl="0" w:tplc="A13ABA18">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3737D0"/>
    <w:multiLevelType w:val="hybridMultilevel"/>
    <w:tmpl w:val="F84655C6"/>
    <w:lvl w:ilvl="0" w:tplc="52E2089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CE96652"/>
    <w:multiLevelType w:val="hybridMultilevel"/>
    <w:tmpl w:val="F4620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436059"/>
    <w:multiLevelType w:val="hybridMultilevel"/>
    <w:tmpl w:val="0F28C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F1319B"/>
    <w:multiLevelType w:val="hybridMultilevel"/>
    <w:tmpl w:val="7BE22A4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1A6498F"/>
    <w:multiLevelType w:val="hybridMultilevel"/>
    <w:tmpl w:val="59546784"/>
    <w:lvl w:ilvl="0" w:tplc="4238BFC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83A1A98"/>
    <w:multiLevelType w:val="hybridMultilevel"/>
    <w:tmpl w:val="F8A0D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E9101B"/>
    <w:multiLevelType w:val="hybridMultilevel"/>
    <w:tmpl w:val="B492BAAE"/>
    <w:lvl w:ilvl="0" w:tplc="A5960A62">
      <w:numFmt w:val="bullet"/>
      <w:lvlText w:val="-"/>
      <w:lvlJc w:val="left"/>
      <w:pPr>
        <w:ind w:left="720" w:hanging="360"/>
      </w:pPr>
      <w:rPr>
        <w:rFonts w:ascii="Calibri Light" w:eastAsiaTheme="minorEastAsia"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00071E"/>
    <w:multiLevelType w:val="hybridMultilevel"/>
    <w:tmpl w:val="4DCAB81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F955D9B"/>
    <w:multiLevelType w:val="hybridMultilevel"/>
    <w:tmpl w:val="240ADBA6"/>
    <w:lvl w:ilvl="0" w:tplc="AEF0D0DC">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FD86A6A"/>
    <w:multiLevelType w:val="hybridMultilevel"/>
    <w:tmpl w:val="AD901E8C"/>
    <w:lvl w:ilvl="0" w:tplc="3FDC486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807869"/>
    <w:multiLevelType w:val="hybridMultilevel"/>
    <w:tmpl w:val="9E3854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740407"/>
    <w:multiLevelType w:val="hybridMultilevel"/>
    <w:tmpl w:val="85160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931D36"/>
    <w:multiLevelType w:val="hybridMultilevel"/>
    <w:tmpl w:val="F76C8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AF7EB6"/>
    <w:multiLevelType w:val="hybridMultilevel"/>
    <w:tmpl w:val="2C005904"/>
    <w:lvl w:ilvl="0" w:tplc="BFDCDA8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8C2160"/>
    <w:multiLevelType w:val="hybridMultilevel"/>
    <w:tmpl w:val="E4DA08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C45358"/>
    <w:multiLevelType w:val="hybridMultilevel"/>
    <w:tmpl w:val="2ED87240"/>
    <w:lvl w:ilvl="0" w:tplc="B6E86452">
      <w:start w:val="4"/>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2"/>
  </w:num>
  <w:num w:numId="3">
    <w:abstractNumId w:val="0"/>
  </w:num>
  <w:num w:numId="4">
    <w:abstractNumId w:val="11"/>
  </w:num>
  <w:num w:numId="5">
    <w:abstractNumId w:val="8"/>
  </w:num>
  <w:num w:numId="6">
    <w:abstractNumId w:val="16"/>
  </w:num>
  <w:num w:numId="7">
    <w:abstractNumId w:val="5"/>
  </w:num>
  <w:num w:numId="8">
    <w:abstractNumId w:val="14"/>
  </w:num>
  <w:num w:numId="9">
    <w:abstractNumId w:val="18"/>
  </w:num>
  <w:num w:numId="10">
    <w:abstractNumId w:val="3"/>
  </w:num>
  <w:num w:numId="11">
    <w:abstractNumId w:val="17"/>
  </w:num>
  <w:num w:numId="12">
    <w:abstractNumId w:val="10"/>
  </w:num>
  <w:num w:numId="13">
    <w:abstractNumId w:val="7"/>
  </w:num>
  <w:num w:numId="14">
    <w:abstractNumId w:val="15"/>
  </w:num>
  <w:num w:numId="15">
    <w:abstractNumId w:val="20"/>
  </w:num>
  <w:num w:numId="16">
    <w:abstractNumId w:val="1"/>
  </w:num>
  <w:num w:numId="17">
    <w:abstractNumId w:val="2"/>
  </w:num>
  <w:num w:numId="18">
    <w:abstractNumId w:val="19"/>
  </w:num>
  <w:num w:numId="19">
    <w:abstractNumId w:val="4"/>
  </w:num>
  <w:num w:numId="20">
    <w:abstractNumId w:val="25"/>
  </w:num>
  <w:num w:numId="21">
    <w:abstractNumId w:val="12"/>
  </w:num>
  <w:num w:numId="22">
    <w:abstractNumId w:val="9"/>
  </w:num>
  <w:num w:numId="23">
    <w:abstractNumId w:val="12"/>
  </w:num>
  <w:num w:numId="24">
    <w:abstractNumId w:val="24"/>
  </w:num>
  <w:num w:numId="25">
    <w:abstractNumId w:val="13"/>
  </w:num>
  <w:num w:numId="26">
    <w:abstractNumId w:val="6"/>
  </w:num>
  <w:num w:numId="27">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eph Parilla">
    <w15:presenceInfo w15:providerId="AD" w15:userId="S-1-5-21-941978686-1815096360-3273509800-208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3074"/>
    <o:shapelayout v:ext="edit">
      <o:idmap v:ext="edit" data="3"/>
    </o:shapelayout>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211"/>
    <w:rsid w:val="0000247C"/>
    <w:rsid w:val="00002D4E"/>
    <w:rsid w:val="00004E99"/>
    <w:rsid w:val="0001195D"/>
    <w:rsid w:val="00013880"/>
    <w:rsid w:val="00015643"/>
    <w:rsid w:val="00023B36"/>
    <w:rsid w:val="000266D4"/>
    <w:rsid w:val="00033BF0"/>
    <w:rsid w:val="00040440"/>
    <w:rsid w:val="00040831"/>
    <w:rsid w:val="000422F9"/>
    <w:rsid w:val="00044336"/>
    <w:rsid w:val="00045B1F"/>
    <w:rsid w:val="00052F90"/>
    <w:rsid w:val="0005445F"/>
    <w:rsid w:val="00057E7F"/>
    <w:rsid w:val="000621B7"/>
    <w:rsid w:val="000627D9"/>
    <w:rsid w:val="00064156"/>
    <w:rsid w:val="0006478A"/>
    <w:rsid w:val="000651A5"/>
    <w:rsid w:val="00072B1D"/>
    <w:rsid w:val="0008002B"/>
    <w:rsid w:val="00084019"/>
    <w:rsid w:val="00087A1A"/>
    <w:rsid w:val="00090692"/>
    <w:rsid w:val="000909E4"/>
    <w:rsid w:val="00090F62"/>
    <w:rsid w:val="00096923"/>
    <w:rsid w:val="000A2581"/>
    <w:rsid w:val="000D0344"/>
    <w:rsid w:val="000D3D5F"/>
    <w:rsid w:val="000E09B1"/>
    <w:rsid w:val="000E1C4A"/>
    <w:rsid w:val="000E372E"/>
    <w:rsid w:val="000E51A0"/>
    <w:rsid w:val="000F4D63"/>
    <w:rsid w:val="00104C52"/>
    <w:rsid w:val="001060BA"/>
    <w:rsid w:val="00112BC8"/>
    <w:rsid w:val="00120273"/>
    <w:rsid w:val="00125F1A"/>
    <w:rsid w:val="00126654"/>
    <w:rsid w:val="00126696"/>
    <w:rsid w:val="00126E57"/>
    <w:rsid w:val="00137DCA"/>
    <w:rsid w:val="00142F9D"/>
    <w:rsid w:val="00143AC9"/>
    <w:rsid w:val="00144C0B"/>
    <w:rsid w:val="00146350"/>
    <w:rsid w:val="00146668"/>
    <w:rsid w:val="00150B48"/>
    <w:rsid w:val="00152FF9"/>
    <w:rsid w:val="001563AB"/>
    <w:rsid w:val="0015723A"/>
    <w:rsid w:val="00161200"/>
    <w:rsid w:val="0016168A"/>
    <w:rsid w:val="0016179B"/>
    <w:rsid w:val="00162906"/>
    <w:rsid w:val="001637E2"/>
    <w:rsid w:val="001666B3"/>
    <w:rsid w:val="00177E6A"/>
    <w:rsid w:val="0018220B"/>
    <w:rsid w:val="00182C8B"/>
    <w:rsid w:val="00183A32"/>
    <w:rsid w:val="00190C84"/>
    <w:rsid w:val="00193840"/>
    <w:rsid w:val="00194787"/>
    <w:rsid w:val="001A1AF2"/>
    <w:rsid w:val="001A6CD8"/>
    <w:rsid w:val="001A7B7B"/>
    <w:rsid w:val="001B5EBB"/>
    <w:rsid w:val="001B7ABB"/>
    <w:rsid w:val="001C5F08"/>
    <w:rsid w:val="001C61B9"/>
    <w:rsid w:val="001C69F7"/>
    <w:rsid w:val="001D068D"/>
    <w:rsid w:val="001D3877"/>
    <w:rsid w:val="001D5937"/>
    <w:rsid w:val="001D7BCF"/>
    <w:rsid w:val="001D7FCD"/>
    <w:rsid w:val="001E19F3"/>
    <w:rsid w:val="001E6B2E"/>
    <w:rsid w:val="001F024C"/>
    <w:rsid w:val="001F0282"/>
    <w:rsid w:val="001F0A98"/>
    <w:rsid w:val="001F3012"/>
    <w:rsid w:val="001F41ED"/>
    <w:rsid w:val="001F59A6"/>
    <w:rsid w:val="001F7207"/>
    <w:rsid w:val="00203710"/>
    <w:rsid w:val="00204574"/>
    <w:rsid w:val="0020514B"/>
    <w:rsid w:val="00205D0C"/>
    <w:rsid w:val="00205F28"/>
    <w:rsid w:val="00213463"/>
    <w:rsid w:val="00217949"/>
    <w:rsid w:val="002215AF"/>
    <w:rsid w:val="00222EB4"/>
    <w:rsid w:val="00234FFE"/>
    <w:rsid w:val="00235722"/>
    <w:rsid w:val="0024006B"/>
    <w:rsid w:val="002406EC"/>
    <w:rsid w:val="00241997"/>
    <w:rsid w:val="002438F9"/>
    <w:rsid w:val="00244147"/>
    <w:rsid w:val="0024621A"/>
    <w:rsid w:val="00247A54"/>
    <w:rsid w:val="0025214A"/>
    <w:rsid w:val="00252C77"/>
    <w:rsid w:val="00253362"/>
    <w:rsid w:val="002565A4"/>
    <w:rsid w:val="00257DC3"/>
    <w:rsid w:val="00260F83"/>
    <w:rsid w:val="00262894"/>
    <w:rsid w:val="002633B4"/>
    <w:rsid w:val="00264F44"/>
    <w:rsid w:val="00267D6B"/>
    <w:rsid w:val="00270B34"/>
    <w:rsid w:val="0027149F"/>
    <w:rsid w:val="002738DE"/>
    <w:rsid w:val="00274060"/>
    <w:rsid w:val="00275416"/>
    <w:rsid w:val="00280F39"/>
    <w:rsid w:val="00281CD5"/>
    <w:rsid w:val="00282DD5"/>
    <w:rsid w:val="00282F30"/>
    <w:rsid w:val="002878EF"/>
    <w:rsid w:val="00290063"/>
    <w:rsid w:val="00292039"/>
    <w:rsid w:val="002956F2"/>
    <w:rsid w:val="002963D1"/>
    <w:rsid w:val="002B7A5A"/>
    <w:rsid w:val="002C33C8"/>
    <w:rsid w:val="002C6973"/>
    <w:rsid w:val="002C7DFB"/>
    <w:rsid w:val="002C7E3B"/>
    <w:rsid w:val="002D0BFB"/>
    <w:rsid w:val="002D3B39"/>
    <w:rsid w:val="002D7AF8"/>
    <w:rsid w:val="002D7CAD"/>
    <w:rsid w:val="002E19C9"/>
    <w:rsid w:val="002E41B9"/>
    <w:rsid w:val="002F0BEA"/>
    <w:rsid w:val="002F2049"/>
    <w:rsid w:val="002F3F09"/>
    <w:rsid w:val="00304A3B"/>
    <w:rsid w:val="00314355"/>
    <w:rsid w:val="003234A8"/>
    <w:rsid w:val="00323AEE"/>
    <w:rsid w:val="0034078D"/>
    <w:rsid w:val="003409D5"/>
    <w:rsid w:val="003421D9"/>
    <w:rsid w:val="00346943"/>
    <w:rsid w:val="00366EC4"/>
    <w:rsid w:val="00373084"/>
    <w:rsid w:val="00374138"/>
    <w:rsid w:val="00380609"/>
    <w:rsid w:val="00380F73"/>
    <w:rsid w:val="00382789"/>
    <w:rsid w:val="003838E5"/>
    <w:rsid w:val="003902E7"/>
    <w:rsid w:val="00391E8E"/>
    <w:rsid w:val="00392FCC"/>
    <w:rsid w:val="00393A7C"/>
    <w:rsid w:val="003A47C1"/>
    <w:rsid w:val="003A517E"/>
    <w:rsid w:val="003A683D"/>
    <w:rsid w:val="003C1D34"/>
    <w:rsid w:val="003C4C1B"/>
    <w:rsid w:val="003C6BE3"/>
    <w:rsid w:val="003D065A"/>
    <w:rsid w:val="003D3272"/>
    <w:rsid w:val="003D396E"/>
    <w:rsid w:val="003D4920"/>
    <w:rsid w:val="003D78E8"/>
    <w:rsid w:val="003E678B"/>
    <w:rsid w:val="003E7378"/>
    <w:rsid w:val="003F3883"/>
    <w:rsid w:val="003F5798"/>
    <w:rsid w:val="00404A96"/>
    <w:rsid w:val="00406072"/>
    <w:rsid w:val="004065C6"/>
    <w:rsid w:val="0041132C"/>
    <w:rsid w:val="00415DA9"/>
    <w:rsid w:val="00415DE3"/>
    <w:rsid w:val="00417F4D"/>
    <w:rsid w:val="00417FFD"/>
    <w:rsid w:val="00422620"/>
    <w:rsid w:val="00422A62"/>
    <w:rsid w:val="00424540"/>
    <w:rsid w:val="00424D7E"/>
    <w:rsid w:val="00426A07"/>
    <w:rsid w:val="0042732D"/>
    <w:rsid w:val="00430E4A"/>
    <w:rsid w:val="00431286"/>
    <w:rsid w:val="0043775C"/>
    <w:rsid w:val="00440814"/>
    <w:rsid w:val="0044409E"/>
    <w:rsid w:val="00447BBA"/>
    <w:rsid w:val="00451E40"/>
    <w:rsid w:val="00456133"/>
    <w:rsid w:val="00456BFE"/>
    <w:rsid w:val="00460CC6"/>
    <w:rsid w:val="00464B76"/>
    <w:rsid w:val="00466A1F"/>
    <w:rsid w:val="00466CDA"/>
    <w:rsid w:val="00467319"/>
    <w:rsid w:val="00471363"/>
    <w:rsid w:val="004724E2"/>
    <w:rsid w:val="004739A5"/>
    <w:rsid w:val="004754FC"/>
    <w:rsid w:val="004764D7"/>
    <w:rsid w:val="00480B6B"/>
    <w:rsid w:val="00491299"/>
    <w:rsid w:val="00492176"/>
    <w:rsid w:val="00492676"/>
    <w:rsid w:val="00493BFF"/>
    <w:rsid w:val="004941C8"/>
    <w:rsid w:val="00495BBB"/>
    <w:rsid w:val="00497844"/>
    <w:rsid w:val="004A055E"/>
    <w:rsid w:val="004A1E49"/>
    <w:rsid w:val="004A2853"/>
    <w:rsid w:val="004A3812"/>
    <w:rsid w:val="004A3CDF"/>
    <w:rsid w:val="004A5537"/>
    <w:rsid w:val="004A5607"/>
    <w:rsid w:val="004A6876"/>
    <w:rsid w:val="004B07E1"/>
    <w:rsid w:val="004C2181"/>
    <w:rsid w:val="004C2C6A"/>
    <w:rsid w:val="004C4234"/>
    <w:rsid w:val="004D159D"/>
    <w:rsid w:val="004D59C7"/>
    <w:rsid w:val="004D5AC3"/>
    <w:rsid w:val="004E2ACA"/>
    <w:rsid w:val="004E756F"/>
    <w:rsid w:val="004F44C3"/>
    <w:rsid w:val="00501D5F"/>
    <w:rsid w:val="005044D4"/>
    <w:rsid w:val="0051008E"/>
    <w:rsid w:val="00516197"/>
    <w:rsid w:val="00520401"/>
    <w:rsid w:val="00525FCC"/>
    <w:rsid w:val="005261B7"/>
    <w:rsid w:val="005262EE"/>
    <w:rsid w:val="005375F0"/>
    <w:rsid w:val="0054163D"/>
    <w:rsid w:val="00541776"/>
    <w:rsid w:val="00542C7B"/>
    <w:rsid w:val="00544DD2"/>
    <w:rsid w:val="005456DF"/>
    <w:rsid w:val="00547DBF"/>
    <w:rsid w:val="00550909"/>
    <w:rsid w:val="005525C3"/>
    <w:rsid w:val="005536A2"/>
    <w:rsid w:val="0055647B"/>
    <w:rsid w:val="005566D4"/>
    <w:rsid w:val="005613FE"/>
    <w:rsid w:val="00561C4C"/>
    <w:rsid w:val="00564C15"/>
    <w:rsid w:val="00564E33"/>
    <w:rsid w:val="00564F4C"/>
    <w:rsid w:val="0057266B"/>
    <w:rsid w:val="00572D32"/>
    <w:rsid w:val="00575597"/>
    <w:rsid w:val="00580CA1"/>
    <w:rsid w:val="00581ADE"/>
    <w:rsid w:val="00581DD5"/>
    <w:rsid w:val="00590BBC"/>
    <w:rsid w:val="00591D89"/>
    <w:rsid w:val="00596AC0"/>
    <w:rsid w:val="005A1DF7"/>
    <w:rsid w:val="005A305C"/>
    <w:rsid w:val="005A52C5"/>
    <w:rsid w:val="005B2E5A"/>
    <w:rsid w:val="005B4BCB"/>
    <w:rsid w:val="005B781B"/>
    <w:rsid w:val="005C1980"/>
    <w:rsid w:val="005C24A8"/>
    <w:rsid w:val="005C56A2"/>
    <w:rsid w:val="005D19A1"/>
    <w:rsid w:val="005D2FE0"/>
    <w:rsid w:val="005D562C"/>
    <w:rsid w:val="005E39A3"/>
    <w:rsid w:val="005E43A8"/>
    <w:rsid w:val="005E4462"/>
    <w:rsid w:val="005E5E93"/>
    <w:rsid w:val="005E680A"/>
    <w:rsid w:val="005F0531"/>
    <w:rsid w:val="005F4BCA"/>
    <w:rsid w:val="006002E2"/>
    <w:rsid w:val="0060051F"/>
    <w:rsid w:val="00600C71"/>
    <w:rsid w:val="00605B4C"/>
    <w:rsid w:val="00610EE6"/>
    <w:rsid w:val="00613CA1"/>
    <w:rsid w:val="006168B6"/>
    <w:rsid w:val="0062087C"/>
    <w:rsid w:val="00621956"/>
    <w:rsid w:val="00621C98"/>
    <w:rsid w:val="00622002"/>
    <w:rsid w:val="0062310C"/>
    <w:rsid w:val="0062327E"/>
    <w:rsid w:val="00624362"/>
    <w:rsid w:val="00627A1F"/>
    <w:rsid w:val="00627EDF"/>
    <w:rsid w:val="0063150C"/>
    <w:rsid w:val="00631CC0"/>
    <w:rsid w:val="006327AF"/>
    <w:rsid w:val="00636418"/>
    <w:rsid w:val="006450E1"/>
    <w:rsid w:val="006457EE"/>
    <w:rsid w:val="0064757E"/>
    <w:rsid w:val="00647620"/>
    <w:rsid w:val="00650605"/>
    <w:rsid w:val="00651BCE"/>
    <w:rsid w:val="006552BF"/>
    <w:rsid w:val="00655AA7"/>
    <w:rsid w:val="00662F15"/>
    <w:rsid w:val="006677BC"/>
    <w:rsid w:val="006708E1"/>
    <w:rsid w:val="0067466C"/>
    <w:rsid w:val="00674EC6"/>
    <w:rsid w:val="0067748A"/>
    <w:rsid w:val="0069081A"/>
    <w:rsid w:val="006921A7"/>
    <w:rsid w:val="00693A3E"/>
    <w:rsid w:val="0069452D"/>
    <w:rsid w:val="00694BB3"/>
    <w:rsid w:val="0069676F"/>
    <w:rsid w:val="006967FA"/>
    <w:rsid w:val="006A65E8"/>
    <w:rsid w:val="006A683D"/>
    <w:rsid w:val="006A7A0E"/>
    <w:rsid w:val="006B165C"/>
    <w:rsid w:val="006B2F92"/>
    <w:rsid w:val="006B52F2"/>
    <w:rsid w:val="006C1BEE"/>
    <w:rsid w:val="006C20F3"/>
    <w:rsid w:val="006C6510"/>
    <w:rsid w:val="006D0BC5"/>
    <w:rsid w:val="006D23E5"/>
    <w:rsid w:val="006D414A"/>
    <w:rsid w:val="006D494E"/>
    <w:rsid w:val="006E36EC"/>
    <w:rsid w:val="006F1551"/>
    <w:rsid w:val="006F1EE0"/>
    <w:rsid w:val="006F67FF"/>
    <w:rsid w:val="0070286A"/>
    <w:rsid w:val="007029F7"/>
    <w:rsid w:val="00703EE8"/>
    <w:rsid w:val="0070430C"/>
    <w:rsid w:val="007058D8"/>
    <w:rsid w:val="007231E8"/>
    <w:rsid w:val="00723FD0"/>
    <w:rsid w:val="00730BB9"/>
    <w:rsid w:val="00733A20"/>
    <w:rsid w:val="00733F02"/>
    <w:rsid w:val="007348FA"/>
    <w:rsid w:val="00736B80"/>
    <w:rsid w:val="00747EB3"/>
    <w:rsid w:val="00750DCB"/>
    <w:rsid w:val="00751C4D"/>
    <w:rsid w:val="007544C0"/>
    <w:rsid w:val="00756980"/>
    <w:rsid w:val="00761C84"/>
    <w:rsid w:val="00771EE3"/>
    <w:rsid w:val="00776D8F"/>
    <w:rsid w:val="00777E8D"/>
    <w:rsid w:val="00782A99"/>
    <w:rsid w:val="00783904"/>
    <w:rsid w:val="00784896"/>
    <w:rsid w:val="007863A5"/>
    <w:rsid w:val="00786EE5"/>
    <w:rsid w:val="00793FA5"/>
    <w:rsid w:val="007944CC"/>
    <w:rsid w:val="00794562"/>
    <w:rsid w:val="00795743"/>
    <w:rsid w:val="0079645F"/>
    <w:rsid w:val="0079784A"/>
    <w:rsid w:val="00797E7D"/>
    <w:rsid w:val="007B41F8"/>
    <w:rsid w:val="007B476D"/>
    <w:rsid w:val="007B4F1E"/>
    <w:rsid w:val="007C15A8"/>
    <w:rsid w:val="007D1178"/>
    <w:rsid w:val="007D3F0B"/>
    <w:rsid w:val="007E127C"/>
    <w:rsid w:val="007E23DD"/>
    <w:rsid w:val="007E5D28"/>
    <w:rsid w:val="007E5D38"/>
    <w:rsid w:val="007E7FDF"/>
    <w:rsid w:val="007F2AD2"/>
    <w:rsid w:val="007F38B5"/>
    <w:rsid w:val="007F7B04"/>
    <w:rsid w:val="00800A07"/>
    <w:rsid w:val="00800A1D"/>
    <w:rsid w:val="0080746A"/>
    <w:rsid w:val="00807686"/>
    <w:rsid w:val="0081012F"/>
    <w:rsid w:val="00811DC5"/>
    <w:rsid w:val="00823AC6"/>
    <w:rsid w:val="00827425"/>
    <w:rsid w:val="00837C51"/>
    <w:rsid w:val="00841586"/>
    <w:rsid w:val="00841816"/>
    <w:rsid w:val="0085468C"/>
    <w:rsid w:val="00856A5D"/>
    <w:rsid w:val="00857589"/>
    <w:rsid w:val="00860E5C"/>
    <w:rsid w:val="00862799"/>
    <w:rsid w:val="00863DBA"/>
    <w:rsid w:val="00864AA9"/>
    <w:rsid w:val="00874828"/>
    <w:rsid w:val="0087659D"/>
    <w:rsid w:val="008777D7"/>
    <w:rsid w:val="00884132"/>
    <w:rsid w:val="00887578"/>
    <w:rsid w:val="00887D25"/>
    <w:rsid w:val="00890A62"/>
    <w:rsid w:val="00894955"/>
    <w:rsid w:val="00896000"/>
    <w:rsid w:val="00896D65"/>
    <w:rsid w:val="008A002D"/>
    <w:rsid w:val="008A0425"/>
    <w:rsid w:val="008A089B"/>
    <w:rsid w:val="008A0EB1"/>
    <w:rsid w:val="008A3633"/>
    <w:rsid w:val="008A59E6"/>
    <w:rsid w:val="008A6C76"/>
    <w:rsid w:val="008A74C6"/>
    <w:rsid w:val="008A7ADD"/>
    <w:rsid w:val="008B0E98"/>
    <w:rsid w:val="008B0F58"/>
    <w:rsid w:val="008B22D2"/>
    <w:rsid w:val="008B6F17"/>
    <w:rsid w:val="008B7F20"/>
    <w:rsid w:val="008C0BCE"/>
    <w:rsid w:val="008C2436"/>
    <w:rsid w:val="008C2AA5"/>
    <w:rsid w:val="008C5AD9"/>
    <w:rsid w:val="008C5DFA"/>
    <w:rsid w:val="008C622E"/>
    <w:rsid w:val="008E1E11"/>
    <w:rsid w:val="008E6848"/>
    <w:rsid w:val="008F02CA"/>
    <w:rsid w:val="008F14F2"/>
    <w:rsid w:val="008F183F"/>
    <w:rsid w:val="008F22E0"/>
    <w:rsid w:val="008F7A33"/>
    <w:rsid w:val="00902A46"/>
    <w:rsid w:val="00913BB7"/>
    <w:rsid w:val="009158E2"/>
    <w:rsid w:val="009161C8"/>
    <w:rsid w:val="00920AB7"/>
    <w:rsid w:val="00921CAE"/>
    <w:rsid w:val="00931B85"/>
    <w:rsid w:val="009363BE"/>
    <w:rsid w:val="00937185"/>
    <w:rsid w:val="009375F2"/>
    <w:rsid w:val="00940F03"/>
    <w:rsid w:val="009420D6"/>
    <w:rsid w:val="00945853"/>
    <w:rsid w:val="00946B18"/>
    <w:rsid w:val="00947560"/>
    <w:rsid w:val="00961490"/>
    <w:rsid w:val="00961F6B"/>
    <w:rsid w:val="00962B96"/>
    <w:rsid w:val="009634BD"/>
    <w:rsid w:val="00964FCD"/>
    <w:rsid w:val="00965D20"/>
    <w:rsid w:val="00966800"/>
    <w:rsid w:val="009723B3"/>
    <w:rsid w:val="00972DC5"/>
    <w:rsid w:val="0097759B"/>
    <w:rsid w:val="009809F3"/>
    <w:rsid w:val="0099410C"/>
    <w:rsid w:val="009957C1"/>
    <w:rsid w:val="00996CFB"/>
    <w:rsid w:val="009A0307"/>
    <w:rsid w:val="009A1C2F"/>
    <w:rsid w:val="009A6B7D"/>
    <w:rsid w:val="009B01DC"/>
    <w:rsid w:val="009B41B7"/>
    <w:rsid w:val="009B422B"/>
    <w:rsid w:val="009B4882"/>
    <w:rsid w:val="009C2254"/>
    <w:rsid w:val="009C441A"/>
    <w:rsid w:val="009C7FB4"/>
    <w:rsid w:val="009D5BC8"/>
    <w:rsid w:val="009E1442"/>
    <w:rsid w:val="009E6858"/>
    <w:rsid w:val="009E6E49"/>
    <w:rsid w:val="009F01ED"/>
    <w:rsid w:val="009F084A"/>
    <w:rsid w:val="009F0B00"/>
    <w:rsid w:val="009F0C1C"/>
    <w:rsid w:val="009F1F35"/>
    <w:rsid w:val="009F24C6"/>
    <w:rsid w:val="009F40D7"/>
    <w:rsid w:val="009F7489"/>
    <w:rsid w:val="00A010DF"/>
    <w:rsid w:val="00A024BC"/>
    <w:rsid w:val="00A02A7C"/>
    <w:rsid w:val="00A11833"/>
    <w:rsid w:val="00A11EE5"/>
    <w:rsid w:val="00A145E7"/>
    <w:rsid w:val="00A15AC9"/>
    <w:rsid w:val="00A1622D"/>
    <w:rsid w:val="00A16FAB"/>
    <w:rsid w:val="00A17F8E"/>
    <w:rsid w:val="00A23E40"/>
    <w:rsid w:val="00A24121"/>
    <w:rsid w:val="00A27DCF"/>
    <w:rsid w:val="00A30BBA"/>
    <w:rsid w:val="00A30FE5"/>
    <w:rsid w:val="00A31AEB"/>
    <w:rsid w:val="00A32211"/>
    <w:rsid w:val="00A322DC"/>
    <w:rsid w:val="00A32792"/>
    <w:rsid w:val="00A33C17"/>
    <w:rsid w:val="00A358BB"/>
    <w:rsid w:val="00A35EC6"/>
    <w:rsid w:val="00A43113"/>
    <w:rsid w:val="00A46260"/>
    <w:rsid w:val="00A46427"/>
    <w:rsid w:val="00A4714C"/>
    <w:rsid w:val="00A4757B"/>
    <w:rsid w:val="00A47FBF"/>
    <w:rsid w:val="00A50DD7"/>
    <w:rsid w:val="00A5367C"/>
    <w:rsid w:val="00A625DE"/>
    <w:rsid w:val="00A676D9"/>
    <w:rsid w:val="00A67C52"/>
    <w:rsid w:val="00A71CDC"/>
    <w:rsid w:val="00A74615"/>
    <w:rsid w:val="00A74EBB"/>
    <w:rsid w:val="00A8197C"/>
    <w:rsid w:val="00A8624E"/>
    <w:rsid w:val="00A86C9F"/>
    <w:rsid w:val="00A9271C"/>
    <w:rsid w:val="00A92757"/>
    <w:rsid w:val="00A92BAB"/>
    <w:rsid w:val="00A9458E"/>
    <w:rsid w:val="00AA1AC7"/>
    <w:rsid w:val="00AA2CD8"/>
    <w:rsid w:val="00AA5692"/>
    <w:rsid w:val="00AA6F2E"/>
    <w:rsid w:val="00AA7E30"/>
    <w:rsid w:val="00AB0B50"/>
    <w:rsid w:val="00AB49E4"/>
    <w:rsid w:val="00AB682D"/>
    <w:rsid w:val="00AC0F4A"/>
    <w:rsid w:val="00AC308B"/>
    <w:rsid w:val="00AC3C0D"/>
    <w:rsid w:val="00AD77A8"/>
    <w:rsid w:val="00AE1C73"/>
    <w:rsid w:val="00AE2F38"/>
    <w:rsid w:val="00AE482A"/>
    <w:rsid w:val="00AE4ADC"/>
    <w:rsid w:val="00AE61A4"/>
    <w:rsid w:val="00AF0A01"/>
    <w:rsid w:val="00AF4620"/>
    <w:rsid w:val="00B0166A"/>
    <w:rsid w:val="00B11E67"/>
    <w:rsid w:val="00B14470"/>
    <w:rsid w:val="00B14BF1"/>
    <w:rsid w:val="00B15274"/>
    <w:rsid w:val="00B16355"/>
    <w:rsid w:val="00B21FD3"/>
    <w:rsid w:val="00B22D8B"/>
    <w:rsid w:val="00B24A0D"/>
    <w:rsid w:val="00B27747"/>
    <w:rsid w:val="00B27A78"/>
    <w:rsid w:val="00B33AC3"/>
    <w:rsid w:val="00B408B8"/>
    <w:rsid w:val="00B40BE3"/>
    <w:rsid w:val="00B41552"/>
    <w:rsid w:val="00B4715B"/>
    <w:rsid w:val="00B5022C"/>
    <w:rsid w:val="00B5273C"/>
    <w:rsid w:val="00B54D5D"/>
    <w:rsid w:val="00B6105A"/>
    <w:rsid w:val="00B61B56"/>
    <w:rsid w:val="00B6329A"/>
    <w:rsid w:val="00B81B36"/>
    <w:rsid w:val="00B81EE1"/>
    <w:rsid w:val="00B85AA0"/>
    <w:rsid w:val="00B97CC2"/>
    <w:rsid w:val="00BA313A"/>
    <w:rsid w:val="00BA4A08"/>
    <w:rsid w:val="00BA4CFF"/>
    <w:rsid w:val="00BB02E3"/>
    <w:rsid w:val="00BB1CEA"/>
    <w:rsid w:val="00BB2A9D"/>
    <w:rsid w:val="00BB4D54"/>
    <w:rsid w:val="00BC0847"/>
    <w:rsid w:val="00BC1AE9"/>
    <w:rsid w:val="00BC2C2F"/>
    <w:rsid w:val="00BC5A00"/>
    <w:rsid w:val="00BC7E95"/>
    <w:rsid w:val="00BD341B"/>
    <w:rsid w:val="00BD66F7"/>
    <w:rsid w:val="00BD69D4"/>
    <w:rsid w:val="00BE0B15"/>
    <w:rsid w:val="00BE25C8"/>
    <w:rsid w:val="00BE381E"/>
    <w:rsid w:val="00BF1326"/>
    <w:rsid w:val="00BF30BC"/>
    <w:rsid w:val="00C008C0"/>
    <w:rsid w:val="00C036BA"/>
    <w:rsid w:val="00C052B4"/>
    <w:rsid w:val="00C053ED"/>
    <w:rsid w:val="00C11F28"/>
    <w:rsid w:val="00C14A32"/>
    <w:rsid w:val="00C22415"/>
    <w:rsid w:val="00C2532F"/>
    <w:rsid w:val="00C33450"/>
    <w:rsid w:val="00C3415B"/>
    <w:rsid w:val="00C408BE"/>
    <w:rsid w:val="00C410FF"/>
    <w:rsid w:val="00C4367D"/>
    <w:rsid w:val="00C4508A"/>
    <w:rsid w:val="00C47682"/>
    <w:rsid w:val="00C47B0E"/>
    <w:rsid w:val="00C53C27"/>
    <w:rsid w:val="00C56813"/>
    <w:rsid w:val="00C61A16"/>
    <w:rsid w:val="00C62309"/>
    <w:rsid w:val="00C6547C"/>
    <w:rsid w:val="00C65CF0"/>
    <w:rsid w:val="00C706CB"/>
    <w:rsid w:val="00C7126F"/>
    <w:rsid w:val="00C737DD"/>
    <w:rsid w:val="00C77C40"/>
    <w:rsid w:val="00C83672"/>
    <w:rsid w:val="00C83DF3"/>
    <w:rsid w:val="00C855AF"/>
    <w:rsid w:val="00C906AB"/>
    <w:rsid w:val="00C94CA7"/>
    <w:rsid w:val="00CA5333"/>
    <w:rsid w:val="00CB168D"/>
    <w:rsid w:val="00CB448E"/>
    <w:rsid w:val="00CB676B"/>
    <w:rsid w:val="00CC27F5"/>
    <w:rsid w:val="00CC59AB"/>
    <w:rsid w:val="00CD2613"/>
    <w:rsid w:val="00CD5F09"/>
    <w:rsid w:val="00CD7956"/>
    <w:rsid w:val="00CE126C"/>
    <w:rsid w:val="00CE1B80"/>
    <w:rsid w:val="00CE2772"/>
    <w:rsid w:val="00CE40B8"/>
    <w:rsid w:val="00CE67C2"/>
    <w:rsid w:val="00CE745D"/>
    <w:rsid w:val="00CF1464"/>
    <w:rsid w:val="00CF6BC0"/>
    <w:rsid w:val="00CF70AE"/>
    <w:rsid w:val="00D02649"/>
    <w:rsid w:val="00D03CF9"/>
    <w:rsid w:val="00D0481E"/>
    <w:rsid w:val="00D06623"/>
    <w:rsid w:val="00D11642"/>
    <w:rsid w:val="00D148D0"/>
    <w:rsid w:val="00D20D38"/>
    <w:rsid w:val="00D21331"/>
    <w:rsid w:val="00D25859"/>
    <w:rsid w:val="00D27BAB"/>
    <w:rsid w:val="00D377EC"/>
    <w:rsid w:val="00D465CA"/>
    <w:rsid w:val="00D46875"/>
    <w:rsid w:val="00D542C3"/>
    <w:rsid w:val="00D54EF1"/>
    <w:rsid w:val="00D615D0"/>
    <w:rsid w:val="00D632E6"/>
    <w:rsid w:val="00D6511E"/>
    <w:rsid w:val="00D6552B"/>
    <w:rsid w:val="00D7258E"/>
    <w:rsid w:val="00D72809"/>
    <w:rsid w:val="00D736AC"/>
    <w:rsid w:val="00D744E0"/>
    <w:rsid w:val="00D8613F"/>
    <w:rsid w:val="00D875CF"/>
    <w:rsid w:val="00D91001"/>
    <w:rsid w:val="00D91506"/>
    <w:rsid w:val="00D93FE2"/>
    <w:rsid w:val="00D94563"/>
    <w:rsid w:val="00D946FA"/>
    <w:rsid w:val="00D95E8A"/>
    <w:rsid w:val="00DA37D0"/>
    <w:rsid w:val="00DA5F64"/>
    <w:rsid w:val="00DB0806"/>
    <w:rsid w:val="00DB0D3E"/>
    <w:rsid w:val="00DB1E64"/>
    <w:rsid w:val="00DB391F"/>
    <w:rsid w:val="00DB4B45"/>
    <w:rsid w:val="00DB6D69"/>
    <w:rsid w:val="00DB7829"/>
    <w:rsid w:val="00DC0B1D"/>
    <w:rsid w:val="00DC577E"/>
    <w:rsid w:val="00DD118F"/>
    <w:rsid w:val="00DD1A8D"/>
    <w:rsid w:val="00DE0A1D"/>
    <w:rsid w:val="00DF4A37"/>
    <w:rsid w:val="00DF745B"/>
    <w:rsid w:val="00E0165A"/>
    <w:rsid w:val="00E0239B"/>
    <w:rsid w:val="00E02E5D"/>
    <w:rsid w:val="00E02F43"/>
    <w:rsid w:val="00E02F56"/>
    <w:rsid w:val="00E04610"/>
    <w:rsid w:val="00E05D6C"/>
    <w:rsid w:val="00E05E99"/>
    <w:rsid w:val="00E12179"/>
    <w:rsid w:val="00E12476"/>
    <w:rsid w:val="00E21A2E"/>
    <w:rsid w:val="00E345D1"/>
    <w:rsid w:val="00E40B21"/>
    <w:rsid w:val="00E44AF3"/>
    <w:rsid w:val="00E65685"/>
    <w:rsid w:val="00E669F5"/>
    <w:rsid w:val="00E67C95"/>
    <w:rsid w:val="00E80BEF"/>
    <w:rsid w:val="00E82374"/>
    <w:rsid w:val="00E83F81"/>
    <w:rsid w:val="00E85FAF"/>
    <w:rsid w:val="00E8679C"/>
    <w:rsid w:val="00E90922"/>
    <w:rsid w:val="00E92994"/>
    <w:rsid w:val="00E9307E"/>
    <w:rsid w:val="00E9544B"/>
    <w:rsid w:val="00E970C3"/>
    <w:rsid w:val="00E9722F"/>
    <w:rsid w:val="00EA4690"/>
    <w:rsid w:val="00EA5E91"/>
    <w:rsid w:val="00EB475F"/>
    <w:rsid w:val="00EB4B37"/>
    <w:rsid w:val="00EC0CD0"/>
    <w:rsid w:val="00EC2DD4"/>
    <w:rsid w:val="00EC48BF"/>
    <w:rsid w:val="00EC5CBA"/>
    <w:rsid w:val="00EC642A"/>
    <w:rsid w:val="00EC6CF6"/>
    <w:rsid w:val="00ED1219"/>
    <w:rsid w:val="00ED22E9"/>
    <w:rsid w:val="00ED4FE7"/>
    <w:rsid w:val="00ED5BE7"/>
    <w:rsid w:val="00ED7936"/>
    <w:rsid w:val="00EE008B"/>
    <w:rsid w:val="00EE1B4B"/>
    <w:rsid w:val="00EE201B"/>
    <w:rsid w:val="00EF02F2"/>
    <w:rsid w:val="00EF40B7"/>
    <w:rsid w:val="00F0035E"/>
    <w:rsid w:val="00F0092A"/>
    <w:rsid w:val="00F10236"/>
    <w:rsid w:val="00F10CC8"/>
    <w:rsid w:val="00F12144"/>
    <w:rsid w:val="00F12736"/>
    <w:rsid w:val="00F26235"/>
    <w:rsid w:val="00F266EC"/>
    <w:rsid w:val="00F27B8D"/>
    <w:rsid w:val="00F334E8"/>
    <w:rsid w:val="00F336AB"/>
    <w:rsid w:val="00F35EAC"/>
    <w:rsid w:val="00F378DA"/>
    <w:rsid w:val="00F42E68"/>
    <w:rsid w:val="00F43909"/>
    <w:rsid w:val="00F43F94"/>
    <w:rsid w:val="00F46B51"/>
    <w:rsid w:val="00F46F31"/>
    <w:rsid w:val="00F50614"/>
    <w:rsid w:val="00F50798"/>
    <w:rsid w:val="00F5180A"/>
    <w:rsid w:val="00F51C94"/>
    <w:rsid w:val="00F545B8"/>
    <w:rsid w:val="00F60788"/>
    <w:rsid w:val="00F61126"/>
    <w:rsid w:val="00F61301"/>
    <w:rsid w:val="00F61954"/>
    <w:rsid w:val="00F6486D"/>
    <w:rsid w:val="00F65EBC"/>
    <w:rsid w:val="00F724F3"/>
    <w:rsid w:val="00F743E1"/>
    <w:rsid w:val="00F75005"/>
    <w:rsid w:val="00F8194E"/>
    <w:rsid w:val="00F819E5"/>
    <w:rsid w:val="00F82759"/>
    <w:rsid w:val="00F84836"/>
    <w:rsid w:val="00F85AD5"/>
    <w:rsid w:val="00F85F19"/>
    <w:rsid w:val="00F91AE6"/>
    <w:rsid w:val="00F933E8"/>
    <w:rsid w:val="00F936B2"/>
    <w:rsid w:val="00F94FF4"/>
    <w:rsid w:val="00FA0FEE"/>
    <w:rsid w:val="00FA79D1"/>
    <w:rsid w:val="00FC1B3B"/>
    <w:rsid w:val="00FC20D2"/>
    <w:rsid w:val="00FC6323"/>
    <w:rsid w:val="00FD0A42"/>
    <w:rsid w:val="00FD59F5"/>
    <w:rsid w:val="00FD71E8"/>
    <w:rsid w:val="00FE429B"/>
    <w:rsid w:val="00FF239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35525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qFormat="1"/>
    <w:lsdException w:name="endnote tex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211"/>
    <w:pPr>
      <w:ind w:left="720"/>
      <w:contextualSpacing/>
    </w:pPr>
  </w:style>
  <w:style w:type="table" w:styleId="TableGrid">
    <w:name w:val="Table Grid"/>
    <w:basedOn w:val="TableNormal"/>
    <w:uiPriority w:val="59"/>
    <w:rsid w:val="00026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aliases w:val="Char, Char6 Char Char Char Char Char Char Char Char, Char6 Char Char Char Char Char Char, Char6 Char Char Char,Char6 Char Char Char Char Char Char Char Char,Char6 Char Char Char Char Char Char,Char6 Char Char Char"/>
    <w:basedOn w:val="Normal"/>
    <w:link w:val="EndnoteTextChar"/>
    <w:uiPriority w:val="99"/>
    <w:unhideWhenUsed/>
    <w:qFormat/>
    <w:rsid w:val="0025214A"/>
    <w:pPr>
      <w:spacing w:after="0" w:line="240" w:lineRule="auto"/>
    </w:pPr>
    <w:rPr>
      <w:sz w:val="20"/>
      <w:szCs w:val="20"/>
    </w:rPr>
  </w:style>
  <w:style w:type="character" w:customStyle="1" w:styleId="EndnoteTextChar">
    <w:name w:val="Endnote Text Char"/>
    <w:aliases w:val="Char Char, Char6 Char Char Char Char Char Char Char Char Char, Char6 Char Char Char Char Char Char Char, Char6 Char Char Char Char,Char6 Char Char Char Char Char Char Char Char Char,Char6 Char Char Char Char Char Char Char"/>
    <w:basedOn w:val="DefaultParagraphFont"/>
    <w:link w:val="EndnoteText"/>
    <w:uiPriority w:val="99"/>
    <w:rsid w:val="0025214A"/>
    <w:rPr>
      <w:sz w:val="20"/>
      <w:szCs w:val="20"/>
    </w:rPr>
  </w:style>
  <w:style w:type="character" w:styleId="EndnoteReference">
    <w:name w:val="endnote reference"/>
    <w:basedOn w:val="DefaultParagraphFont"/>
    <w:uiPriority w:val="99"/>
    <w:unhideWhenUsed/>
    <w:qFormat/>
    <w:rsid w:val="0025214A"/>
    <w:rPr>
      <w:vertAlign w:val="superscript"/>
    </w:rPr>
  </w:style>
  <w:style w:type="paragraph" w:styleId="Footer">
    <w:name w:val="footer"/>
    <w:basedOn w:val="Normal"/>
    <w:link w:val="FooterChar"/>
    <w:uiPriority w:val="99"/>
    <w:unhideWhenUsed/>
    <w:rsid w:val="000906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692"/>
  </w:style>
  <w:style w:type="character" w:styleId="Hyperlink">
    <w:name w:val="Hyperlink"/>
    <w:basedOn w:val="DefaultParagraphFont"/>
    <w:uiPriority w:val="99"/>
    <w:unhideWhenUsed/>
    <w:rsid w:val="00BA4A08"/>
    <w:rPr>
      <w:color w:val="0000FF" w:themeColor="hyperlink"/>
      <w:u w:val="single"/>
    </w:rPr>
  </w:style>
  <w:style w:type="character" w:styleId="CommentReference">
    <w:name w:val="annotation reference"/>
    <w:basedOn w:val="DefaultParagraphFont"/>
    <w:uiPriority w:val="99"/>
    <w:semiHidden/>
    <w:unhideWhenUsed/>
    <w:rsid w:val="00E90922"/>
    <w:rPr>
      <w:sz w:val="16"/>
      <w:szCs w:val="16"/>
    </w:rPr>
  </w:style>
  <w:style w:type="paragraph" w:styleId="CommentText">
    <w:name w:val="annotation text"/>
    <w:basedOn w:val="Normal"/>
    <w:link w:val="CommentTextChar"/>
    <w:uiPriority w:val="99"/>
    <w:semiHidden/>
    <w:unhideWhenUsed/>
    <w:rsid w:val="00E90922"/>
    <w:pPr>
      <w:spacing w:line="240" w:lineRule="auto"/>
    </w:pPr>
    <w:rPr>
      <w:sz w:val="20"/>
      <w:szCs w:val="20"/>
    </w:rPr>
  </w:style>
  <w:style w:type="character" w:customStyle="1" w:styleId="CommentTextChar">
    <w:name w:val="Comment Text Char"/>
    <w:basedOn w:val="DefaultParagraphFont"/>
    <w:link w:val="CommentText"/>
    <w:uiPriority w:val="99"/>
    <w:semiHidden/>
    <w:rsid w:val="00E90922"/>
    <w:rPr>
      <w:sz w:val="20"/>
      <w:szCs w:val="20"/>
    </w:rPr>
  </w:style>
  <w:style w:type="paragraph" w:styleId="CommentSubject">
    <w:name w:val="annotation subject"/>
    <w:basedOn w:val="CommentText"/>
    <w:next w:val="CommentText"/>
    <w:link w:val="CommentSubjectChar"/>
    <w:uiPriority w:val="99"/>
    <w:semiHidden/>
    <w:unhideWhenUsed/>
    <w:rsid w:val="00E90922"/>
    <w:rPr>
      <w:b/>
      <w:bCs/>
    </w:rPr>
  </w:style>
  <w:style w:type="character" w:customStyle="1" w:styleId="CommentSubjectChar">
    <w:name w:val="Comment Subject Char"/>
    <w:basedOn w:val="CommentTextChar"/>
    <w:link w:val="CommentSubject"/>
    <w:uiPriority w:val="99"/>
    <w:semiHidden/>
    <w:rsid w:val="00E90922"/>
    <w:rPr>
      <w:b/>
      <w:bCs/>
      <w:sz w:val="20"/>
      <w:szCs w:val="20"/>
    </w:rPr>
  </w:style>
  <w:style w:type="paragraph" w:styleId="BalloonText">
    <w:name w:val="Balloon Text"/>
    <w:basedOn w:val="Normal"/>
    <w:link w:val="BalloonTextChar"/>
    <w:uiPriority w:val="99"/>
    <w:semiHidden/>
    <w:unhideWhenUsed/>
    <w:rsid w:val="00E909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922"/>
    <w:rPr>
      <w:rFonts w:ascii="Segoe UI" w:hAnsi="Segoe UI" w:cs="Segoe UI"/>
      <w:sz w:val="18"/>
      <w:szCs w:val="18"/>
    </w:rPr>
  </w:style>
  <w:style w:type="paragraph" w:styleId="Header">
    <w:name w:val="header"/>
    <w:basedOn w:val="Normal"/>
    <w:link w:val="HeaderChar"/>
    <w:uiPriority w:val="99"/>
    <w:unhideWhenUsed/>
    <w:rsid w:val="00104C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C52"/>
  </w:style>
  <w:style w:type="paragraph" w:customStyle="1" w:styleId="paragraph">
    <w:name w:val="paragraph"/>
    <w:basedOn w:val="Normal"/>
    <w:rsid w:val="006168B6"/>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6168B6"/>
  </w:style>
  <w:style w:type="character" w:customStyle="1" w:styleId="apple-converted-space">
    <w:name w:val="apple-converted-space"/>
    <w:basedOn w:val="DefaultParagraphFont"/>
    <w:rsid w:val="006168B6"/>
  </w:style>
  <w:style w:type="character" w:customStyle="1" w:styleId="eop">
    <w:name w:val="eop"/>
    <w:basedOn w:val="DefaultParagraphFont"/>
    <w:rsid w:val="006168B6"/>
  </w:style>
  <w:style w:type="paragraph" w:styleId="Caption">
    <w:name w:val="caption"/>
    <w:basedOn w:val="Normal"/>
    <w:next w:val="Normal"/>
    <w:uiPriority w:val="35"/>
    <w:semiHidden/>
    <w:unhideWhenUsed/>
    <w:qFormat/>
    <w:rsid w:val="00EE008B"/>
    <w:pPr>
      <w:spacing w:line="240" w:lineRule="auto"/>
    </w:pPr>
    <w:rPr>
      <w:b/>
      <w:bCs/>
      <w:color w:val="4F81BD" w:themeColor="accent1"/>
      <w:sz w:val="18"/>
      <w:szCs w:val="18"/>
    </w:rPr>
  </w:style>
  <w:style w:type="paragraph" w:styleId="Revision">
    <w:name w:val="Revision"/>
    <w:hidden/>
    <w:uiPriority w:val="99"/>
    <w:semiHidden/>
    <w:rsid w:val="00282F30"/>
    <w:pPr>
      <w:spacing w:after="0" w:line="240" w:lineRule="auto"/>
    </w:pPr>
  </w:style>
  <w:style w:type="character" w:styleId="FollowedHyperlink">
    <w:name w:val="FollowedHyperlink"/>
    <w:basedOn w:val="DefaultParagraphFont"/>
    <w:uiPriority w:val="99"/>
    <w:semiHidden/>
    <w:unhideWhenUsed/>
    <w:rsid w:val="00E05E99"/>
    <w:rPr>
      <w:color w:val="800080" w:themeColor="followedHyperlink"/>
      <w:u w:val="single"/>
    </w:rPr>
  </w:style>
  <w:style w:type="paragraph" w:styleId="FootnoteText">
    <w:name w:val="footnote text"/>
    <w:basedOn w:val="Normal"/>
    <w:link w:val="FootnoteTextChar"/>
    <w:uiPriority w:val="99"/>
    <w:semiHidden/>
    <w:unhideWhenUsed/>
    <w:rsid w:val="00C334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3450"/>
    <w:rPr>
      <w:sz w:val="20"/>
      <w:szCs w:val="20"/>
    </w:rPr>
  </w:style>
  <w:style w:type="character" w:styleId="FootnoteReference">
    <w:name w:val="footnote reference"/>
    <w:basedOn w:val="DefaultParagraphFont"/>
    <w:uiPriority w:val="99"/>
    <w:semiHidden/>
    <w:unhideWhenUsed/>
    <w:rsid w:val="00C33450"/>
    <w:rPr>
      <w:vertAlign w:val="superscript"/>
    </w:rPr>
  </w:style>
  <w:style w:type="paragraph" w:styleId="NormalWeb">
    <w:name w:val="Normal (Web)"/>
    <w:basedOn w:val="Normal"/>
    <w:uiPriority w:val="99"/>
    <w:unhideWhenUsed/>
    <w:rsid w:val="00EC0C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0CD0"/>
    <w:rPr>
      <w:b/>
      <w:bCs/>
    </w:rPr>
  </w:style>
  <w:style w:type="character" w:styleId="Emphasis">
    <w:name w:val="Emphasis"/>
    <w:basedOn w:val="DefaultParagraphFont"/>
    <w:uiPriority w:val="20"/>
    <w:qFormat/>
    <w:rsid w:val="00EC0CD0"/>
    <w:rPr>
      <w:i/>
      <w:iCs/>
    </w:rPr>
  </w:style>
  <w:style w:type="paragraph" w:customStyle="1" w:styleId="Default">
    <w:name w:val="Default"/>
    <w:uiPriority w:val="99"/>
    <w:rsid w:val="003C4C1B"/>
    <w:pPr>
      <w:autoSpaceDE w:val="0"/>
      <w:autoSpaceDN w:val="0"/>
      <w:adjustRightInd w:val="0"/>
      <w:spacing w:after="0" w:line="240" w:lineRule="auto"/>
    </w:pPr>
    <w:rPr>
      <w:rFonts w:ascii="Times New Roman PS MT" w:eastAsia="SimSun" w:hAnsi="Times New Roman PS MT" w:cs="Times New Roman PS MT"/>
      <w:color w:val="000000"/>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qFormat="1"/>
    <w:lsdException w:name="endnote tex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211"/>
    <w:pPr>
      <w:ind w:left="720"/>
      <w:contextualSpacing/>
    </w:pPr>
  </w:style>
  <w:style w:type="table" w:styleId="TableGrid">
    <w:name w:val="Table Grid"/>
    <w:basedOn w:val="TableNormal"/>
    <w:uiPriority w:val="59"/>
    <w:rsid w:val="00026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aliases w:val="Char, Char6 Char Char Char Char Char Char Char Char, Char6 Char Char Char Char Char Char, Char6 Char Char Char,Char6 Char Char Char Char Char Char Char Char,Char6 Char Char Char Char Char Char,Char6 Char Char Char"/>
    <w:basedOn w:val="Normal"/>
    <w:link w:val="EndnoteTextChar"/>
    <w:uiPriority w:val="99"/>
    <w:unhideWhenUsed/>
    <w:qFormat/>
    <w:rsid w:val="0025214A"/>
    <w:pPr>
      <w:spacing w:after="0" w:line="240" w:lineRule="auto"/>
    </w:pPr>
    <w:rPr>
      <w:sz w:val="20"/>
      <w:szCs w:val="20"/>
    </w:rPr>
  </w:style>
  <w:style w:type="character" w:customStyle="1" w:styleId="EndnoteTextChar">
    <w:name w:val="Endnote Text Char"/>
    <w:aliases w:val="Char Char, Char6 Char Char Char Char Char Char Char Char Char, Char6 Char Char Char Char Char Char Char, Char6 Char Char Char Char,Char6 Char Char Char Char Char Char Char Char Char,Char6 Char Char Char Char Char Char Char"/>
    <w:basedOn w:val="DefaultParagraphFont"/>
    <w:link w:val="EndnoteText"/>
    <w:uiPriority w:val="99"/>
    <w:rsid w:val="0025214A"/>
    <w:rPr>
      <w:sz w:val="20"/>
      <w:szCs w:val="20"/>
    </w:rPr>
  </w:style>
  <w:style w:type="character" w:styleId="EndnoteReference">
    <w:name w:val="endnote reference"/>
    <w:basedOn w:val="DefaultParagraphFont"/>
    <w:uiPriority w:val="99"/>
    <w:unhideWhenUsed/>
    <w:qFormat/>
    <w:rsid w:val="0025214A"/>
    <w:rPr>
      <w:vertAlign w:val="superscript"/>
    </w:rPr>
  </w:style>
  <w:style w:type="paragraph" w:styleId="Footer">
    <w:name w:val="footer"/>
    <w:basedOn w:val="Normal"/>
    <w:link w:val="FooterChar"/>
    <w:uiPriority w:val="99"/>
    <w:unhideWhenUsed/>
    <w:rsid w:val="000906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692"/>
  </w:style>
  <w:style w:type="character" w:styleId="Hyperlink">
    <w:name w:val="Hyperlink"/>
    <w:basedOn w:val="DefaultParagraphFont"/>
    <w:uiPriority w:val="99"/>
    <w:unhideWhenUsed/>
    <w:rsid w:val="00BA4A08"/>
    <w:rPr>
      <w:color w:val="0000FF" w:themeColor="hyperlink"/>
      <w:u w:val="single"/>
    </w:rPr>
  </w:style>
  <w:style w:type="character" w:styleId="CommentReference">
    <w:name w:val="annotation reference"/>
    <w:basedOn w:val="DefaultParagraphFont"/>
    <w:uiPriority w:val="99"/>
    <w:semiHidden/>
    <w:unhideWhenUsed/>
    <w:rsid w:val="00E90922"/>
    <w:rPr>
      <w:sz w:val="16"/>
      <w:szCs w:val="16"/>
    </w:rPr>
  </w:style>
  <w:style w:type="paragraph" w:styleId="CommentText">
    <w:name w:val="annotation text"/>
    <w:basedOn w:val="Normal"/>
    <w:link w:val="CommentTextChar"/>
    <w:uiPriority w:val="99"/>
    <w:semiHidden/>
    <w:unhideWhenUsed/>
    <w:rsid w:val="00E90922"/>
    <w:pPr>
      <w:spacing w:line="240" w:lineRule="auto"/>
    </w:pPr>
    <w:rPr>
      <w:sz w:val="20"/>
      <w:szCs w:val="20"/>
    </w:rPr>
  </w:style>
  <w:style w:type="character" w:customStyle="1" w:styleId="CommentTextChar">
    <w:name w:val="Comment Text Char"/>
    <w:basedOn w:val="DefaultParagraphFont"/>
    <w:link w:val="CommentText"/>
    <w:uiPriority w:val="99"/>
    <w:semiHidden/>
    <w:rsid w:val="00E90922"/>
    <w:rPr>
      <w:sz w:val="20"/>
      <w:szCs w:val="20"/>
    </w:rPr>
  </w:style>
  <w:style w:type="paragraph" w:styleId="CommentSubject">
    <w:name w:val="annotation subject"/>
    <w:basedOn w:val="CommentText"/>
    <w:next w:val="CommentText"/>
    <w:link w:val="CommentSubjectChar"/>
    <w:uiPriority w:val="99"/>
    <w:semiHidden/>
    <w:unhideWhenUsed/>
    <w:rsid w:val="00E90922"/>
    <w:rPr>
      <w:b/>
      <w:bCs/>
    </w:rPr>
  </w:style>
  <w:style w:type="character" w:customStyle="1" w:styleId="CommentSubjectChar">
    <w:name w:val="Comment Subject Char"/>
    <w:basedOn w:val="CommentTextChar"/>
    <w:link w:val="CommentSubject"/>
    <w:uiPriority w:val="99"/>
    <w:semiHidden/>
    <w:rsid w:val="00E90922"/>
    <w:rPr>
      <w:b/>
      <w:bCs/>
      <w:sz w:val="20"/>
      <w:szCs w:val="20"/>
    </w:rPr>
  </w:style>
  <w:style w:type="paragraph" w:styleId="BalloonText">
    <w:name w:val="Balloon Text"/>
    <w:basedOn w:val="Normal"/>
    <w:link w:val="BalloonTextChar"/>
    <w:uiPriority w:val="99"/>
    <w:semiHidden/>
    <w:unhideWhenUsed/>
    <w:rsid w:val="00E909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922"/>
    <w:rPr>
      <w:rFonts w:ascii="Segoe UI" w:hAnsi="Segoe UI" w:cs="Segoe UI"/>
      <w:sz w:val="18"/>
      <w:szCs w:val="18"/>
    </w:rPr>
  </w:style>
  <w:style w:type="paragraph" w:styleId="Header">
    <w:name w:val="header"/>
    <w:basedOn w:val="Normal"/>
    <w:link w:val="HeaderChar"/>
    <w:uiPriority w:val="99"/>
    <w:unhideWhenUsed/>
    <w:rsid w:val="00104C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C52"/>
  </w:style>
  <w:style w:type="paragraph" w:customStyle="1" w:styleId="paragraph">
    <w:name w:val="paragraph"/>
    <w:basedOn w:val="Normal"/>
    <w:rsid w:val="006168B6"/>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6168B6"/>
  </w:style>
  <w:style w:type="character" w:customStyle="1" w:styleId="apple-converted-space">
    <w:name w:val="apple-converted-space"/>
    <w:basedOn w:val="DefaultParagraphFont"/>
    <w:rsid w:val="006168B6"/>
  </w:style>
  <w:style w:type="character" w:customStyle="1" w:styleId="eop">
    <w:name w:val="eop"/>
    <w:basedOn w:val="DefaultParagraphFont"/>
    <w:rsid w:val="006168B6"/>
  </w:style>
  <w:style w:type="paragraph" w:styleId="Caption">
    <w:name w:val="caption"/>
    <w:basedOn w:val="Normal"/>
    <w:next w:val="Normal"/>
    <w:uiPriority w:val="35"/>
    <w:semiHidden/>
    <w:unhideWhenUsed/>
    <w:qFormat/>
    <w:rsid w:val="00EE008B"/>
    <w:pPr>
      <w:spacing w:line="240" w:lineRule="auto"/>
    </w:pPr>
    <w:rPr>
      <w:b/>
      <w:bCs/>
      <w:color w:val="4F81BD" w:themeColor="accent1"/>
      <w:sz w:val="18"/>
      <w:szCs w:val="18"/>
    </w:rPr>
  </w:style>
  <w:style w:type="paragraph" w:styleId="Revision">
    <w:name w:val="Revision"/>
    <w:hidden/>
    <w:uiPriority w:val="99"/>
    <w:semiHidden/>
    <w:rsid w:val="00282F30"/>
    <w:pPr>
      <w:spacing w:after="0" w:line="240" w:lineRule="auto"/>
    </w:pPr>
  </w:style>
  <w:style w:type="character" w:styleId="FollowedHyperlink">
    <w:name w:val="FollowedHyperlink"/>
    <w:basedOn w:val="DefaultParagraphFont"/>
    <w:uiPriority w:val="99"/>
    <w:semiHidden/>
    <w:unhideWhenUsed/>
    <w:rsid w:val="00E05E99"/>
    <w:rPr>
      <w:color w:val="800080" w:themeColor="followedHyperlink"/>
      <w:u w:val="single"/>
    </w:rPr>
  </w:style>
  <w:style w:type="paragraph" w:styleId="FootnoteText">
    <w:name w:val="footnote text"/>
    <w:basedOn w:val="Normal"/>
    <w:link w:val="FootnoteTextChar"/>
    <w:uiPriority w:val="99"/>
    <w:semiHidden/>
    <w:unhideWhenUsed/>
    <w:rsid w:val="00C334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3450"/>
    <w:rPr>
      <w:sz w:val="20"/>
      <w:szCs w:val="20"/>
    </w:rPr>
  </w:style>
  <w:style w:type="character" w:styleId="FootnoteReference">
    <w:name w:val="footnote reference"/>
    <w:basedOn w:val="DefaultParagraphFont"/>
    <w:uiPriority w:val="99"/>
    <w:semiHidden/>
    <w:unhideWhenUsed/>
    <w:rsid w:val="00C33450"/>
    <w:rPr>
      <w:vertAlign w:val="superscript"/>
    </w:rPr>
  </w:style>
  <w:style w:type="paragraph" w:styleId="NormalWeb">
    <w:name w:val="Normal (Web)"/>
    <w:basedOn w:val="Normal"/>
    <w:uiPriority w:val="99"/>
    <w:unhideWhenUsed/>
    <w:rsid w:val="00EC0C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0CD0"/>
    <w:rPr>
      <w:b/>
      <w:bCs/>
    </w:rPr>
  </w:style>
  <w:style w:type="character" w:styleId="Emphasis">
    <w:name w:val="Emphasis"/>
    <w:basedOn w:val="DefaultParagraphFont"/>
    <w:uiPriority w:val="20"/>
    <w:qFormat/>
    <w:rsid w:val="00EC0CD0"/>
    <w:rPr>
      <w:i/>
      <w:iCs/>
    </w:rPr>
  </w:style>
  <w:style w:type="paragraph" w:customStyle="1" w:styleId="Default">
    <w:name w:val="Default"/>
    <w:uiPriority w:val="99"/>
    <w:rsid w:val="003C4C1B"/>
    <w:pPr>
      <w:autoSpaceDE w:val="0"/>
      <w:autoSpaceDN w:val="0"/>
      <w:adjustRightInd w:val="0"/>
      <w:spacing w:after="0" w:line="240" w:lineRule="auto"/>
    </w:pPr>
    <w:rPr>
      <w:rFonts w:ascii="Times New Roman PS MT" w:eastAsia="SimSun" w:hAnsi="Times New Roman PS MT" w:cs="Times New Roman PS MT"/>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99488">
      <w:bodyDiv w:val="1"/>
      <w:marLeft w:val="0"/>
      <w:marRight w:val="0"/>
      <w:marTop w:val="0"/>
      <w:marBottom w:val="0"/>
      <w:divBdr>
        <w:top w:val="none" w:sz="0" w:space="0" w:color="auto"/>
        <w:left w:val="none" w:sz="0" w:space="0" w:color="auto"/>
        <w:bottom w:val="none" w:sz="0" w:space="0" w:color="auto"/>
        <w:right w:val="none" w:sz="0" w:space="0" w:color="auto"/>
      </w:divBdr>
    </w:div>
    <w:div w:id="453789047">
      <w:bodyDiv w:val="1"/>
      <w:marLeft w:val="0"/>
      <w:marRight w:val="0"/>
      <w:marTop w:val="0"/>
      <w:marBottom w:val="0"/>
      <w:divBdr>
        <w:top w:val="none" w:sz="0" w:space="0" w:color="auto"/>
        <w:left w:val="none" w:sz="0" w:space="0" w:color="auto"/>
        <w:bottom w:val="none" w:sz="0" w:space="0" w:color="auto"/>
        <w:right w:val="none" w:sz="0" w:space="0" w:color="auto"/>
      </w:divBdr>
    </w:div>
    <w:div w:id="513501650">
      <w:bodyDiv w:val="1"/>
      <w:marLeft w:val="0"/>
      <w:marRight w:val="0"/>
      <w:marTop w:val="0"/>
      <w:marBottom w:val="0"/>
      <w:divBdr>
        <w:top w:val="none" w:sz="0" w:space="0" w:color="auto"/>
        <w:left w:val="none" w:sz="0" w:space="0" w:color="auto"/>
        <w:bottom w:val="none" w:sz="0" w:space="0" w:color="auto"/>
        <w:right w:val="none" w:sz="0" w:space="0" w:color="auto"/>
      </w:divBdr>
    </w:div>
    <w:div w:id="586229557">
      <w:bodyDiv w:val="1"/>
      <w:marLeft w:val="0"/>
      <w:marRight w:val="0"/>
      <w:marTop w:val="0"/>
      <w:marBottom w:val="0"/>
      <w:divBdr>
        <w:top w:val="none" w:sz="0" w:space="0" w:color="auto"/>
        <w:left w:val="none" w:sz="0" w:space="0" w:color="auto"/>
        <w:bottom w:val="none" w:sz="0" w:space="0" w:color="auto"/>
        <w:right w:val="none" w:sz="0" w:space="0" w:color="auto"/>
      </w:divBdr>
    </w:div>
    <w:div w:id="595211085">
      <w:bodyDiv w:val="1"/>
      <w:marLeft w:val="0"/>
      <w:marRight w:val="0"/>
      <w:marTop w:val="0"/>
      <w:marBottom w:val="0"/>
      <w:divBdr>
        <w:top w:val="none" w:sz="0" w:space="0" w:color="auto"/>
        <w:left w:val="none" w:sz="0" w:space="0" w:color="auto"/>
        <w:bottom w:val="none" w:sz="0" w:space="0" w:color="auto"/>
        <w:right w:val="none" w:sz="0" w:space="0" w:color="auto"/>
      </w:divBdr>
    </w:div>
    <w:div w:id="649559897">
      <w:bodyDiv w:val="1"/>
      <w:marLeft w:val="0"/>
      <w:marRight w:val="0"/>
      <w:marTop w:val="0"/>
      <w:marBottom w:val="0"/>
      <w:divBdr>
        <w:top w:val="none" w:sz="0" w:space="0" w:color="auto"/>
        <w:left w:val="none" w:sz="0" w:space="0" w:color="auto"/>
        <w:bottom w:val="none" w:sz="0" w:space="0" w:color="auto"/>
        <w:right w:val="none" w:sz="0" w:space="0" w:color="auto"/>
      </w:divBdr>
    </w:div>
    <w:div w:id="688486504">
      <w:bodyDiv w:val="1"/>
      <w:marLeft w:val="0"/>
      <w:marRight w:val="0"/>
      <w:marTop w:val="0"/>
      <w:marBottom w:val="0"/>
      <w:divBdr>
        <w:top w:val="none" w:sz="0" w:space="0" w:color="auto"/>
        <w:left w:val="none" w:sz="0" w:space="0" w:color="auto"/>
        <w:bottom w:val="none" w:sz="0" w:space="0" w:color="auto"/>
        <w:right w:val="none" w:sz="0" w:space="0" w:color="auto"/>
      </w:divBdr>
    </w:div>
    <w:div w:id="711465888">
      <w:bodyDiv w:val="1"/>
      <w:marLeft w:val="0"/>
      <w:marRight w:val="0"/>
      <w:marTop w:val="0"/>
      <w:marBottom w:val="0"/>
      <w:divBdr>
        <w:top w:val="none" w:sz="0" w:space="0" w:color="auto"/>
        <w:left w:val="none" w:sz="0" w:space="0" w:color="auto"/>
        <w:bottom w:val="none" w:sz="0" w:space="0" w:color="auto"/>
        <w:right w:val="none" w:sz="0" w:space="0" w:color="auto"/>
      </w:divBdr>
    </w:div>
    <w:div w:id="847797106">
      <w:bodyDiv w:val="1"/>
      <w:marLeft w:val="0"/>
      <w:marRight w:val="0"/>
      <w:marTop w:val="0"/>
      <w:marBottom w:val="0"/>
      <w:divBdr>
        <w:top w:val="none" w:sz="0" w:space="0" w:color="auto"/>
        <w:left w:val="none" w:sz="0" w:space="0" w:color="auto"/>
        <w:bottom w:val="none" w:sz="0" w:space="0" w:color="auto"/>
        <w:right w:val="none" w:sz="0" w:space="0" w:color="auto"/>
      </w:divBdr>
    </w:div>
    <w:div w:id="910382148">
      <w:bodyDiv w:val="1"/>
      <w:marLeft w:val="0"/>
      <w:marRight w:val="0"/>
      <w:marTop w:val="0"/>
      <w:marBottom w:val="0"/>
      <w:divBdr>
        <w:top w:val="none" w:sz="0" w:space="0" w:color="auto"/>
        <w:left w:val="none" w:sz="0" w:space="0" w:color="auto"/>
        <w:bottom w:val="none" w:sz="0" w:space="0" w:color="auto"/>
        <w:right w:val="none" w:sz="0" w:space="0" w:color="auto"/>
      </w:divBdr>
    </w:div>
    <w:div w:id="1022169022">
      <w:bodyDiv w:val="1"/>
      <w:marLeft w:val="0"/>
      <w:marRight w:val="0"/>
      <w:marTop w:val="0"/>
      <w:marBottom w:val="0"/>
      <w:divBdr>
        <w:top w:val="none" w:sz="0" w:space="0" w:color="auto"/>
        <w:left w:val="none" w:sz="0" w:space="0" w:color="auto"/>
        <w:bottom w:val="none" w:sz="0" w:space="0" w:color="auto"/>
        <w:right w:val="none" w:sz="0" w:space="0" w:color="auto"/>
      </w:divBdr>
    </w:div>
    <w:div w:id="1028141161">
      <w:bodyDiv w:val="1"/>
      <w:marLeft w:val="0"/>
      <w:marRight w:val="0"/>
      <w:marTop w:val="0"/>
      <w:marBottom w:val="0"/>
      <w:divBdr>
        <w:top w:val="none" w:sz="0" w:space="0" w:color="auto"/>
        <w:left w:val="none" w:sz="0" w:space="0" w:color="auto"/>
        <w:bottom w:val="none" w:sz="0" w:space="0" w:color="auto"/>
        <w:right w:val="none" w:sz="0" w:space="0" w:color="auto"/>
      </w:divBdr>
    </w:div>
    <w:div w:id="1203909603">
      <w:bodyDiv w:val="1"/>
      <w:marLeft w:val="0"/>
      <w:marRight w:val="0"/>
      <w:marTop w:val="0"/>
      <w:marBottom w:val="0"/>
      <w:divBdr>
        <w:top w:val="none" w:sz="0" w:space="0" w:color="auto"/>
        <w:left w:val="none" w:sz="0" w:space="0" w:color="auto"/>
        <w:bottom w:val="none" w:sz="0" w:space="0" w:color="auto"/>
        <w:right w:val="none" w:sz="0" w:space="0" w:color="auto"/>
      </w:divBdr>
    </w:div>
    <w:div w:id="1280382007">
      <w:bodyDiv w:val="1"/>
      <w:marLeft w:val="0"/>
      <w:marRight w:val="0"/>
      <w:marTop w:val="0"/>
      <w:marBottom w:val="0"/>
      <w:divBdr>
        <w:top w:val="none" w:sz="0" w:space="0" w:color="auto"/>
        <w:left w:val="none" w:sz="0" w:space="0" w:color="auto"/>
        <w:bottom w:val="none" w:sz="0" w:space="0" w:color="auto"/>
        <w:right w:val="none" w:sz="0" w:space="0" w:color="auto"/>
      </w:divBdr>
    </w:div>
    <w:div w:id="1423601644">
      <w:bodyDiv w:val="1"/>
      <w:marLeft w:val="0"/>
      <w:marRight w:val="0"/>
      <w:marTop w:val="0"/>
      <w:marBottom w:val="0"/>
      <w:divBdr>
        <w:top w:val="none" w:sz="0" w:space="0" w:color="auto"/>
        <w:left w:val="none" w:sz="0" w:space="0" w:color="auto"/>
        <w:bottom w:val="none" w:sz="0" w:space="0" w:color="auto"/>
        <w:right w:val="none" w:sz="0" w:space="0" w:color="auto"/>
      </w:divBdr>
    </w:div>
    <w:div w:id="1486893807">
      <w:bodyDiv w:val="1"/>
      <w:marLeft w:val="0"/>
      <w:marRight w:val="0"/>
      <w:marTop w:val="0"/>
      <w:marBottom w:val="0"/>
      <w:divBdr>
        <w:top w:val="none" w:sz="0" w:space="0" w:color="auto"/>
        <w:left w:val="none" w:sz="0" w:space="0" w:color="auto"/>
        <w:bottom w:val="none" w:sz="0" w:space="0" w:color="auto"/>
        <w:right w:val="none" w:sz="0" w:space="0" w:color="auto"/>
      </w:divBdr>
    </w:div>
    <w:div w:id="1550876108">
      <w:bodyDiv w:val="1"/>
      <w:marLeft w:val="0"/>
      <w:marRight w:val="0"/>
      <w:marTop w:val="0"/>
      <w:marBottom w:val="0"/>
      <w:divBdr>
        <w:top w:val="none" w:sz="0" w:space="0" w:color="auto"/>
        <w:left w:val="none" w:sz="0" w:space="0" w:color="auto"/>
        <w:bottom w:val="none" w:sz="0" w:space="0" w:color="auto"/>
        <w:right w:val="none" w:sz="0" w:space="0" w:color="auto"/>
      </w:divBdr>
    </w:div>
    <w:div w:id="1671834717">
      <w:bodyDiv w:val="1"/>
      <w:marLeft w:val="0"/>
      <w:marRight w:val="0"/>
      <w:marTop w:val="0"/>
      <w:marBottom w:val="0"/>
      <w:divBdr>
        <w:top w:val="none" w:sz="0" w:space="0" w:color="auto"/>
        <w:left w:val="none" w:sz="0" w:space="0" w:color="auto"/>
        <w:bottom w:val="none" w:sz="0" w:space="0" w:color="auto"/>
        <w:right w:val="none" w:sz="0" w:space="0" w:color="auto"/>
      </w:divBdr>
    </w:div>
    <w:div w:id="1691375353">
      <w:bodyDiv w:val="1"/>
      <w:marLeft w:val="0"/>
      <w:marRight w:val="0"/>
      <w:marTop w:val="0"/>
      <w:marBottom w:val="0"/>
      <w:divBdr>
        <w:top w:val="none" w:sz="0" w:space="0" w:color="auto"/>
        <w:left w:val="none" w:sz="0" w:space="0" w:color="auto"/>
        <w:bottom w:val="none" w:sz="0" w:space="0" w:color="auto"/>
        <w:right w:val="none" w:sz="0" w:space="0" w:color="auto"/>
      </w:divBdr>
    </w:div>
    <w:div w:id="1807549713">
      <w:bodyDiv w:val="1"/>
      <w:marLeft w:val="0"/>
      <w:marRight w:val="0"/>
      <w:marTop w:val="0"/>
      <w:marBottom w:val="0"/>
      <w:divBdr>
        <w:top w:val="none" w:sz="0" w:space="0" w:color="auto"/>
        <w:left w:val="none" w:sz="0" w:space="0" w:color="auto"/>
        <w:bottom w:val="none" w:sz="0" w:space="0" w:color="auto"/>
        <w:right w:val="none" w:sz="0" w:space="0" w:color="auto"/>
      </w:divBdr>
    </w:div>
    <w:div w:id="196168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okla.com/speedtest-intelligence" TargetMode="External"/><Relationship Id="rId18" Type="http://schemas.openxmlformats.org/officeDocument/2006/relationships/fontTable" Target="fontTable.xml"/><Relationship Id="rId3" Type="http://schemas.openxmlformats.org/officeDocument/2006/relationships/styles" Target="styles.xml"/><Relationship Id="rId47"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blog.pitchbook.com/wp-content/uploads/2014/06/3Q-2014-PE-Breakdown-Methodology.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eidenranking.com/methodology" TargetMode="External"/><Relationship Id="rId5" Type="http://schemas.openxmlformats.org/officeDocument/2006/relationships/settings" Target="settings.xml"/><Relationship Id="rId15" Type="http://schemas.openxmlformats.org/officeDocument/2006/relationships/hyperlink" Target="http://www.fdimarkets.com/faqs/" TargetMode="External"/><Relationship Id="rId10" Type="http://schemas.openxmlformats.org/officeDocument/2006/relationships/hyperlink" Target="http://www.oecd.org/sti/inno/40794372.pdf"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www.brookings.edu/~/media/research/files/reports/2012/10/25-global-aviation/25-global-aviation.pdf" TargetMode="External"/></Relationships>
</file>

<file path=word/_rels/endnotes.xml.rels><?xml version="1.0" encoding="UTF-8" standalone="yes"?>
<Relationships xmlns="http://schemas.openxmlformats.org/package/2006/relationships"><Relationship Id="rId8" Type="http://schemas.openxmlformats.org/officeDocument/2006/relationships/hyperlink" Target="http://www.fhfa.gov/DataTools/Downloads/Pages/House-Price-Index-Datasets.aspx" TargetMode="External"/><Relationship Id="rId13" Type="http://schemas.openxmlformats.org/officeDocument/2006/relationships/hyperlink" Target="http://www.oecd.org/pisa/keyfindings/pisa-2012-results-overview.pdf" TargetMode="External"/><Relationship Id="rId3" Type="http://schemas.openxmlformats.org/officeDocument/2006/relationships/hyperlink" Target="https://www.oecd.org/inclusive-growth/Inclusive%20Growth%20in%20Cities_Flyer_ENG.pdf" TargetMode="External"/><Relationship Id="rId7" Type="http://schemas.openxmlformats.org/officeDocument/2006/relationships/hyperlink" Target="https://www.brookings.edu/interactives/export-monitor-2015/" TargetMode="External"/><Relationship Id="rId12" Type="http://schemas.openxmlformats.org/officeDocument/2006/relationships/hyperlink" Target="http://www.jointips.or.kr/about_en.php" TargetMode="External"/><Relationship Id="rId17" Type="http://schemas.openxmlformats.org/officeDocument/2006/relationships/hyperlink" Target="https://developers.google.com/maps/documentation/geocoding/intro" TargetMode="External"/><Relationship Id="rId2" Type="http://schemas.openxmlformats.org/officeDocument/2006/relationships/hyperlink" Target="http://www.bls.gov/opub/mlr/2011/10/art1full.pdf" TargetMode="External"/><Relationship Id="rId16" Type="http://schemas.openxmlformats.org/officeDocument/2006/relationships/hyperlink" Target="http://www.espon.eu/main/Menu_Programme/Menu_Mission/" TargetMode="External"/><Relationship Id="rId1" Type="http://schemas.openxmlformats.org/officeDocument/2006/relationships/hyperlink" Target="http://www.voxeu.org/article/global-trade-plateaus" TargetMode="External"/><Relationship Id="rId6" Type="http://schemas.openxmlformats.org/officeDocument/2006/relationships/hyperlink" Target="http://www.bloomberg.com/Research/stocks/private/snapshot.asp?privcapid=5521940" TargetMode="External"/><Relationship Id="rId11" Type="http://schemas.openxmlformats.org/officeDocument/2006/relationships/hyperlink" Target="http://mastercardcenter.org/action/building-inclusive-innovative-megacities-china/" TargetMode="External"/><Relationship Id="rId5" Type="http://schemas.openxmlformats.org/officeDocument/2006/relationships/hyperlink" Target="http://www.doingbusiness.org/rankings" TargetMode="External"/><Relationship Id="rId15" Type="http://schemas.openxmlformats.org/officeDocument/2006/relationships/hyperlink" Target="https://www.brookings.edu/global-cities-initiative-the-exchange/" TargetMode="External"/><Relationship Id="rId10" Type="http://schemas.openxmlformats.org/officeDocument/2006/relationships/hyperlink" Target="http://www.economist.com/blogs/graphicdetail/2016/03/daily-chart-4" TargetMode="External"/><Relationship Id="rId4" Type="http://schemas.openxmlformats.org/officeDocument/2006/relationships/hyperlink" Target="http://www.lboro.ac.uk/gawc/" TargetMode="External"/><Relationship Id="rId9" Type="http://schemas.openxmlformats.org/officeDocument/2006/relationships/hyperlink" Target="http://gotogrow.london/" TargetMode="External"/><Relationship Id="rId14" Type="http://schemas.openxmlformats.org/officeDocument/2006/relationships/hyperlink" Target="https://www.whitehouse.gov/sites/default/files/page/files/20151120_barriers_shared_growth_land_use_regulation_and_economic_ren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F0BB3-4AAF-4F9F-850C-56B7A6C4A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16609</Words>
  <Characters>94674</Characters>
  <Application>Microsoft Office Word</Application>
  <DocSecurity>0</DocSecurity>
  <Lines>788</Lines>
  <Paragraphs>222</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111061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 Trujillo</dc:creator>
  <cp:lastModifiedBy>Jesus Trujillo</cp:lastModifiedBy>
  <cp:revision>2</cp:revision>
  <cp:lastPrinted>2016-07-30T14:50:00Z</cp:lastPrinted>
  <dcterms:created xsi:type="dcterms:W3CDTF">2016-08-23T22:17:00Z</dcterms:created>
  <dcterms:modified xsi:type="dcterms:W3CDTF">2016-08-23T22:17:00Z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-2106773447</vt:i4>
  </property>
  <property fmtid="{D5CDD505-2E9C-101B-9397-08002B2CF9AE}" pid="3" name="_NewReviewCycle">
    <vt:lpwstr/>
  </property>
  <property fmtid="{D5CDD505-2E9C-101B-9397-08002B2CF9AE}" pid="4" name="_EmailSubject">
    <vt:lpwstr>Working from around 8-12 </vt:lpwstr>
  </property>
  <property fmtid="{D5CDD505-2E9C-101B-9397-08002B2CF9AE}" pid="5" name="_AuthorEmail">
    <vt:lpwstr>JTrujillo@brookings.edu</vt:lpwstr>
  </property>
  <property fmtid="{D5CDD505-2E9C-101B-9397-08002B2CF9AE}" pid="6" name="_AuthorEmailDisplayName">
    <vt:lpwstr>Jesus Trujillo</vt:lpwstr>
  </property>
  <property fmtid="{D5CDD505-2E9C-101B-9397-08002B2CF9AE}" pid="7" name="_PreviousAdHocReviewCycleID">
    <vt:i4>-606243592</vt:i4>
  </property>
  <property fmtid="{D5CDD505-2E9C-101B-9397-08002B2CF9AE}" pid="8" name="_ReviewingToolsShownOnce">
    <vt:lpwstr/>
  </property>
</Properties>
</file>