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DC" w:rsidRPr="007D0000" w:rsidRDefault="00341BDC" w:rsidP="00162729">
      <w:pPr>
        <w:spacing w:line="276" w:lineRule="auto"/>
        <w:jc w:val="center"/>
        <w:outlineLvl w:val="0"/>
        <w:rPr>
          <w:rFonts w:ascii="Calibri Light" w:hAnsi="Calibri Light"/>
          <w:color w:val="1F497D"/>
          <w:sz w:val="28"/>
        </w:rPr>
      </w:pPr>
      <w:r w:rsidRPr="007D0000">
        <w:rPr>
          <w:rFonts w:ascii="Calibri Light" w:hAnsi="Calibri Light"/>
          <w:noProof/>
          <w:color w:val="1F497D"/>
          <w:sz w:val="28"/>
        </w:rPr>
        <w:drawing>
          <wp:anchor distT="0" distB="0" distL="114300" distR="114300" simplePos="0" relativeHeight="251659264" behindDoc="1" locked="0" layoutInCell="1" allowOverlap="1" wp14:anchorId="39E6FC9F" wp14:editId="6D7631A8">
            <wp:simplePos x="0" y="0"/>
            <wp:positionH relativeFrom="column">
              <wp:posOffset>1443990</wp:posOffset>
            </wp:positionH>
            <wp:positionV relativeFrom="paragraph">
              <wp:posOffset>-468961</wp:posOffset>
            </wp:positionV>
            <wp:extent cx="3092285" cy="771896"/>
            <wp:effectExtent l="0" t="0" r="0" b="9525"/>
            <wp:wrapNone/>
            <wp:docPr id="3" name="Picture 0" descr="GCI Logo w_tag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I Logo w_tagline.JPG"/>
                    <pic:cNvPicPr/>
                  </pic:nvPicPr>
                  <pic:blipFill>
                    <a:blip r:embed="rId8" cstate="print"/>
                    <a:srcRect t="12686" b="26866"/>
                    <a:stretch>
                      <a:fillRect/>
                    </a:stretch>
                  </pic:blipFill>
                  <pic:spPr>
                    <a:xfrm>
                      <a:off x="0" y="0"/>
                      <a:ext cx="3092285" cy="77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8B2" w:rsidRDefault="00AB18B2" w:rsidP="00AB18B2">
      <w:pPr>
        <w:spacing w:line="276" w:lineRule="auto"/>
        <w:jc w:val="center"/>
        <w:outlineLvl w:val="0"/>
        <w:rPr>
          <w:rFonts w:ascii="Calibri Light" w:hAnsi="Calibri Light"/>
          <w:b/>
          <w:bCs/>
          <w:color w:val="1F497D"/>
          <w:sz w:val="28"/>
        </w:rPr>
      </w:pPr>
    </w:p>
    <w:p w:rsidR="00341BDC" w:rsidRPr="007D0000" w:rsidRDefault="00785ECF" w:rsidP="00E4343F">
      <w:pPr>
        <w:jc w:val="center"/>
        <w:outlineLvl w:val="0"/>
        <w:rPr>
          <w:rFonts w:ascii="Calibri Light" w:hAnsi="Calibri Light"/>
          <w:b/>
          <w:bCs/>
          <w:color w:val="1F497D"/>
          <w:sz w:val="28"/>
        </w:rPr>
      </w:pPr>
      <w:r w:rsidRPr="00785ECF">
        <w:rPr>
          <w:rFonts w:ascii="Calibri Light" w:hAnsi="Calibri Light"/>
          <w:b/>
          <w:bCs/>
          <w:color w:val="1F497D"/>
          <w:sz w:val="28"/>
        </w:rPr>
        <w:t>Metro Competitiveness in the Global Economy</w:t>
      </w:r>
    </w:p>
    <w:p w:rsidR="00341BDC" w:rsidRPr="007D0000" w:rsidRDefault="00785ECF" w:rsidP="00785ECF">
      <w:pPr>
        <w:jc w:val="center"/>
        <w:outlineLvl w:val="0"/>
        <w:rPr>
          <w:rFonts w:ascii="Calibri Light" w:hAnsi="Calibri Light"/>
          <w:b/>
          <w:bCs/>
          <w:i/>
          <w:color w:val="1F497D"/>
        </w:rPr>
      </w:pPr>
      <w:r>
        <w:rPr>
          <w:rFonts w:ascii="Calibri Light" w:hAnsi="Calibri Light"/>
          <w:b/>
          <w:bCs/>
          <w:i/>
          <w:color w:val="1F497D"/>
        </w:rPr>
        <w:t>Research Prospectus</w:t>
      </w:r>
    </w:p>
    <w:p w:rsidR="00B40242" w:rsidRPr="007D0000" w:rsidRDefault="00B40242" w:rsidP="00CA6E0F">
      <w:pPr>
        <w:pStyle w:val="Default"/>
        <w:spacing w:line="276" w:lineRule="auto"/>
        <w:jc w:val="center"/>
        <w:rPr>
          <w:rFonts w:ascii="Calibri Light" w:hAnsi="Calibri Light"/>
          <w:b/>
          <w:bCs/>
          <w:sz w:val="22"/>
          <w:szCs w:val="22"/>
        </w:rPr>
      </w:pPr>
    </w:p>
    <w:p w:rsidR="009474E3" w:rsidRPr="007D0000" w:rsidRDefault="009474E3" w:rsidP="00CA6E0F">
      <w:pPr>
        <w:rPr>
          <w:rFonts w:ascii="Calibri Light" w:hAnsi="Calibri Light"/>
          <w:b/>
        </w:rPr>
      </w:pPr>
      <w:r w:rsidRPr="007D0000">
        <w:rPr>
          <w:rFonts w:ascii="Calibri Light" w:hAnsi="Calibri Light"/>
          <w:b/>
        </w:rPr>
        <w:t>Overview</w:t>
      </w:r>
    </w:p>
    <w:p w:rsidR="008A63C1" w:rsidRDefault="008A63C1" w:rsidP="00024468">
      <w:pPr>
        <w:rPr>
          <w:rFonts w:ascii="Calibri Light" w:hAnsi="Calibri Light"/>
          <w:bCs/>
        </w:rPr>
      </w:pPr>
    </w:p>
    <w:p w:rsidR="009750B7" w:rsidRDefault="009750B7" w:rsidP="00024468">
      <w:p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 xml:space="preserve">Globalization, technological change, and demographic shifts are together reshaping the global economy. </w:t>
      </w:r>
      <w:r w:rsidRPr="009750B7">
        <w:rPr>
          <w:rFonts w:ascii="Calibri Light" w:hAnsi="Calibri Light"/>
          <w:bCs/>
        </w:rPr>
        <w:t xml:space="preserve">Cities are on the frontlines of all of these </w:t>
      </w:r>
      <w:r>
        <w:rPr>
          <w:rFonts w:ascii="Calibri Light" w:hAnsi="Calibri Light"/>
          <w:bCs/>
        </w:rPr>
        <w:t>forces</w:t>
      </w:r>
      <w:r w:rsidRPr="009750B7">
        <w:rPr>
          <w:rFonts w:ascii="Calibri Light" w:hAnsi="Calibri Light"/>
          <w:bCs/>
        </w:rPr>
        <w:t>, creating bo</w:t>
      </w:r>
      <w:r>
        <w:rPr>
          <w:rFonts w:ascii="Calibri Light" w:hAnsi="Calibri Light"/>
          <w:bCs/>
        </w:rPr>
        <w:t>th challenges and opportunities, and focusing political</w:t>
      </w:r>
      <w:r w:rsidRPr="009750B7">
        <w:rPr>
          <w:rFonts w:ascii="Calibri Light" w:hAnsi="Calibri Light"/>
          <w:bCs/>
        </w:rPr>
        <w:t>, business, and civic leaders across the world on understanding and enhancing their city-regions’ economic competitiveness</w:t>
      </w:r>
      <w:r>
        <w:rPr>
          <w:rFonts w:ascii="Calibri Light" w:hAnsi="Calibri Light"/>
          <w:bCs/>
        </w:rPr>
        <w:t>. Regions are globally competitive when they can provide an environment in</w:t>
      </w:r>
      <w:r w:rsidRPr="009750B7">
        <w:rPr>
          <w:rFonts w:ascii="Calibri Light" w:hAnsi="Calibri Light"/>
          <w:bCs/>
        </w:rPr>
        <w:t xml:space="preserve"> which firms can compete successfully in the global economy while supporting high and rising living standards for local households.</w:t>
      </w:r>
      <w:r>
        <w:rPr>
          <w:rFonts w:ascii="Calibri Light" w:hAnsi="Calibri Light"/>
          <w:bCs/>
        </w:rPr>
        <w:t xml:space="preserve"> </w:t>
      </w:r>
    </w:p>
    <w:p w:rsidR="009474E3" w:rsidRPr="007D0000" w:rsidRDefault="009474E3" w:rsidP="00CA6E0F">
      <w:pPr>
        <w:rPr>
          <w:rFonts w:ascii="Calibri Light" w:hAnsi="Calibri Light"/>
          <w:b/>
        </w:rPr>
      </w:pPr>
    </w:p>
    <w:p w:rsidR="00DC586D" w:rsidRPr="007D0000" w:rsidRDefault="00DC586D" w:rsidP="00DC586D">
      <w:p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Drawing on a unique 120-metro database, t</w:t>
      </w:r>
      <w:r w:rsidRPr="007D0000">
        <w:rPr>
          <w:rFonts w:ascii="Calibri Light" w:hAnsi="Calibri Light"/>
          <w:bCs/>
        </w:rPr>
        <w:t xml:space="preserve">he Brookings Metropolitan Policy Program proposes </w:t>
      </w:r>
      <w:r>
        <w:rPr>
          <w:rFonts w:ascii="Calibri Light" w:hAnsi="Calibri Light"/>
          <w:bCs/>
        </w:rPr>
        <w:t xml:space="preserve">to release </w:t>
      </w:r>
      <w:r w:rsidRPr="007D0000">
        <w:rPr>
          <w:rFonts w:ascii="Calibri Light" w:hAnsi="Calibri Light"/>
          <w:bCs/>
        </w:rPr>
        <w:t xml:space="preserve">a </w:t>
      </w:r>
      <w:r>
        <w:rPr>
          <w:rFonts w:ascii="Calibri Light" w:hAnsi="Calibri Light"/>
          <w:bCs/>
        </w:rPr>
        <w:t>new report at the</w:t>
      </w:r>
      <w:r w:rsidRPr="007D0000">
        <w:rPr>
          <w:rFonts w:ascii="Calibri Light" w:hAnsi="Calibri Light"/>
          <w:bCs/>
        </w:rPr>
        <w:t xml:space="preserve"> Global Cities Initiative’s</w:t>
      </w:r>
      <w:r>
        <w:rPr>
          <w:rFonts w:ascii="Calibri Light" w:hAnsi="Calibri Light"/>
          <w:bCs/>
        </w:rPr>
        <w:t xml:space="preserve"> global summit in September 2016 on metropolitan competitiveness and the drivers that support it. </w:t>
      </w:r>
      <w:r w:rsidRPr="007D0000">
        <w:rPr>
          <w:rFonts w:ascii="Calibri Light" w:hAnsi="Calibri Light"/>
          <w:bCs/>
        </w:rPr>
        <w:t xml:space="preserve">The report will help city and metro leaders around the world better understand the </w:t>
      </w:r>
      <w:r>
        <w:rPr>
          <w:rFonts w:ascii="Calibri Light" w:hAnsi="Calibri Light"/>
          <w:bCs/>
        </w:rPr>
        <w:t xml:space="preserve">competitive position </w:t>
      </w:r>
      <w:r w:rsidRPr="007D0000">
        <w:rPr>
          <w:rFonts w:ascii="Calibri Light" w:hAnsi="Calibri Light"/>
          <w:bCs/>
        </w:rPr>
        <w:t xml:space="preserve">of their regional economies and how those economies are performing on </w:t>
      </w:r>
      <w:r>
        <w:rPr>
          <w:rFonts w:ascii="Calibri Light" w:hAnsi="Calibri Light"/>
          <w:bCs/>
        </w:rPr>
        <w:t>multiple dimensions</w:t>
      </w:r>
      <w:r w:rsidRPr="007D0000">
        <w:rPr>
          <w:rFonts w:ascii="Calibri Light" w:hAnsi="Calibri Light"/>
          <w:bCs/>
        </w:rPr>
        <w:t xml:space="preserve">. </w:t>
      </w:r>
    </w:p>
    <w:p w:rsidR="00DC586D" w:rsidRDefault="00DC586D" w:rsidP="00CA6E0F">
      <w:pPr>
        <w:rPr>
          <w:rFonts w:ascii="Calibri Light" w:hAnsi="Calibri Light"/>
          <w:b/>
        </w:rPr>
      </w:pPr>
    </w:p>
    <w:p w:rsidR="0092168D" w:rsidRDefault="0092168D" w:rsidP="00CA6E0F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Analysis</w:t>
      </w:r>
    </w:p>
    <w:p w:rsidR="009750B7" w:rsidRDefault="009750B7" w:rsidP="00AB18B2">
      <w:pPr>
        <w:rPr>
          <w:rFonts w:ascii="Calibri Light" w:hAnsi="Calibri Light"/>
          <w:bCs/>
        </w:rPr>
      </w:pPr>
    </w:p>
    <w:p w:rsidR="009750B7" w:rsidRDefault="00DC586D" w:rsidP="00024468">
      <w:p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 xml:space="preserve">The analysis will focus on four sets of factors that matter for metropolitan competitiveness – trade, innovation, talent, and infrastructure. </w:t>
      </w:r>
      <w:r w:rsidRPr="00DC586D">
        <w:rPr>
          <w:rFonts w:ascii="Calibri Light" w:hAnsi="Calibri Light"/>
          <w:bCs/>
        </w:rPr>
        <w:t xml:space="preserve">Globally competitive traded sectors, innovation ecosystems, skilled labor </w:t>
      </w:r>
      <w:r>
        <w:rPr>
          <w:rFonts w:ascii="Calibri Light" w:hAnsi="Calibri Light"/>
          <w:bCs/>
        </w:rPr>
        <w:t xml:space="preserve">are the fundamental drivers of productivity, employment, and income growth. Well-connected </w:t>
      </w:r>
      <w:r w:rsidRPr="00DC586D">
        <w:rPr>
          <w:rFonts w:ascii="Calibri Light" w:hAnsi="Calibri Light"/>
          <w:bCs/>
        </w:rPr>
        <w:t>infrastructure</w:t>
      </w:r>
      <w:r>
        <w:rPr>
          <w:rFonts w:ascii="Calibri Light" w:hAnsi="Calibri Light"/>
          <w:bCs/>
        </w:rPr>
        <w:t xml:space="preserve"> enables people and firms to access the global marketplace. </w:t>
      </w:r>
      <w:r w:rsidR="009750B7">
        <w:rPr>
          <w:rFonts w:ascii="Calibri Light" w:hAnsi="Calibri Light"/>
          <w:bCs/>
        </w:rPr>
        <w:t xml:space="preserve">The report will </w:t>
      </w:r>
      <w:r w:rsidR="00AB18B2">
        <w:rPr>
          <w:rFonts w:ascii="Calibri Light" w:hAnsi="Calibri Light"/>
          <w:bCs/>
        </w:rPr>
        <w:t xml:space="preserve">introduce a global cities typology that groups metro areas with their relevant international peers based </w:t>
      </w:r>
      <w:r w:rsidR="009750B7">
        <w:rPr>
          <w:rFonts w:ascii="Calibri Light" w:hAnsi="Calibri Light"/>
          <w:bCs/>
        </w:rPr>
        <w:t xml:space="preserve">on their </w:t>
      </w:r>
      <w:r w:rsidR="009B4404">
        <w:rPr>
          <w:rFonts w:ascii="Calibri Light" w:hAnsi="Calibri Light"/>
          <w:bCs/>
        </w:rPr>
        <w:t xml:space="preserve">economic size, wealth, industrial structure, and the following </w:t>
      </w:r>
      <w:r w:rsidR="009750B7">
        <w:rPr>
          <w:rFonts w:ascii="Calibri Light" w:hAnsi="Calibri Light"/>
          <w:bCs/>
        </w:rPr>
        <w:t>competitiveness factors:</w:t>
      </w:r>
    </w:p>
    <w:p w:rsidR="009750B7" w:rsidRDefault="009750B7" w:rsidP="00024468">
      <w:pPr>
        <w:rPr>
          <w:rFonts w:ascii="Calibri Light" w:hAnsi="Calibri Light"/>
          <w:bCs/>
        </w:rPr>
      </w:pPr>
    </w:p>
    <w:p w:rsidR="009750B7" w:rsidRDefault="009750B7" w:rsidP="009750B7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 xml:space="preserve">Trade: traded sector share of output; </w:t>
      </w:r>
      <w:r w:rsidR="00A91297">
        <w:rPr>
          <w:rFonts w:ascii="Calibri Light" w:hAnsi="Calibri Light"/>
          <w:bCs/>
        </w:rPr>
        <w:t>foreign direct investment</w:t>
      </w:r>
    </w:p>
    <w:p w:rsidR="009750B7" w:rsidRDefault="009750B7" w:rsidP="009750B7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Innovation: patenting intensity; scientific research prowess; venture capital</w:t>
      </w:r>
    </w:p>
    <w:p w:rsidR="009750B7" w:rsidRDefault="009750B7" w:rsidP="009750B7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Talent: employment to population</w:t>
      </w:r>
      <w:r w:rsidR="00A91297">
        <w:rPr>
          <w:rFonts w:ascii="Calibri Light" w:hAnsi="Calibri Light"/>
          <w:bCs/>
        </w:rPr>
        <w:t xml:space="preserve"> ratio; educational attainment</w:t>
      </w:r>
    </w:p>
    <w:p w:rsidR="009750B7" w:rsidRDefault="009750B7" w:rsidP="009750B7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I</w:t>
      </w:r>
      <w:r w:rsidRPr="009750B7">
        <w:rPr>
          <w:rFonts w:ascii="Calibri Light" w:hAnsi="Calibri Light"/>
          <w:bCs/>
        </w:rPr>
        <w:t>nfrastructure</w:t>
      </w:r>
      <w:r>
        <w:rPr>
          <w:rFonts w:ascii="Calibri Light" w:hAnsi="Calibri Light"/>
          <w:bCs/>
        </w:rPr>
        <w:t xml:space="preserve">: </w:t>
      </w:r>
      <w:r w:rsidR="009B4404">
        <w:rPr>
          <w:rFonts w:ascii="Calibri Light" w:hAnsi="Calibri Light"/>
          <w:bCs/>
        </w:rPr>
        <w:t>global aviation connectivity; broadband speed</w:t>
      </w:r>
    </w:p>
    <w:p w:rsidR="009B4404" w:rsidRDefault="009B4404" w:rsidP="009750B7">
      <w:pPr>
        <w:rPr>
          <w:rFonts w:ascii="Calibri Light" w:hAnsi="Calibri Light"/>
          <w:bCs/>
        </w:rPr>
      </w:pPr>
    </w:p>
    <w:p w:rsidR="00CA6E0F" w:rsidRDefault="00AB18B2" w:rsidP="00024468">
      <w:pPr>
        <w:rPr>
          <w:rFonts w:ascii="Calibri Light" w:hAnsi="Calibri Light"/>
          <w:bCs/>
        </w:rPr>
      </w:pPr>
      <w:r w:rsidRPr="009750B7">
        <w:rPr>
          <w:rFonts w:ascii="Calibri Light" w:hAnsi="Calibri Light"/>
          <w:bCs/>
        </w:rPr>
        <w:t xml:space="preserve">This exercise provides the field with a new way to classify the world’s varied urban economic landscape and local leaders with a </w:t>
      </w:r>
      <w:r w:rsidR="00024468" w:rsidRPr="009750B7">
        <w:rPr>
          <w:rFonts w:ascii="Calibri Light" w:hAnsi="Calibri Light"/>
          <w:bCs/>
        </w:rPr>
        <w:t>novel</w:t>
      </w:r>
      <w:r w:rsidRPr="009750B7">
        <w:rPr>
          <w:rFonts w:ascii="Calibri Light" w:hAnsi="Calibri Light"/>
          <w:bCs/>
        </w:rPr>
        <w:t xml:space="preserve"> lens to benchmark their performance relative to useful comparators. </w:t>
      </w:r>
      <w:r w:rsidR="00CA6E0F">
        <w:rPr>
          <w:rFonts w:ascii="Calibri Light" w:hAnsi="Calibri Light"/>
          <w:bCs/>
        </w:rPr>
        <w:t xml:space="preserve">The report also provides an ideal platform to summarize our insights about the economic “state of play” in global cities. </w:t>
      </w:r>
      <w:r w:rsidR="0053279D">
        <w:rPr>
          <w:rFonts w:ascii="Calibri Light" w:hAnsi="Calibri Light"/>
          <w:bCs/>
        </w:rPr>
        <w:t>To complement the quantitative analytics, it</w:t>
      </w:r>
      <w:r w:rsidR="00CA6E0F">
        <w:rPr>
          <w:rFonts w:ascii="Calibri Light" w:hAnsi="Calibri Light"/>
          <w:bCs/>
        </w:rPr>
        <w:t xml:space="preserve"> would draw upon our lessons from the deeper analyses in the individual profile sites, and </w:t>
      </w:r>
      <w:r w:rsidR="00024468">
        <w:rPr>
          <w:rFonts w:ascii="Calibri Light" w:hAnsi="Calibri Light"/>
          <w:bCs/>
        </w:rPr>
        <w:t xml:space="preserve">signal to local leaders </w:t>
      </w:r>
      <w:r w:rsidR="00CA6E0F">
        <w:rPr>
          <w:rFonts w:ascii="Calibri Light" w:hAnsi="Calibri Light"/>
          <w:bCs/>
        </w:rPr>
        <w:t>how these data can be used to perform metro-specific benchmarking exercises</w:t>
      </w:r>
      <w:r w:rsidR="0053279D">
        <w:rPr>
          <w:rFonts w:ascii="Calibri Light" w:hAnsi="Calibri Light"/>
          <w:bCs/>
        </w:rPr>
        <w:t xml:space="preserve"> and inform the development of regional economic strategies.</w:t>
      </w:r>
    </w:p>
    <w:p w:rsidR="00CA6E0F" w:rsidRPr="00CA6E0F" w:rsidRDefault="00CA6E0F" w:rsidP="00CA6E0F">
      <w:p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 xml:space="preserve"> </w:t>
      </w:r>
    </w:p>
    <w:p w:rsidR="007E417F" w:rsidRDefault="007E417F" w:rsidP="00CA6E0F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Deliverables</w:t>
      </w:r>
    </w:p>
    <w:p w:rsidR="007E417F" w:rsidRPr="007E417F" w:rsidRDefault="007E417F" w:rsidP="00CA6E0F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  <w:b/>
        </w:rPr>
      </w:pPr>
      <w:r>
        <w:rPr>
          <w:rFonts w:ascii="Calibri Light" w:hAnsi="Calibri Light"/>
          <w:bCs/>
        </w:rPr>
        <w:t>A glossy report including graphics, maps, and tables that provides an overview of findings</w:t>
      </w:r>
    </w:p>
    <w:p w:rsidR="007E417F" w:rsidRPr="007E417F" w:rsidRDefault="007E417F" w:rsidP="00CA6E0F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/>
          <w:b/>
        </w:rPr>
      </w:pPr>
      <w:r>
        <w:rPr>
          <w:rFonts w:ascii="Calibri Light" w:hAnsi="Calibri Light"/>
          <w:bCs/>
        </w:rPr>
        <w:t>An interactive web feature that provides metro-specific data and trends</w:t>
      </w:r>
    </w:p>
    <w:sectPr w:rsidR="007E417F" w:rsidRPr="007E417F" w:rsidSect="00C2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7ED" w:rsidRDefault="003527ED" w:rsidP="00243C86">
      <w:r>
        <w:separator/>
      </w:r>
    </w:p>
  </w:endnote>
  <w:endnote w:type="continuationSeparator" w:id="0">
    <w:p w:rsidR="003527ED" w:rsidRDefault="003527ED" w:rsidP="0024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7ED" w:rsidRDefault="003527ED" w:rsidP="00243C86">
      <w:r>
        <w:separator/>
      </w:r>
    </w:p>
  </w:footnote>
  <w:footnote w:type="continuationSeparator" w:id="0">
    <w:p w:rsidR="003527ED" w:rsidRDefault="003527ED" w:rsidP="0024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3149"/>
    <w:multiLevelType w:val="hybridMultilevel"/>
    <w:tmpl w:val="EC74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11BF"/>
    <w:multiLevelType w:val="hybridMultilevel"/>
    <w:tmpl w:val="00B0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B0FC0"/>
    <w:multiLevelType w:val="hybridMultilevel"/>
    <w:tmpl w:val="DC64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6402E"/>
    <w:multiLevelType w:val="hybridMultilevel"/>
    <w:tmpl w:val="F5E63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32FD"/>
    <w:multiLevelType w:val="hybridMultilevel"/>
    <w:tmpl w:val="138E6E98"/>
    <w:lvl w:ilvl="0" w:tplc="9B50FAE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223"/>
    <w:multiLevelType w:val="hybridMultilevel"/>
    <w:tmpl w:val="F1C6F2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9D8087A"/>
    <w:multiLevelType w:val="hybridMultilevel"/>
    <w:tmpl w:val="10F4C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08F7"/>
    <w:multiLevelType w:val="hybridMultilevel"/>
    <w:tmpl w:val="30744722"/>
    <w:lvl w:ilvl="0" w:tplc="3DEE2E4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AD"/>
    <w:rsid w:val="00024468"/>
    <w:rsid w:val="0002772C"/>
    <w:rsid w:val="000922F1"/>
    <w:rsid w:val="000A29F1"/>
    <w:rsid w:val="000B566B"/>
    <w:rsid w:val="000E59B2"/>
    <w:rsid w:val="00115377"/>
    <w:rsid w:val="00115AAE"/>
    <w:rsid w:val="001344E6"/>
    <w:rsid w:val="00151EF0"/>
    <w:rsid w:val="00162729"/>
    <w:rsid w:val="001D09C4"/>
    <w:rsid w:val="001D1C47"/>
    <w:rsid w:val="00211C6F"/>
    <w:rsid w:val="00223EA3"/>
    <w:rsid w:val="00243C86"/>
    <w:rsid w:val="002C5ABB"/>
    <w:rsid w:val="00313245"/>
    <w:rsid w:val="00340D3C"/>
    <w:rsid w:val="00341BDC"/>
    <w:rsid w:val="003527ED"/>
    <w:rsid w:val="00353C57"/>
    <w:rsid w:val="003B3A7D"/>
    <w:rsid w:val="00404627"/>
    <w:rsid w:val="00412DF1"/>
    <w:rsid w:val="004A4092"/>
    <w:rsid w:val="004B0241"/>
    <w:rsid w:val="0053279D"/>
    <w:rsid w:val="0056507E"/>
    <w:rsid w:val="00592DE7"/>
    <w:rsid w:val="00593BD8"/>
    <w:rsid w:val="00652921"/>
    <w:rsid w:val="00654044"/>
    <w:rsid w:val="006836BB"/>
    <w:rsid w:val="006A6053"/>
    <w:rsid w:val="006E5458"/>
    <w:rsid w:val="00725892"/>
    <w:rsid w:val="00751A27"/>
    <w:rsid w:val="00785ECF"/>
    <w:rsid w:val="007C4E7A"/>
    <w:rsid w:val="007D0000"/>
    <w:rsid w:val="007E2E9B"/>
    <w:rsid w:val="007E417F"/>
    <w:rsid w:val="00832388"/>
    <w:rsid w:val="00861DE0"/>
    <w:rsid w:val="008655BF"/>
    <w:rsid w:val="008A63C1"/>
    <w:rsid w:val="0092168D"/>
    <w:rsid w:val="009474E3"/>
    <w:rsid w:val="009750B7"/>
    <w:rsid w:val="009975E8"/>
    <w:rsid w:val="009B4404"/>
    <w:rsid w:val="009B52DA"/>
    <w:rsid w:val="009B7199"/>
    <w:rsid w:val="009E62AB"/>
    <w:rsid w:val="00A21737"/>
    <w:rsid w:val="00A26DCA"/>
    <w:rsid w:val="00A46AEF"/>
    <w:rsid w:val="00A80455"/>
    <w:rsid w:val="00A91297"/>
    <w:rsid w:val="00AA51C3"/>
    <w:rsid w:val="00AB18B2"/>
    <w:rsid w:val="00AB35AD"/>
    <w:rsid w:val="00AE78AD"/>
    <w:rsid w:val="00AF10AB"/>
    <w:rsid w:val="00B2018A"/>
    <w:rsid w:val="00B22EA8"/>
    <w:rsid w:val="00B40242"/>
    <w:rsid w:val="00B9176D"/>
    <w:rsid w:val="00BA1DE5"/>
    <w:rsid w:val="00C25B5E"/>
    <w:rsid w:val="00CA475C"/>
    <w:rsid w:val="00CA6E0F"/>
    <w:rsid w:val="00CB0A5A"/>
    <w:rsid w:val="00CE1633"/>
    <w:rsid w:val="00CE5420"/>
    <w:rsid w:val="00D11EEC"/>
    <w:rsid w:val="00D359A8"/>
    <w:rsid w:val="00D43FC6"/>
    <w:rsid w:val="00DC586D"/>
    <w:rsid w:val="00DC58EB"/>
    <w:rsid w:val="00DE2C70"/>
    <w:rsid w:val="00DE6E87"/>
    <w:rsid w:val="00E4343F"/>
    <w:rsid w:val="00E55DED"/>
    <w:rsid w:val="00E61F1E"/>
    <w:rsid w:val="00E70582"/>
    <w:rsid w:val="00E81E52"/>
    <w:rsid w:val="00E85F76"/>
    <w:rsid w:val="00EB510A"/>
    <w:rsid w:val="00EE0875"/>
    <w:rsid w:val="00EE4525"/>
    <w:rsid w:val="00F104B7"/>
    <w:rsid w:val="00F56B91"/>
    <w:rsid w:val="00F74772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DE33"/>
  <w15:docId w15:val="{6F9AC13F-3312-4575-AB43-7FAF0A55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F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33"/>
    <w:pPr>
      <w:spacing w:after="200" w:line="276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836BB"/>
    <w:rPr>
      <w:color w:val="0000FF" w:themeColor="hyperlink"/>
      <w:u w:val="single"/>
    </w:rPr>
  </w:style>
  <w:style w:type="paragraph" w:customStyle="1" w:styleId="Default">
    <w:name w:val="Default"/>
    <w:rsid w:val="006836B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3C8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C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3C8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3C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3C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3C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31F90-0F7B-4974-A1B6-CC3967A8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cnadeau</dc:creator>
  <cp:lastModifiedBy>Joseph Parilla</cp:lastModifiedBy>
  <cp:revision>2</cp:revision>
  <dcterms:created xsi:type="dcterms:W3CDTF">2016-06-06T15:58:00Z</dcterms:created>
  <dcterms:modified xsi:type="dcterms:W3CDTF">2016-06-06T15:58:00Z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