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AF262" w14:textId="0FBCF193" w:rsidR="005D4FC3" w:rsidRDefault="005D4FC3">
      <w:pPr>
        <w:rPr>
          <w:b/>
          <w:sz w:val="24"/>
          <w:szCs w:val="24"/>
        </w:rPr>
      </w:pPr>
    </w:p>
    <w:p w14:paraId="30218F8A" w14:textId="77777777" w:rsidR="00CE7931" w:rsidRDefault="00CE7931" w:rsidP="00FE257C">
      <w:pPr>
        <w:rPr>
          <w:b/>
          <w:sz w:val="44"/>
          <w:szCs w:val="44"/>
        </w:rPr>
      </w:pPr>
    </w:p>
    <w:p w14:paraId="128C773B" w14:textId="77777777" w:rsidR="00FE257C" w:rsidRPr="00F13E53" w:rsidRDefault="00FE257C" w:rsidP="00FE257C">
      <w:pPr>
        <w:rPr>
          <w:b/>
          <w:sz w:val="48"/>
          <w:szCs w:val="48"/>
        </w:rPr>
      </w:pPr>
      <w:r w:rsidRPr="00F13E53">
        <w:rPr>
          <w:b/>
          <w:sz w:val="48"/>
          <w:szCs w:val="48"/>
        </w:rPr>
        <w:t xml:space="preserve">The State </w:t>
      </w:r>
      <w:bookmarkStart w:id="0" w:name="_GoBack"/>
      <w:bookmarkEnd w:id="0"/>
      <w:r w:rsidRPr="00F13E53">
        <w:rPr>
          <w:b/>
          <w:sz w:val="48"/>
          <w:szCs w:val="48"/>
        </w:rPr>
        <w:t>of the Heartland</w:t>
      </w:r>
      <w:r w:rsidR="00531CAE" w:rsidRPr="00F13E53">
        <w:rPr>
          <w:b/>
          <w:sz w:val="48"/>
          <w:szCs w:val="48"/>
        </w:rPr>
        <w:t>: Indicators</w:t>
      </w:r>
    </w:p>
    <w:p w14:paraId="31C6BA99" w14:textId="7C02123A" w:rsidR="000C5C89" w:rsidRDefault="000C5C89" w:rsidP="00FE257C">
      <w:pPr>
        <w:rPr>
          <w:sz w:val="28"/>
          <w:szCs w:val="28"/>
        </w:rPr>
      </w:pPr>
      <w:r>
        <w:rPr>
          <w:sz w:val="28"/>
          <w:szCs w:val="28"/>
        </w:rPr>
        <w:t xml:space="preserve">What goes into the </w:t>
      </w:r>
      <w:r w:rsidR="009953FB">
        <w:rPr>
          <w:sz w:val="28"/>
          <w:szCs w:val="28"/>
        </w:rPr>
        <w:t>factbook</w:t>
      </w:r>
      <w:r>
        <w:rPr>
          <w:sz w:val="28"/>
          <w:szCs w:val="28"/>
        </w:rPr>
        <w:t xml:space="preserve">?  How do we track </w:t>
      </w:r>
      <w:r w:rsidR="00266DDD">
        <w:rPr>
          <w:sz w:val="28"/>
          <w:szCs w:val="28"/>
        </w:rPr>
        <w:t xml:space="preserve">how the </w:t>
      </w:r>
      <w:r w:rsidR="00B9487F">
        <w:rPr>
          <w:sz w:val="28"/>
          <w:szCs w:val="28"/>
        </w:rPr>
        <w:t xml:space="preserve">Heartland </w:t>
      </w:r>
      <w:r>
        <w:rPr>
          <w:sz w:val="28"/>
          <w:szCs w:val="28"/>
        </w:rPr>
        <w:t>region is doing?</w:t>
      </w:r>
    </w:p>
    <w:p w14:paraId="71B65608" w14:textId="7B73D1D5" w:rsidR="001A2C02" w:rsidRDefault="000C5C89" w:rsidP="00FE257C">
      <w:pPr>
        <w:rPr>
          <w:sz w:val="28"/>
          <w:szCs w:val="28"/>
        </w:rPr>
      </w:pPr>
      <w:r>
        <w:rPr>
          <w:sz w:val="28"/>
          <w:szCs w:val="28"/>
        </w:rPr>
        <w:t xml:space="preserve"> “</w:t>
      </w:r>
      <w:r w:rsidR="00CE7931">
        <w:rPr>
          <w:sz w:val="28"/>
          <w:szCs w:val="28"/>
        </w:rPr>
        <w:t xml:space="preserve">The State of the Heartland </w:t>
      </w:r>
      <w:r w:rsidR="009953FB">
        <w:rPr>
          <w:sz w:val="28"/>
          <w:szCs w:val="28"/>
        </w:rPr>
        <w:t>Factbook</w:t>
      </w:r>
      <w:r>
        <w:rPr>
          <w:sz w:val="28"/>
          <w:szCs w:val="28"/>
        </w:rPr>
        <w:t>”</w:t>
      </w:r>
      <w:r w:rsidR="00CE7931">
        <w:rPr>
          <w:sz w:val="28"/>
          <w:szCs w:val="28"/>
        </w:rPr>
        <w:t xml:space="preserve"> </w:t>
      </w:r>
      <w:r w:rsidR="001A2C02">
        <w:rPr>
          <w:sz w:val="28"/>
          <w:szCs w:val="28"/>
        </w:rPr>
        <w:t xml:space="preserve">for 2018 consists of two components: a </w:t>
      </w:r>
      <w:r w:rsidR="001C3F43">
        <w:rPr>
          <w:sz w:val="28"/>
          <w:szCs w:val="28"/>
        </w:rPr>
        <w:t>group</w:t>
      </w:r>
      <w:r w:rsidR="001A2C02">
        <w:rPr>
          <w:sz w:val="28"/>
          <w:szCs w:val="28"/>
        </w:rPr>
        <w:t xml:space="preserve"> of measures tracking prosperity “Outcomes” in the region followed by an additional set of measures tracking the region’s standing on core “Drivers” of such prosperity.</w:t>
      </w:r>
    </w:p>
    <w:p w14:paraId="37AFE690" w14:textId="77777777" w:rsidR="00887433" w:rsidRDefault="00107087" w:rsidP="00BB156C">
      <w:pPr>
        <w:rPr>
          <w:sz w:val="28"/>
          <w:szCs w:val="28"/>
        </w:rPr>
      </w:pPr>
      <w:r>
        <w:rPr>
          <w:sz w:val="28"/>
          <w:szCs w:val="28"/>
        </w:rPr>
        <w:t xml:space="preserve">Along these lines, the </w:t>
      </w:r>
      <w:r w:rsidRPr="00107087">
        <w:rPr>
          <w:b/>
          <w:sz w:val="28"/>
          <w:szCs w:val="28"/>
        </w:rPr>
        <w:t>“Outcomes”</w:t>
      </w:r>
      <w:r>
        <w:rPr>
          <w:sz w:val="28"/>
          <w:szCs w:val="28"/>
        </w:rPr>
        <w:t xml:space="preserve"> section </w:t>
      </w:r>
      <w:r w:rsidR="00896B5F">
        <w:rPr>
          <w:sz w:val="28"/>
          <w:szCs w:val="28"/>
        </w:rPr>
        <w:t xml:space="preserve">first </w:t>
      </w:r>
      <w:r>
        <w:rPr>
          <w:sz w:val="28"/>
          <w:szCs w:val="28"/>
        </w:rPr>
        <w:t xml:space="preserve">assesses </w:t>
      </w:r>
      <w:r w:rsidR="00CE7931">
        <w:rPr>
          <w:sz w:val="28"/>
          <w:szCs w:val="28"/>
        </w:rPr>
        <w:t xml:space="preserve">the </w:t>
      </w:r>
      <w:r>
        <w:rPr>
          <w:sz w:val="28"/>
          <w:szCs w:val="28"/>
        </w:rPr>
        <w:t>topline prosperity</w:t>
      </w:r>
      <w:r w:rsidR="00CE7931">
        <w:rPr>
          <w:sz w:val="28"/>
          <w:szCs w:val="28"/>
        </w:rPr>
        <w:t xml:space="preserve"> of the Heartland </w:t>
      </w:r>
      <w:r w:rsidR="000C5C89">
        <w:rPr>
          <w:sz w:val="28"/>
          <w:szCs w:val="28"/>
        </w:rPr>
        <w:t>region</w:t>
      </w:r>
      <w:r w:rsidR="00925B46">
        <w:rPr>
          <w:sz w:val="28"/>
          <w:szCs w:val="28"/>
        </w:rPr>
        <w:t xml:space="preserve"> in relation to the rest of the nation</w:t>
      </w:r>
      <w:r>
        <w:rPr>
          <w:sz w:val="28"/>
          <w:szCs w:val="28"/>
        </w:rPr>
        <w:t xml:space="preserve">.  </w:t>
      </w:r>
      <w:r w:rsidR="00925B46">
        <w:rPr>
          <w:sz w:val="28"/>
          <w:szCs w:val="28"/>
        </w:rPr>
        <w:t>Following that, a longer “</w:t>
      </w:r>
      <w:r w:rsidR="00925B46" w:rsidRPr="00107087">
        <w:rPr>
          <w:b/>
          <w:sz w:val="28"/>
          <w:szCs w:val="28"/>
        </w:rPr>
        <w:t>Drivers”</w:t>
      </w:r>
      <w:r w:rsidR="00925B46">
        <w:rPr>
          <w:sz w:val="28"/>
          <w:szCs w:val="28"/>
        </w:rPr>
        <w:t xml:space="preserve"> section evaluates the</w:t>
      </w:r>
      <w:r w:rsidR="00925B46" w:rsidRPr="00896B5F">
        <w:t xml:space="preserve"> </w:t>
      </w:r>
      <w:r w:rsidR="00925B46" w:rsidRPr="00896B5F">
        <w:rPr>
          <w:sz w:val="28"/>
          <w:szCs w:val="28"/>
        </w:rPr>
        <w:t xml:space="preserve">Heartland’s stock of the assets and conditions needed </w:t>
      </w:r>
      <w:r w:rsidR="00925B46">
        <w:rPr>
          <w:sz w:val="28"/>
          <w:szCs w:val="28"/>
        </w:rPr>
        <w:t xml:space="preserve">to ensure </w:t>
      </w:r>
      <w:r w:rsidR="00925B46" w:rsidRPr="00896B5F">
        <w:rPr>
          <w:sz w:val="28"/>
          <w:szCs w:val="28"/>
        </w:rPr>
        <w:t>optimal outcomes</w:t>
      </w:r>
      <w:r w:rsidR="00925B46">
        <w:rPr>
          <w:sz w:val="28"/>
          <w:szCs w:val="28"/>
        </w:rPr>
        <w:t xml:space="preserve">.  </w:t>
      </w:r>
      <w:r w:rsidR="0069783B">
        <w:rPr>
          <w:sz w:val="28"/>
          <w:szCs w:val="28"/>
        </w:rPr>
        <w:t xml:space="preserve">This section </w:t>
      </w:r>
      <w:r w:rsidR="00A92758">
        <w:rPr>
          <w:sz w:val="28"/>
          <w:szCs w:val="28"/>
        </w:rPr>
        <w:t>at times implies priorities for future self-improvement.</w:t>
      </w:r>
      <w:r w:rsidR="00925B46">
        <w:rPr>
          <w:sz w:val="28"/>
          <w:szCs w:val="28"/>
        </w:rPr>
        <w:t xml:space="preserve"> Taken together, the two sets of indicators provide a first-of-its-kind resource for helping Heartland citizens and their leaders better understand the </w:t>
      </w:r>
      <w:r w:rsidR="00A92758">
        <w:rPr>
          <w:sz w:val="28"/>
          <w:szCs w:val="28"/>
        </w:rPr>
        <w:t xml:space="preserve">opportunities </w:t>
      </w:r>
      <w:r w:rsidR="00925B46">
        <w:rPr>
          <w:sz w:val="28"/>
          <w:szCs w:val="28"/>
        </w:rPr>
        <w:t>and challenges facing the region</w:t>
      </w:r>
      <w:r w:rsidR="00BB156C">
        <w:rPr>
          <w:sz w:val="28"/>
          <w:szCs w:val="28"/>
        </w:rPr>
        <w:t xml:space="preserve">. </w:t>
      </w:r>
    </w:p>
    <w:p w14:paraId="561222B4" w14:textId="4F878084" w:rsidR="00C14C98" w:rsidRDefault="00C14C98" w:rsidP="00887433">
      <w:pPr>
        <w:rPr>
          <w:sz w:val="28"/>
          <w:szCs w:val="28"/>
        </w:rPr>
      </w:pPr>
      <w:r>
        <w:rPr>
          <w:sz w:val="28"/>
          <w:szCs w:val="28"/>
        </w:rPr>
        <w:t>Each set of measures has been designed with an eye to self-assessment and visioning on the part of leaders and citizens in the Heartland.</w:t>
      </w:r>
    </w:p>
    <w:p w14:paraId="7FC2F493" w14:textId="21E43CB4" w:rsidR="00BB156C" w:rsidRDefault="00C14C98" w:rsidP="00BB156C">
      <w:pPr>
        <w:rPr>
          <w:sz w:val="28"/>
          <w:szCs w:val="28"/>
        </w:rPr>
      </w:pPr>
      <w:r>
        <w:rPr>
          <w:sz w:val="28"/>
          <w:szCs w:val="28"/>
        </w:rPr>
        <w:t>I</w:t>
      </w:r>
      <w:r w:rsidR="00887433">
        <w:rPr>
          <w:sz w:val="28"/>
          <w:szCs w:val="28"/>
        </w:rPr>
        <w:t xml:space="preserve">n each case, the </w:t>
      </w:r>
      <w:r w:rsidR="009953FB">
        <w:rPr>
          <w:sz w:val="28"/>
          <w:szCs w:val="28"/>
        </w:rPr>
        <w:t>factbook</w:t>
      </w:r>
      <w:r w:rsidR="00887433">
        <w:rPr>
          <w:sz w:val="28"/>
          <w:szCs w:val="28"/>
        </w:rPr>
        <w:t xml:space="preserve"> assesses how its featured indicators have changed since 2010—the trough of the recent financial crisis and recession.</w:t>
      </w:r>
      <w:r>
        <w:rPr>
          <w:sz w:val="28"/>
          <w:szCs w:val="28"/>
        </w:rPr>
        <w:t xml:space="preserve"> </w:t>
      </w:r>
      <w:r w:rsidR="00887433">
        <w:rPr>
          <w:sz w:val="28"/>
          <w:szCs w:val="28"/>
        </w:rPr>
        <w:t xml:space="preserve"> (Detailed information about the particular nature and source data for </w:t>
      </w:r>
      <w:r>
        <w:rPr>
          <w:sz w:val="28"/>
          <w:szCs w:val="28"/>
        </w:rPr>
        <w:t xml:space="preserve">each set of </w:t>
      </w:r>
      <w:r w:rsidR="00887433">
        <w:rPr>
          <w:sz w:val="28"/>
          <w:szCs w:val="28"/>
        </w:rPr>
        <w:t xml:space="preserve">metrics can be found in the </w:t>
      </w:r>
      <w:r w:rsidR="00887433" w:rsidRPr="00887433">
        <w:rPr>
          <w:sz w:val="28"/>
          <w:szCs w:val="28"/>
          <w:highlight w:val="yellow"/>
        </w:rPr>
        <w:t>Appendix on Methods and Measures).</w:t>
      </w:r>
    </w:p>
    <w:p w14:paraId="426D2C00" w14:textId="1CEB6002" w:rsidR="00BB156C" w:rsidRDefault="00BB156C" w:rsidP="00BB156C">
      <w:pPr>
        <w:rPr>
          <w:sz w:val="28"/>
          <w:szCs w:val="28"/>
        </w:rPr>
      </w:pPr>
      <w:r>
        <w:rPr>
          <w:b/>
          <w:sz w:val="40"/>
          <w:szCs w:val="40"/>
        </w:rPr>
        <w:t>Outcomes</w:t>
      </w:r>
    </w:p>
    <w:p w14:paraId="38636654" w14:textId="2DB062E8" w:rsidR="00107087" w:rsidRDefault="00BB156C" w:rsidP="00FE257C">
      <w:pPr>
        <w:rPr>
          <w:sz w:val="28"/>
          <w:szCs w:val="28"/>
        </w:rPr>
      </w:pPr>
      <w:r>
        <w:rPr>
          <w:sz w:val="28"/>
          <w:szCs w:val="28"/>
        </w:rPr>
        <w:t xml:space="preserve">The Outcomes section </w:t>
      </w:r>
      <w:r w:rsidR="00107087">
        <w:rPr>
          <w:sz w:val="28"/>
          <w:szCs w:val="28"/>
        </w:rPr>
        <w:t>employs nine core indices to benchmark the region’s economic health relative to the rest of the nation</w:t>
      </w:r>
      <w:r w:rsidR="001C3F43">
        <w:rPr>
          <w:sz w:val="28"/>
          <w:szCs w:val="28"/>
        </w:rPr>
        <w:t xml:space="preserve">.  These indices address </w:t>
      </w:r>
      <w:r w:rsidR="00CE7931">
        <w:rPr>
          <w:sz w:val="28"/>
          <w:szCs w:val="28"/>
        </w:rPr>
        <w:t xml:space="preserve">three </w:t>
      </w:r>
      <w:r w:rsidR="00266DDD">
        <w:rPr>
          <w:sz w:val="28"/>
          <w:szCs w:val="28"/>
        </w:rPr>
        <w:t>dimensions</w:t>
      </w:r>
      <w:r w:rsidR="000C5C89">
        <w:rPr>
          <w:sz w:val="28"/>
          <w:szCs w:val="28"/>
        </w:rPr>
        <w:t xml:space="preserve"> of successful</w:t>
      </w:r>
      <w:r w:rsidR="00CE7931">
        <w:rPr>
          <w:sz w:val="28"/>
          <w:szCs w:val="28"/>
        </w:rPr>
        <w:t xml:space="preserve"> economic development: </w:t>
      </w:r>
      <w:r w:rsidR="00CE7931" w:rsidRPr="00CE7931">
        <w:rPr>
          <w:b/>
          <w:sz w:val="28"/>
          <w:szCs w:val="28"/>
        </w:rPr>
        <w:t>growth</w:t>
      </w:r>
      <w:r w:rsidR="00CE7931">
        <w:rPr>
          <w:sz w:val="28"/>
          <w:szCs w:val="28"/>
        </w:rPr>
        <w:t xml:space="preserve">, </w:t>
      </w:r>
      <w:r w:rsidR="00CE7931" w:rsidRPr="00CE7931">
        <w:rPr>
          <w:b/>
          <w:sz w:val="28"/>
          <w:szCs w:val="28"/>
        </w:rPr>
        <w:t>prosperity</w:t>
      </w:r>
      <w:r w:rsidR="00CE7931">
        <w:rPr>
          <w:sz w:val="28"/>
          <w:szCs w:val="28"/>
        </w:rPr>
        <w:t xml:space="preserve">, and </w:t>
      </w:r>
      <w:r w:rsidR="00CE7931" w:rsidRPr="00CE7931">
        <w:rPr>
          <w:b/>
          <w:sz w:val="28"/>
          <w:szCs w:val="28"/>
        </w:rPr>
        <w:t>inclusion</w:t>
      </w:r>
      <w:r w:rsidR="00CE7931">
        <w:rPr>
          <w:sz w:val="28"/>
          <w:szCs w:val="28"/>
        </w:rPr>
        <w:t>.</w:t>
      </w:r>
      <w:r w:rsidR="00B9487F">
        <w:rPr>
          <w:rStyle w:val="EndnoteReference"/>
          <w:sz w:val="28"/>
          <w:szCs w:val="28"/>
        </w:rPr>
        <w:endnoteReference w:id="1"/>
      </w:r>
      <w:r w:rsidR="00896B5F">
        <w:rPr>
          <w:sz w:val="28"/>
          <w:szCs w:val="28"/>
        </w:rPr>
        <w:t xml:space="preserve"> </w:t>
      </w:r>
    </w:p>
    <w:p w14:paraId="1DEDA3AE" w14:textId="2A6A28B1" w:rsidR="001C3F43" w:rsidRDefault="00BB156C" w:rsidP="00BB156C">
      <w:pPr>
        <w:rPr>
          <w:sz w:val="28"/>
          <w:szCs w:val="28"/>
        </w:rPr>
      </w:pPr>
      <w:r>
        <w:rPr>
          <w:sz w:val="28"/>
          <w:szCs w:val="28"/>
        </w:rPr>
        <w:t>What is economic development?  Economic development is about putting the economy on a higher growth trajectory.</w:t>
      </w:r>
      <w:r>
        <w:rPr>
          <w:rStyle w:val="EndnoteReference"/>
          <w:sz w:val="28"/>
          <w:szCs w:val="28"/>
        </w:rPr>
        <w:endnoteReference w:id="2"/>
      </w:r>
      <w:r>
        <w:rPr>
          <w:sz w:val="28"/>
          <w:szCs w:val="28"/>
        </w:rPr>
        <w:t xml:space="preserve"> As such, successful economic </w:t>
      </w:r>
      <w:r>
        <w:rPr>
          <w:sz w:val="28"/>
          <w:szCs w:val="28"/>
        </w:rPr>
        <w:lastRenderedPageBreak/>
        <w:t>development boosts local fortunes by expanding the amount of growth present (</w:t>
      </w:r>
      <w:r>
        <w:rPr>
          <w:i/>
          <w:sz w:val="28"/>
          <w:szCs w:val="28"/>
        </w:rPr>
        <w:t>growth</w:t>
      </w:r>
      <w:r>
        <w:rPr>
          <w:sz w:val="28"/>
          <w:szCs w:val="28"/>
        </w:rPr>
        <w:t xml:space="preserve">); improving its quality through productivity gains and entrepreneurship that improve the standard of living </w:t>
      </w:r>
      <w:r>
        <w:rPr>
          <w:i/>
          <w:sz w:val="28"/>
          <w:szCs w:val="28"/>
        </w:rPr>
        <w:t>(prosperity</w:t>
      </w:r>
      <w:r>
        <w:rPr>
          <w:sz w:val="28"/>
          <w:szCs w:val="28"/>
        </w:rPr>
        <w:t>); and by doing that in ways that benefit all people (</w:t>
      </w:r>
      <w:r>
        <w:rPr>
          <w:i/>
          <w:sz w:val="28"/>
          <w:szCs w:val="28"/>
        </w:rPr>
        <w:t>inclusion</w:t>
      </w:r>
      <w:r>
        <w:rPr>
          <w:sz w:val="28"/>
          <w:szCs w:val="28"/>
        </w:rPr>
        <w:t xml:space="preserve">). </w:t>
      </w:r>
      <w:r w:rsidR="00AC1CAB">
        <w:rPr>
          <w:sz w:val="28"/>
          <w:szCs w:val="28"/>
        </w:rPr>
        <w:t xml:space="preserve">To </w:t>
      </w:r>
      <w:r w:rsidR="001C3F43">
        <w:rPr>
          <w:sz w:val="28"/>
          <w:szCs w:val="28"/>
        </w:rPr>
        <w:t>assess</w:t>
      </w:r>
      <w:r w:rsidR="00AC1CAB">
        <w:rPr>
          <w:sz w:val="28"/>
          <w:szCs w:val="28"/>
        </w:rPr>
        <w:t xml:space="preserve"> </w:t>
      </w:r>
      <w:r w:rsidR="001C3F43">
        <w:rPr>
          <w:sz w:val="28"/>
          <w:szCs w:val="28"/>
        </w:rPr>
        <w:t>the Heartland’s economic standing and momentum</w:t>
      </w:r>
      <w:r w:rsidR="00AC1CAB">
        <w:rPr>
          <w:sz w:val="28"/>
          <w:szCs w:val="28"/>
        </w:rPr>
        <w:t xml:space="preserve">, then, the following pages </w:t>
      </w:r>
      <w:r w:rsidR="0069783B">
        <w:rPr>
          <w:sz w:val="28"/>
          <w:szCs w:val="28"/>
        </w:rPr>
        <w:t>(</w:t>
      </w:r>
      <w:r w:rsidR="00AC1CAB">
        <w:rPr>
          <w:sz w:val="28"/>
          <w:szCs w:val="28"/>
        </w:rPr>
        <w:t xml:space="preserve">and the parallel online interactive </w:t>
      </w:r>
      <w:r w:rsidR="001C3F43">
        <w:rPr>
          <w:sz w:val="28"/>
          <w:szCs w:val="28"/>
        </w:rPr>
        <w:t>tool</w:t>
      </w:r>
      <w:r w:rsidR="0069783B">
        <w:rPr>
          <w:sz w:val="28"/>
          <w:szCs w:val="28"/>
        </w:rPr>
        <w:t>)</w:t>
      </w:r>
      <w:r w:rsidR="001C3F43">
        <w:rPr>
          <w:sz w:val="28"/>
          <w:szCs w:val="28"/>
        </w:rPr>
        <w:t xml:space="preserve"> display trend data w</w:t>
      </w:r>
      <w:r w:rsidR="00AC1CAB">
        <w:rPr>
          <w:sz w:val="28"/>
          <w:szCs w:val="28"/>
        </w:rPr>
        <w:t xml:space="preserve">ithin each of the </w:t>
      </w:r>
      <w:r w:rsidR="001C3F43">
        <w:rPr>
          <w:sz w:val="28"/>
          <w:szCs w:val="28"/>
        </w:rPr>
        <w:t>three</w:t>
      </w:r>
      <w:r w:rsidR="00AC1CAB">
        <w:rPr>
          <w:sz w:val="28"/>
          <w:szCs w:val="28"/>
        </w:rPr>
        <w:t xml:space="preserve"> categories </w:t>
      </w:r>
      <w:r w:rsidR="001C3F43">
        <w:rPr>
          <w:sz w:val="28"/>
          <w:szCs w:val="28"/>
        </w:rPr>
        <w:t>t</w:t>
      </w:r>
      <w:r w:rsidR="0069783B">
        <w:rPr>
          <w:sz w:val="28"/>
          <w:szCs w:val="28"/>
        </w:rPr>
        <w:t>hat</w:t>
      </w:r>
      <w:r w:rsidR="001C3F43">
        <w:rPr>
          <w:sz w:val="28"/>
          <w:szCs w:val="28"/>
        </w:rPr>
        <w:t xml:space="preserve"> track</w:t>
      </w:r>
      <w:r w:rsidR="00AC1CAB">
        <w:rPr>
          <w:sz w:val="28"/>
          <w:szCs w:val="28"/>
        </w:rPr>
        <w:t xml:space="preserve"> the Heartland’s progress in shaping an advanced, prosperous economy that works for everyone. </w:t>
      </w:r>
    </w:p>
    <w:p w14:paraId="7C3269BE" w14:textId="3CFE8C73" w:rsidR="00AC1CAB" w:rsidRDefault="00AC1CAB" w:rsidP="00AC1CAB">
      <w:pPr>
        <w:rPr>
          <w:b/>
          <w:sz w:val="32"/>
          <w:szCs w:val="32"/>
        </w:rPr>
      </w:pPr>
      <w:r w:rsidRPr="00FE257C">
        <w:rPr>
          <w:b/>
          <w:sz w:val="32"/>
          <w:szCs w:val="32"/>
        </w:rPr>
        <w:t>Measuring Growth</w:t>
      </w:r>
    </w:p>
    <w:p w14:paraId="350F90E4" w14:textId="164A4B22" w:rsidR="00AC1CAB" w:rsidRDefault="00AC1CAB" w:rsidP="00AC1CAB">
      <w:pPr>
        <w:rPr>
          <w:sz w:val="28"/>
          <w:szCs w:val="28"/>
        </w:rPr>
      </w:pPr>
      <w:r>
        <w:rPr>
          <w:sz w:val="28"/>
          <w:szCs w:val="28"/>
        </w:rPr>
        <w:t xml:space="preserve">The </w:t>
      </w:r>
      <w:r w:rsidR="009953FB">
        <w:rPr>
          <w:sz w:val="28"/>
          <w:szCs w:val="28"/>
        </w:rPr>
        <w:t>factbook</w:t>
      </w:r>
      <w:r>
        <w:rPr>
          <w:sz w:val="28"/>
          <w:szCs w:val="28"/>
        </w:rPr>
        <w:t xml:space="preserve">’s growth indicators measure changes in the size of the Heartland economy both in aggregate and locally, especially in states.  Growth is not everything in economic development, or even the most important thing, but it matters and brings important benefits. Growth creates new opportunities for individuals and firms; places that are growing benefit from increased tax base.  Along these lines, the </w:t>
      </w:r>
      <w:r w:rsidR="009953FB">
        <w:rPr>
          <w:sz w:val="28"/>
          <w:szCs w:val="28"/>
        </w:rPr>
        <w:t>Factbook</w:t>
      </w:r>
      <w:r>
        <w:rPr>
          <w:sz w:val="28"/>
          <w:szCs w:val="28"/>
        </w:rPr>
        <w:t xml:space="preserve"> measures the Heartland’s growth on the basis of straightforward measures of the size and growth of t</w:t>
      </w:r>
      <w:r w:rsidRPr="00811E04">
        <w:rPr>
          <w:sz w:val="28"/>
          <w:szCs w:val="28"/>
        </w:rPr>
        <w:t xml:space="preserve">he Heartland’s </w:t>
      </w:r>
      <w:r>
        <w:rPr>
          <w:sz w:val="28"/>
          <w:szCs w:val="28"/>
        </w:rPr>
        <w:t>labor market</w:t>
      </w:r>
      <w:r w:rsidRPr="00811E04">
        <w:rPr>
          <w:sz w:val="28"/>
          <w:szCs w:val="28"/>
        </w:rPr>
        <w:t>, economic output, and entrepreneurship</w:t>
      </w:r>
      <w:r>
        <w:rPr>
          <w:sz w:val="28"/>
          <w:szCs w:val="28"/>
        </w:rPr>
        <w:t>:</w:t>
      </w:r>
    </w:p>
    <w:p w14:paraId="31363FD7" w14:textId="4E342AC3" w:rsidR="00AC1CAB" w:rsidRDefault="00AC1CAB" w:rsidP="00AC1CAB">
      <w:pPr>
        <w:pStyle w:val="ListParagraph"/>
        <w:numPr>
          <w:ilvl w:val="0"/>
          <w:numId w:val="3"/>
        </w:numPr>
        <w:rPr>
          <w:sz w:val="28"/>
          <w:szCs w:val="28"/>
        </w:rPr>
      </w:pPr>
      <w:r w:rsidRPr="00A92758">
        <w:rPr>
          <w:b/>
          <w:sz w:val="28"/>
          <w:szCs w:val="28"/>
        </w:rPr>
        <w:t>Jobs</w:t>
      </w:r>
      <w:r w:rsidR="00A92758" w:rsidRPr="00A92758">
        <w:rPr>
          <w:b/>
          <w:sz w:val="28"/>
          <w:szCs w:val="28"/>
        </w:rPr>
        <w:t>.</w:t>
      </w:r>
      <w:r w:rsidR="00A92758">
        <w:rPr>
          <w:sz w:val="28"/>
          <w:szCs w:val="28"/>
        </w:rPr>
        <w:t xml:space="preserve"> Job numbers and their growth approximate the size of the economy and the level of labor demand by measuring the number of full- and part-time positions in a regional economy.</w:t>
      </w:r>
    </w:p>
    <w:p w14:paraId="4259567A" w14:textId="77777777" w:rsidR="00A92758" w:rsidRDefault="00A92758" w:rsidP="00A92758">
      <w:pPr>
        <w:pStyle w:val="ListParagraph"/>
        <w:rPr>
          <w:sz w:val="28"/>
          <w:szCs w:val="28"/>
        </w:rPr>
      </w:pPr>
    </w:p>
    <w:p w14:paraId="17CF06F0" w14:textId="19DF486E" w:rsidR="00A92758" w:rsidRDefault="00671EA7" w:rsidP="00A92758">
      <w:pPr>
        <w:pStyle w:val="ListParagraph"/>
        <w:numPr>
          <w:ilvl w:val="0"/>
          <w:numId w:val="3"/>
        </w:numPr>
        <w:rPr>
          <w:sz w:val="28"/>
          <w:szCs w:val="28"/>
        </w:rPr>
      </w:pPr>
      <w:r>
        <w:rPr>
          <w:b/>
          <w:sz w:val="28"/>
          <w:szCs w:val="28"/>
        </w:rPr>
        <w:t>Output</w:t>
      </w:r>
      <w:r w:rsidR="00A92758" w:rsidRPr="00A92758">
        <w:rPr>
          <w:b/>
          <w:sz w:val="28"/>
          <w:szCs w:val="28"/>
        </w:rPr>
        <w:t>.</w:t>
      </w:r>
      <w:r w:rsidR="00A92758">
        <w:rPr>
          <w:sz w:val="28"/>
          <w:szCs w:val="28"/>
        </w:rPr>
        <w:t xml:space="preserve"> Real G</w:t>
      </w:r>
      <w:r w:rsidR="00DB3847">
        <w:rPr>
          <w:sz w:val="28"/>
          <w:szCs w:val="28"/>
        </w:rPr>
        <w:t>ross Domestic Product (GDP)</w:t>
      </w:r>
      <w:r w:rsidR="00A92758">
        <w:rPr>
          <w:sz w:val="28"/>
          <w:szCs w:val="28"/>
        </w:rPr>
        <w:t xml:space="preserve"> measures the total value of </w:t>
      </w:r>
      <w:r>
        <w:rPr>
          <w:sz w:val="28"/>
          <w:szCs w:val="28"/>
        </w:rPr>
        <w:t xml:space="preserve">the </w:t>
      </w:r>
      <w:r w:rsidR="00A92758">
        <w:rPr>
          <w:sz w:val="28"/>
          <w:szCs w:val="28"/>
        </w:rPr>
        <w:t>goods and services produced in a region, including wages and profits</w:t>
      </w:r>
      <w:r>
        <w:rPr>
          <w:sz w:val="28"/>
          <w:szCs w:val="28"/>
        </w:rPr>
        <w:t>—a standard of economic output</w:t>
      </w:r>
      <w:r w:rsidR="00A92758">
        <w:rPr>
          <w:sz w:val="28"/>
          <w:szCs w:val="28"/>
        </w:rPr>
        <w:t>.</w:t>
      </w:r>
    </w:p>
    <w:p w14:paraId="2EA557F1" w14:textId="77777777" w:rsidR="00A92758" w:rsidRPr="00A92758" w:rsidRDefault="00A92758" w:rsidP="00A92758">
      <w:pPr>
        <w:pStyle w:val="ListParagraph"/>
        <w:rPr>
          <w:sz w:val="28"/>
          <w:szCs w:val="28"/>
        </w:rPr>
      </w:pPr>
    </w:p>
    <w:p w14:paraId="581D4888" w14:textId="4DB25A04" w:rsidR="00AC1CAB" w:rsidRPr="00A92758" w:rsidRDefault="00AC1CAB" w:rsidP="00AC1CAB">
      <w:pPr>
        <w:pStyle w:val="ListParagraph"/>
        <w:numPr>
          <w:ilvl w:val="0"/>
          <w:numId w:val="3"/>
        </w:numPr>
        <w:rPr>
          <w:b/>
          <w:sz w:val="28"/>
          <w:szCs w:val="28"/>
        </w:rPr>
      </w:pPr>
      <w:r w:rsidRPr="00A92758">
        <w:rPr>
          <w:b/>
          <w:sz w:val="28"/>
          <w:szCs w:val="28"/>
        </w:rPr>
        <w:t>Jobs at young firms</w:t>
      </w:r>
      <w:r w:rsidR="00A92758" w:rsidRPr="00A92758">
        <w:rPr>
          <w:b/>
          <w:sz w:val="28"/>
          <w:szCs w:val="28"/>
        </w:rPr>
        <w:t>.</w:t>
      </w:r>
      <w:r w:rsidR="00A92758">
        <w:rPr>
          <w:b/>
          <w:sz w:val="28"/>
          <w:szCs w:val="28"/>
        </w:rPr>
        <w:t xml:space="preserve"> </w:t>
      </w:r>
      <w:r w:rsidR="00A92758">
        <w:rPr>
          <w:sz w:val="28"/>
          <w:szCs w:val="28"/>
        </w:rPr>
        <w:t>Changes in the total number of full- and part-time wage and salaried jobs at young, private-sector firms age five years or less measures the impact of entrepreneurship in a regional economy.</w:t>
      </w:r>
    </w:p>
    <w:p w14:paraId="5775F13F" w14:textId="77777777" w:rsidR="00AC1CAB" w:rsidRDefault="00AC1CAB" w:rsidP="00AC1CAB">
      <w:pPr>
        <w:rPr>
          <w:b/>
          <w:sz w:val="32"/>
          <w:szCs w:val="32"/>
        </w:rPr>
      </w:pPr>
      <w:r w:rsidRPr="00FE257C">
        <w:rPr>
          <w:b/>
          <w:sz w:val="32"/>
          <w:szCs w:val="32"/>
        </w:rPr>
        <w:t>Measuring Prosperity</w:t>
      </w:r>
    </w:p>
    <w:p w14:paraId="62B4E2E3" w14:textId="57FAD5F8" w:rsidR="00AC1CAB" w:rsidRPr="00C84953" w:rsidRDefault="00AC1CAB" w:rsidP="00AC1CAB">
      <w:pPr>
        <w:rPr>
          <w:sz w:val="28"/>
          <w:szCs w:val="28"/>
        </w:rPr>
      </w:pPr>
      <w:r w:rsidRPr="00C84953">
        <w:rPr>
          <w:sz w:val="28"/>
          <w:szCs w:val="28"/>
        </w:rPr>
        <w:t>Prosperity reflects changes in the wealth and income produced by an economy, which in turns shapes the potential living standards for workers and families.  Prosperity grows in a place when increases in the productivity of its workers (whether through i</w:t>
      </w:r>
      <w:r>
        <w:rPr>
          <w:sz w:val="28"/>
          <w:szCs w:val="28"/>
        </w:rPr>
        <w:t>mproved</w:t>
      </w:r>
      <w:r w:rsidRPr="00C84953">
        <w:rPr>
          <w:sz w:val="28"/>
          <w:szCs w:val="28"/>
        </w:rPr>
        <w:t xml:space="preserve"> skills or the application of innovations) </w:t>
      </w:r>
      <w:r>
        <w:rPr>
          <w:sz w:val="28"/>
          <w:szCs w:val="28"/>
        </w:rPr>
        <w:t>raises</w:t>
      </w:r>
      <w:r w:rsidRPr="00C84953">
        <w:rPr>
          <w:sz w:val="28"/>
          <w:szCs w:val="28"/>
        </w:rPr>
        <w:t xml:space="preserve"> the value of workers’ labor—and so</w:t>
      </w:r>
      <w:r>
        <w:rPr>
          <w:sz w:val="28"/>
          <w:szCs w:val="28"/>
        </w:rPr>
        <w:t>,</w:t>
      </w:r>
      <w:r w:rsidRPr="00C84953">
        <w:rPr>
          <w:sz w:val="28"/>
          <w:szCs w:val="28"/>
        </w:rPr>
        <w:t xml:space="preserve"> in theory</w:t>
      </w:r>
      <w:r>
        <w:rPr>
          <w:sz w:val="28"/>
          <w:szCs w:val="28"/>
        </w:rPr>
        <w:t xml:space="preserve">, their wages. As such, the </w:t>
      </w:r>
      <w:r w:rsidR="009953FB">
        <w:rPr>
          <w:sz w:val="28"/>
          <w:szCs w:val="28"/>
        </w:rPr>
        <w:t>factbook</w:t>
      </w:r>
      <w:r>
        <w:rPr>
          <w:sz w:val="28"/>
          <w:szCs w:val="28"/>
        </w:rPr>
        <w:t xml:space="preserve"> measures prosperity using three indicators designed to measure productivity, wages, and standard of living in the Heartland:</w:t>
      </w:r>
    </w:p>
    <w:p w14:paraId="507118F9" w14:textId="50C909E6" w:rsidR="00AC1CAB" w:rsidRPr="00671EA7" w:rsidRDefault="00671EA7" w:rsidP="00AC1CAB">
      <w:pPr>
        <w:pStyle w:val="ListParagraph"/>
        <w:numPr>
          <w:ilvl w:val="0"/>
          <w:numId w:val="2"/>
        </w:numPr>
        <w:rPr>
          <w:b/>
          <w:sz w:val="28"/>
          <w:szCs w:val="28"/>
        </w:rPr>
      </w:pPr>
      <w:r>
        <w:rPr>
          <w:b/>
          <w:sz w:val="28"/>
          <w:szCs w:val="28"/>
        </w:rPr>
        <w:t>Productivity</w:t>
      </w:r>
      <w:r w:rsidR="00DB3847" w:rsidRPr="00DB3847">
        <w:rPr>
          <w:b/>
          <w:sz w:val="28"/>
          <w:szCs w:val="28"/>
        </w:rPr>
        <w:t>.</w:t>
      </w:r>
      <w:r w:rsidR="00DB3847">
        <w:rPr>
          <w:b/>
          <w:sz w:val="28"/>
          <w:szCs w:val="28"/>
        </w:rPr>
        <w:t xml:space="preserve">  </w:t>
      </w:r>
      <w:r>
        <w:rPr>
          <w:sz w:val="28"/>
          <w:szCs w:val="28"/>
        </w:rPr>
        <w:t>Output</w:t>
      </w:r>
      <w:r w:rsidR="00DB3847">
        <w:rPr>
          <w:sz w:val="28"/>
          <w:szCs w:val="28"/>
        </w:rPr>
        <w:t xml:space="preserve">, as above, divided by the total number of local </w:t>
      </w:r>
      <w:r>
        <w:rPr>
          <w:sz w:val="28"/>
          <w:szCs w:val="28"/>
        </w:rPr>
        <w:t>jobs, as above,</w:t>
      </w:r>
      <w:r w:rsidR="00DB3847">
        <w:rPr>
          <w:color w:val="FF0000"/>
          <w:sz w:val="28"/>
          <w:szCs w:val="28"/>
        </w:rPr>
        <w:t xml:space="preserve"> </w:t>
      </w:r>
      <w:r w:rsidR="00DB3847">
        <w:rPr>
          <w:sz w:val="28"/>
          <w:szCs w:val="28"/>
        </w:rPr>
        <w:t xml:space="preserve">yields the </w:t>
      </w:r>
      <w:r>
        <w:rPr>
          <w:sz w:val="28"/>
          <w:szCs w:val="28"/>
        </w:rPr>
        <w:t>output</w:t>
      </w:r>
      <w:r w:rsidR="00DB3847">
        <w:rPr>
          <w:sz w:val="28"/>
          <w:szCs w:val="28"/>
        </w:rPr>
        <w:t xml:space="preserve"> per job, which is a basic measure of a place’s productivity.</w:t>
      </w:r>
    </w:p>
    <w:p w14:paraId="4B8DA6E1" w14:textId="77777777" w:rsidR="00671EA7" w:rsidRPr="00DB3847" w:rsidRDefault="00671EA7" w:rsidP="00671EA7">
      <w:pPr>
        <w:pStyle w:val="ListParagraph"/>
        <w:rPr>
          <w:b/>
          <w:sz w:val="28"/>
          <w:szCs w:val="28"/>
        </w:rPr>
      </w:pPr>
    </w:p>
    <w:p w14:paraId="22E6331F" w14:textId="1D1894FB" w:rsidR="00671EA7" w:rsidRPr="00671EA7" w:rsidRDefault="00AC1CAB" w:rsidP="00671EA7">
      <w:pPr>
        <w:pStyle w:val="ListParagraph"/>
        <w:numPr>
          <w:ilvl w:val="0"/>
          <w:numId w:val="2"/>
        </w:numPr>
        <w:rPr>
          <w:b/>
          <w:sz w:val="28"/>
          <w:szCs w:val="28"/>
        </w:rPr>
      </w:pPr>
      <w:r w:rsidRPr="00DB3847">
        <w:rPr>
          <w:b/>
          <w:sz w:val="28"/>
          <w:szCs w:val="28"/>
        </w:rPr>
        <w:t>Average wage</w:t>
      </w:r>
      <w:r w:rsidR="00DB3847" w:rsidRPr="00DB3847">
        <w:rPr>
          <w:b/>
          <w:sz w:val="28"/>
          <w:szCs w:val="28"/>
        </w:rPr>
        <w:t>.</w:t>
      </w:r>
      <w:r w:rsidR="00671EA7">
        <w:rPr>
          <w:b/>
          <w:sz w:val="28"/>
          <w:szCs w:val="28"/>
        </w:rPr>
        <w:t xml:space="preserve"> </w:t>
      </w:r>
      <w:r w:rsidR="00671EA7">
        <w:rPr>
          <w:sz w:val="28"/>
          <w:szCs w:val="28"/>
        </w:rPr>
        <w:t>Aggregate annual wages paid to workers divided by the total number of jobs yields the average annual wage per job in a location.</w:t>
      </w:r>
    </w:p>
    <w:p w14:paraId="60AEE89B" w14:textId="77777777" w:rsidR="00671EA7" w:rsidRPr="00671EA7" w:rsidRDefault="00671EA7" w:rsidP="00671EA7">
      <w:pPr>
        <w:pStyle w:val="ListParagraph"/>
        <w:rPr>
          <w:b/>
          <w:sz w:val="28"/>
          <w:szCs w:val="28"/>
        </w:rPr>
      </w:pPr>
    </w:p>
    <w:p w14:paraId="7DF77071" w14:textId="2DAC947B" w:rsidR="00AC1CAB" w:rsidRPr="00DB3847" w:rsidRDefault="00671EA7" w:rsidP="00AC1CAB">
      <w:pPr>
        <w:pStyle w:val="ListParagraph"/>
        <w:numPr>
          <w:ilvl w:val="0"/>
          <w:numId w:val="2"/>
        </w:numPr>
        <w:rPr>
          <w:b/>
          <w:sz w:val="28"/>
          <w:szCs w:val="28"/>
        </w:rPr>
      </w:pPr>
      <w:r>
        <w:rPr>
          <w:b/>
          <w:sz w:val="28"/>
          <w:szCs w:val="28"/>
        </w:rPr>
        <w:t>Standard of living</w:t>
      </w:r>
      <w:r w:rsidR="00DB3847" w:rsidRPr="00DB3847">
        <w:rPr>
          <w:b/>
          <w:sz w:val="28"/>
          <w:szCs w:val="28"/>
        </w:rPr>
        <w:t>.</w:t>
      </w:r>
      <w:r w:rsidRPr="00671EA7">
        <w:rPr>
          <w:sz w:val="28"/>
          <w:szCs w:val="28"/>
        </w:rPr>
        <w:t xml:space="preserve"> </w:t>
      </w:r>
      <w:r>
        <w:rPr>
          <w:sz w:val="28"/>
          <w:szCs w:val="28"/>
        </w:rPr>
        <w:t xml:space="preserve">Output, from above, divided by the total local population yields output per capita, which reflects place’s average standard of living. </w:t>
      </w:r>
    </w:p>
    <w:p w14:paraId="5EE8220A" w14:textId="396179B0" w:rsidR="00AC1CAB" w:rsidRDefault="00AC1CAB" w:rsidP="00AC1CAB">
      <w:pPr>
        <w:rPr>
          <w:sz w:val="28"/>
          <w:szCs w:val="28"/>
        </w:rPr>
      </w:pPr>
      <w:r>
        <w:rPr>
          <w:b/>
          <w:sz w:val="32"/>
          <w:szCs w:val="32"/>
        </w:rPr>
        <w:t>M</w:t>
      </w:r>
      <w:r w:rsidRPr="00FE257C">
        <w:rPr>
          <w:b/>
          <w:sz w:val="32"/>
          <w:szCs w:val="32"/>
        </w:rPr>
        <w:t>easuring Inclusion</w:t>
      </w:r>
      <w:r>
        <w:rPr>
          <w:b/>
          <w:sz w:val="32"/>
          <w:szCs w:val="32"/>
        </w:rPr>
        <w:t xml:space="preserve"> </w:t>
      </w:r>
      <w:r w:rsidRPr="00B640ED">
        <w:rPr>
          <w:sz w:val="44"/>
          <w:szCs w:val="44"/>
        </w:rPr>
        <w:br w:type="page"/>
      </w:r>
      <w:r w:rsidR="009D049C">
        <w:rPr>
          <w:sz w:val="28"/>
          <w:szCs w:val="28"/>
        </w:rPr>
        <w:t>Inclusion indicators measure how the benefits of growth and prosperity in a region, state, town, or county are distributed among individuals</w:t>
      </w:r>
      <w:r>
        <w:rPr>
          <w:sz w:val="28"/>
          <w:szCs w:val="28"/>
        </w:rPr>
        <w:t xml:space="preserve">. </w:t>
      </w:r>
      <w:r w:rsidR="009D049C">
        <w:rPr>
          <w:sz w:val="28"/>
          <w:szCs w:val="28"/>
        </w:rPr>
        <w:t xml:space="preserve"> Inclusive growth enables more people to participate in the economy, increase and contribute their skills, and so raise aggregate demand while boosting prosperity and growth.  In addition, ensuring that all people can contribute to and benefit from growth and prosperity also helps sustain social tranquility and widespread support for the policies on which growth and prosperity depend.</w:t>
      </w:r>
      <w:r w:rsidR="00887433">
        <w:rPr>
          <w:sz w:val="28"/>
          <w:szCs w:val="28"/>
        </w:rPr>
        <w:t xml:space="preserve">  In that sense, economic inclusion is the </w:t>
      </w:r>
      <w:r>
        <w:rPr>
          <w:sz w:val="28"/>
          <w:szCs w:val="28"/>
        </w:rPr>
        <w:t xml:space="preserve">most effective way to ensure that economic growth is lasting. In this regard, the </w:t>
      </w:r>
      <w:r w:rsidR="009953FB">
        <w:rPr>
          <w:sz w:val="28"/>
          <w:szCs w:val="28"/>
        </w:rPr>
        <w:t>factbook</w:t>
      </w:r>
      <w:r>
        <w:rPr>
          <w:sz w:val="28"/>
          <w:szCs w:val="28"/>
        </w:rPr>
        <w:t xml:space="preserve"> measures labor market inclusion and inclusive financial wellbeing using three indicators: </w:t>
      </w:r>
    </w:p>
    <w:p w14:paraId="0A6EC383" w14:textId="1648C69A" w:rsidR="00AC1CAB" w:rsidRDefault="00887433" w:rsidP="00AC1CAB">
      <w:pPr>
        <w:pStyle w:val="ListParagraph"/>
        <w:numPr>
          <w:ilvl w:val="0"/>
          <w:numId w:val="4"/>
        </w:numPr>
        <w:rPr>
          <w:sz w:val="28"/>
          <w:szCs w:val="28"/>
        </w:rPr>
      </w:pPr>
      <w:r w:rsidRPr="00887433">
        <w:rPr>
          <w:b/>
          <w:sz w:val="28"/>
          <w:szCs w:val="28"/>
        </w:rPr>
        <w:t>Employment rate.</w:t>
      </w:r>
      <w:r>
        <w:rPr>
          <w:sz w:val="28"/>
          <w:szCs w:val="28"/>
        </w:rPr>
        <w:t xml:space="preserve"> The e</w:t>
      </w:r>
      <w:r w:rsidR="00AC1CAB">
        <w:rPr>
          <w:sz w:val="28"/>
          <w:szCs w:val="28"/>
        </w:rPr>
        <w:t>mployment</w:t>
      </w:r>
      <w:r>
        <w:rPr>
          <w:sz w:val="28"/>
          <w:szCs w:val="28"/>
        </w:rPr>
        <w:t>-</w:t>
      </w:r>
      <w:r w:rsidR="00AC1CAB">
        <w:rPr>
          <w:sz w:val="28"/>
          <w:szCs w:val="28"/>
        </w:rPr>
        <w:t>to</w:t>
      </w:r>
      <w:r>
        <w:rPr>
          <w:sz w:val="28"/>
          <w:szCs w:val="28"/>
        </w:rPr>
        <w:t>-</w:t>
      </w:r>
      <w:r w:rsidR="00AC1CAB">
        <w:rPr>
          <w:sz w:val="28"/>
          <w:szCs w:val="28"/>
        </w:rPr>
        <w:t>population ratio</w:t>
      </w:r>
      <w:r>
        <w:rPr>
          <w:sz w:val="28"/>
          <w:szCs w:val="28"/>
        </w:rPr>
        <w:t xml:space="preserve"> measures the share of individuals age 18 to 64 who are currently employed.</w:t>
      </w:r>
    </w:p>
    <w:p w14:paraId="00F7C636" w14:textId="77777777" w:rsidR="00B26DD4" w:rsidRDefault="00B26DD4" w:rsidP="00B26DD4">
      <w:pPr>
        <w:pStyle w:val="ListParagraph"/>
        <w:rPr>
          <w:sz w:val="28"/>
          <w:szCs w:val="28"/>
        </w:rPr>
      </w:pPr>
    </w:p>
    <w:p w14:paraId="564F1EF4" w14:textId="2AC32460" w:rsidR="00AC1CAB" w:rsidRPr="00B26DD4" w:rsidRDefault="00AC1CAB" w:rsidP="00AC1CAB">
      <w:pPr>
        <w:pStyle w:val="ListParagraph"/>
        <w:numPr>
          <w:ilvl w:val="0"/>
          <w:numId w:val="4"/>
        </w:numPr>
        <w:rPr>
          <w:b/>
          <w:sz w:val="28"/>
          <w:szCs w:val="28"/>
        </w:rPr>
      </w:pPr>
      <w:r w:rsidRPr="00887433">
        <w:rPr>
          <w:b/>
          <w:sz w:val="28"/>
          <w:szCs w:val="28"/>
        </w:rPr>
        <w:t>Median wage</w:t>
      </w:r>
      <w:r w:rsidR="00887433" w:rsidRPr="00887433">
        <w:rPr>
          <w:b/>
          <w:sz w:val="28"/>
          <w:szCs w:val="28"/>
        </w:rPr>
        <w:t>.</w:t>
      </w:r>
      <w:r w:rsidR="00887433">
        <w:rPr>
          <w:b/>
          <w:sz w:val="28"/>
          <w:szCs w:val="28"/>
        </w:rPr>
        <w:t xml:space="preserve"> </w:t>
      </w:r>
      <w:r w:rsidR="00887433">
        <w:rPr>
          <w:sz w:val="28"/>
          <w:szCs w:val="28"/>
        </w:rPr>
        <w:t>The median wage measures the annual wage earned by a person in the middle of an area’s income distribution (among people at least 16 years old).</w:t>
      </w:r>
    </w:p>
    <w:p w14:paraId="77313FEC" w14:textId="77777777" w:rsidR="00B26DD4" w:rsidRPr="00B26DD4" w:rsidRDefault="00B26DD4" w:rsidP="00B26DD4">
      <w:pPr>
        <w:pStyle w:val="ListParagraph"/>
        <w:rPr>
          <w:sz w:val="28"/>
          <w:szCs w:val="28"/>
        </w:rPr>
      </w:pPr>
    </w:p>
    <w:p w14:paraId="3463507B" w14:textId="0CCEDE42" w:rsidR="00AC1CAB" w:rsidRDefault="00AC1CAB" w:rsidP="00AC1CAB">
      <w:pPr>
        <w:pStyle w:val="ListParagraph"/>
        <w:numPr>
          <w:ilvl w:val="0"/>
          <w:numId w:val="4"/>
        </w:numPr>
        <w:rPr>
          <w:sz w:val="28"/>
          <w:szCs w:val="28"/>
        </w:rPr>
      </w:pPr>
      <w:r w:rsidRPr="00887433">
        <w:rPr>
          <w:b/>
          <w:sz w:val="28"/>
          <w:szCs w:val="28"/>
        </w:rPr>
        <w:t>Poverty rate</w:t>
      </w:r>
      <w:r w:rsidR="00887433">
        <w:rPr>
          <w:sz w:val="28"/>
          <w:szCs w:val="28"/>
        </w:rPr>
        <w:t>.</w:t>
      </w:r>
      <w:r w:rsidR="00C14C98">
        <w:rPr>
          <w:sz w:val="28"/>
          <w:szCs w:val="28"/>
        </w:rPr>
        <w:t xml:space="preserve"> The poverty rate measures the share of local individuals</w:t>
      </w:r>
      <w:r w:rsidR="00B26DD4">
        <w:rPr>
          <w:sz w:val="28"/>
          <w:szCs w:val="28"/>
        </w:rPr>
        <w:t xml:space="preserve"> who received income less than the federal poverty threshold.</w:t>
      </w:r>
    </w:p>
    <w:p w14:paraId="1A2DE6E5" w14:textId="26E2C0C4" w:rsidR="00CA48EF" w:rsidRPr="00CA48EF" w:rsidRDefault="00CA48EF" w:rsidP="00CA48EF">
      <w:pPr>
        <w:rPr>
          <w:b/>
          <w:sz w:val="40"/>
          <w:szCs w:val="40"/>
        </w:rPr>
      </w:pPr>
      <w:r w:rsidRPr="00CA48EF">
        <w:rPr>
          <w:b/>
          <w:sz w:val="40"/>
          <w:szCs w:val="40"/>
        </w:rPr>
        <w:t>Drivers</w:t>
      </w:r>
    </w:p>
    <w:p w14:paraId="58E926F5" w14:textId="6646BFC7" w:rsidR="00BB156C" w:rsidRDefault="00BB156C" w:rsidP="00BB156C">
      <w:pPr>
        <w:rPr>
          <w:sz w:val="28"/>
          <w:szCs w:val="28"/>
        </w:rPr>
      </w:pPr>
      <w:r>
        <w:rPr>
          <w:sz w:val="28"/>
          <w:szCs w:val="28"/>
        </w:rPr>
        <w:t xml:space="preserve">To achieve </w:t>
      </w:r>
      <w:r w:rsidR="00B26DD4">
        <w:rPr>
          <w:sz w:val="28"/>
          <w:szCs w:val="28"/>
        </w:rPr>
        <w:t xml:space="preserve">solid and rising </w:t>
      </w:r>
      <w:r>
        <w:rPr>
          <w:sz w:val="28"/>
          <w:szCs w:val="28"/>
        </w:rPr>
        <w:t>outcomes</w:t>
      </w:r>
      <w:r w:rsidR="00B26DD4">
        <w:rPr>
          <w:sz w:val="28"/>
          <w:szCs w:val="28"/>
        </w:rPr>
        <w:t>,</w:t>
      </w:r>
      <w:r>
        <w:rPr>
          <w:sz w:val="28"/>
          <w:szCs w:val="28"/>
        </w:rPr>
        <w:t xml:space="preserve"> though, states and regions must</w:t>
      </w:r>
      <w:r w:rsidR="005F034F">
        <w:rPr>
          <w:sz w:val="28"/>
          <w:szCs w:val="28"/>
        </w:rPr>
        <w:t xml:space="preserve"> develop strong positionings on a set of key prosperity </w:t>
      </w:r>
      <w:r w:rsidR="00593F9A">
        <w:rPr>
          <w:sz w:val="28"/>
          <w:szCs w:val="28"/>
        </w:rPr>
        <w:t xml:space="preserve">drivers.  These factors matter because strong positioning on them </w:t>
      </w:r>
      <w:r w:rsidR="005F034F">
        <w:rPr>
          <w:sz w:val="28"/>
          <w:szCs w:val="28"/>
        </w:rPr>
        <w:t xml:space="preserve">will allow </w:t>
      </w:r>
      <w:r w:rsidR="00593F9A">
        <w:rPr>
          <w:sz w:val="28"/>
          <w:szCs w:val="28"/>
        </w:rPr>
        <w:t xml:space="preserve">Heartland places </w:t>
      </w:r>
      <w:r w:rsidR="005F034F">
        <w:rPr>
          <w:sz w:val="28"/>
          <w:szCs w:val="28"/>
        </w:rPr>
        <w:t xml:space="preserve">to maximize prosperity and </w:t>
      </w:r>
      <w:r>
        <w:rPr>
          <w:sz w:val="28"/>
          <w:szCs w:val="28"/>
        </w:rPr>
        <w:t>respond to the economic forces, such as globalization, technological change, demographic transition</w:t>
      </w:r>
      <w:r w:rsidR="00593F9A">
        <w:rPr>
          <w:sz w:val="28"/>
          <w:szCs w:val="28"/>
        </w:rPr>
        <w:t>, and declining national investment in economic growth and opportunity</w:t>
      </w:r>
      <w:r>
        <w:rPr>
          <w:sz w:val="28"/>
          <w:szCs w:val="28"/>
        </w:rPr>
        <w:t>.</w:t>
      </w:r>
    </w:p>
    <w:p w14:paraId="31BE90E9" w14:textId="70B58E6E" w:rsidR="00593F9A" w:rsidRDefault="00BB156C" w:rsidP="00593F9A">
      <w:pPr>
        <w:rPr>
          <w:sz w:val="28"/>
          <w:szCs w:val="28"/>
        </w:rPr>
      </w:pPr>
      <w:r>
        <w:rPr>
          <w:sz w:val="28"/>
          <w:szCs w:val="28"/>
        </w:rPr>
        <w:t xml:space="preserve">To </w:t>
      </w:r>
      <w:r w:rsidR="00593F9A">
        <w:rPr>
          <w:sz w:val="28"/>
          <w:szCs w:val="28"/>
        </w:rPr>
        <w:t>assess the region’s standing</w:t>
      </w:r>
      <w:r>
        <w:rPr>
          <w:sz w:val="28"/>
          <w:szCs w:val="28"/>
        </w:rPr>
        <w:t xml:space="preserve">, then, the </w:t>
      </w:r>
      <w:r w:rsidR="00021CDA">
        <w:rPr>
          <w:sz w:val="28"/>
          <w:szCs w:val="28"/>
        </w:rPr>
        <w:t xml:space="preserve">second Drivers section of the </w:t>
      </w:r>
      <w:r w:rsidR="009953FB">
        <w:rPr>
          <w:sz w:val="28"/>
          <w:szCs w:val="28"/>
        </w:rPr>
        <w:t>factbook</w:t>
      </w:r>
      <w:r>
        <w:rPr>
          <w:sz w:val="28"/>
          <w:szCs w:val="28"/>
        </w:rPr>
        <w:t xml:space="preserve">  </w:t>
      </w:r>
      <w:r w:rsidR="00593F9A">
        <w:rPr>
          <w:sz w:val="28"/>
          <w:szCs w:val="28"/>
        </w:rPr>
        <w:t>(</w:t>
      </w:r>
      <w:r>
        <w:rPr>
          <w:sz w:val="28"/>
          <w:szCs w:val="28"/>
        </w:rPr>
        <w:t>and the online interactive</w:t>
      </w:r>
      <w:r w:rsidR="00593F9A">
        <w:rPr>
          <w:sz w:val="28"/>
          <w:szCs w:val="28"/>
        </w:rPr>
        <w:t>)</w:t>
      </w:r>
      <w:r>
        <w:rPr>
          <w:sz w:val="28"/>
          <w:szCs w:val="28"/>
        </w:rPr>
        <w:t xml:space="preserve"> </w:t>
      </w:r>
      <w:r w:rsidR="00593F9A">
        <w:rPr>
          <w:sz w:val="28"/>
          <w:szCs w:val="28"/>
        </w:rPr>
        <w:t>discuss</w:t>
      </w:r>
      <w:r w:rsidR="00021CDA">
        <w:rPr>
          <w:sz w:val="28"/>
          <w:szCs w:val="28"/>
        </w:rPr>
        <w:t>es</w:t>
      </w:r>
      <w:r w:rsidR="00593F9A">
        <w:rPr>
          <w:sz w:val="28"/>
          <w:szCs w:val="28"/>
        </w:rPr>
        <w:t xml:space="preserve"> 19 additional measures focused on four crucial sources of prosperity: </w:t>
      </w:r>
      <w:r w:rsidR="00593F9A" w:rsidRPr="00896B5F">
        <w:rPr>
          <w:b/>
          <w:sz w:val="28"/>
          <w:szCs w:val="28"/>
        </w:rPr>
        <w:t>tradeable industries</w:t>
      </w:r>
      <w:r w:rsidR="00593F9A">
        <w:rPr>
          <w:sz w:val="28"/>
          <w:szCs w:val="28"/>
        </w:rPr>
        <w:t xml:space="preserve">, </w:t>
      </w:r>
      <w:r w:rsidR="0041679B">
        <w:rPr>
          <w:b/>
          <w:sz w:val="28"/>
          <w:szCs w:val="28"/>
        </w:rPr>
        <w:t>talent</w:t>
      </w:r>
      <w:r w:rsidR="00593F9A">
        <w:rPr>
          <w:sz w:val="28"/>
          <w:szCs w:val="28"/>
        </w:rPr>
        <w:t xml:space="preserve">, </w:t>
      </w:r>
      <w:r w:rsidR="00593F9A" w:rsidRPr="00896B5F">
        <w:rPr>
          <w:b/>
          <w:sz w:val="28"/>
          <w:szCs w:val="28"/>
        </w:rPr>
        <w:t>innovation</w:t>
      </w:r>
      <w:r w:rsidR="00593F9A">
        <w:rPr>
          <w:sz w:val="28"/>
          <w:szCs w:val="28"/>
        </w:rPr>
        <w:t xml:space="preserve">, and </w:t>
      </w:r>
      <w:r w:rsidR="00593F9A" w:rsidRPr="00896B5F">
        <w:rPr>
          <w:b/>
          <w:sz w:val="28"/>
          <w:szCs w:val="28"/>
        </w:rPr>
        <w:t xml:space="preserve">infrastructure and </w:t>
      </w:r>
      <w:r w:rsidR="008E4AA1">
        <w:rPr>
          <w:b/>
          <w:sz w:val="28"/>
          <w:szCs w:val="28"/>
        </w:rPr>
        <w:t xml:space="preserve">the </w:t>
      </w:r>
      <w:r w:rsidR="00593F9A" w:rsidRPr="00896B5F">
        <w:rPr>
          <w:b/>
          <w:sz w:val="28"/>
          <w:szCs w:val="28"/>
        </w:rPr>
        <w:t>buil</w:t>
      </w:r>
      <w:r w:rsidR="0041679B">
        <w:rPr>
          <w:b/>
          <w:sz w:val="28"/>
          <w:szCs w:val="28"/>
        </w:rPr>
        <w:t>t</w:t>
      </w:r>
      <w:r w:rsidR="00593F9A" w:rsidRPr="00896B5F">
        <w:rPr>
          <w:b/>
          <w:sz w:val="28"/>
          <w:szCs w:val="28"/>
        </w:rPr>
        <w:t xml:space="preserve"> environment</w:t>
      </w:r>
      <w:r w:rsidR="00593F9A">
        <w:rPr>
          <w:sz w:val="28"/>
          <w:szCs w:val="28"/>
        </w:rPr>
        <w:t>.</w:t>
      </w:r>
      <w:r w:rsidR="00593F9A">
        <w:rPr>
          <w:rStyle w:val="EndnoteReference"/>
          <w:sz w:val="28"/>
          <w:szCs w:val="28"/>
        </w:rPr>
        <w:endnoteReference w:id="3"/>
      </w:r>
      <w:r w:rsidR="00021CDA">
        <w:rPr>
          <w:sz w:val="28"/>
          <w:szCs w:val="28"/>
        </w:rPr>
        <w:t xml:space="preserve">  Measures  arrayed across these categories undertake to evaluate the</w:t>
      </w:r>
      <w:r w:rsidR="00021CDA" w:rsidRPr="00896B5F">
        <w:t xml:space="preserve"> </w:t>
      </w:r>
      <w:r w:rsidR="00021CDA" w:rsidRPr="00896B5F">
        <w:rPr>
          <w:sz w:val="28"/>
          <w:szCs w:val="28"/>
        </w:rPr>
        <w:t xml:space="preserve">Heartland’s stock of the assets and conditions needed </w:t>
      </w:r>
      <w:r w:rsidR="00021CDA">
        <w:rPr>
          <w:sz w:val="28"/>
          <w:szCs w:val="28"/>
        </w:rPr>
        <w:t xml:space="preserve">to ensure strong and improving </w:t>
      </w:r>
      <w:r w:rsidR="00021CDA" w:rsidRPr="00896B5F">
        <w:rPr>
          <w:sz w:val="28"/>
          <w:szCs w:val="28"/>
        </w:rPr>
        <w:t>outcomes</w:t>
      </w:r>
      <w:r w:rsidR="00021CDA">
        <w:rPr>
          <w:sz w:val="28"/>
          <w:szCs w:val="28"/>
        </w:rPr>
        <w:t xml:space="preserve"> on the preceding measures of inclusive growth.   </w:t>
      </w:r>
      <w:r w:rsidR="008E4AA1">
        <w:rPr>
          <w:sz w:val="28"/>
          <w:szCs w:val="28"/>
        </w:rPr>
        <w:t>Here’s how the measures populate the categories:</w:t>
      </w:r>
    </w:p>
    <w:p w14:paraId="2FF140D9" w14:textId="370F33D6" w:rsidR="00CE7931" w:rsidRDefault="00BB156C" w:rsidP="00021CDA">
      <w:pPr>
        <w:rPr>
          <w:sz w:val="28"/>
          <w:szCs w:val="28"/>
        </w:rPr>
      </w:pPr>
      <w:r>
        <w:rPr>
          <w:sz w:val="28"/>
          <w:szCs w:val="28"/>
        </w:rPr>
        <w:t xml:space="preserve"> </w:t>
      </w:r>
    </w:p>
    <w:p w14:paraId="2314D589" w14:textId="5295C65E" w:rsidR="001722B7" w:rsidRPr="009808BF" w:rsidRDefault="001722B7" w:rsidP="001722B7">
      <w:pPr>
        <w:rPr>
          <w:b/>
          <w:sz w:val="32"/>
          <w:szCs w:val="32"/>
        </w:rPr>
      </w:pPr>
      <w:r w:rsidRPr="009808BF">
        <w:rPr>
          <w:b/>
          <w:sz w:val="32"/>
          <w:szCs w:val="32"/>
        </w:rPr>
        <w:t>Tradeable industries</w:t>
      </w:r>
    </w:p>
    <w:p w14:paraId="56E7E089" w14:textId="2D31A206" w:rsidR="009E264F" w:rsidRDefault="008E4AA1" w:rsidP="001722B7">
      <w:pPr>
        <w:rPr>
          <w:sz w:val="28"/>
          <w:szCs w:val="28"/>
        </w:rPr>
      </w:pPr>
      <w:r>
        <w:rPr>
          <w:sz w:val="28"/>
          <w:szCs w:val="28"/>
        </w:rPr>
        <w:t>“</w:t>
      </w:r>
      <w:r w:rsidR="009E264F" w:rsidRPr="009E264F">
        <w:rPr>
          <w:sz w:val="28"/>
          <w:szCs w:val="28"/>
        </w:rPr>
        <w:t>Tradeable</w:t>
      </w:r>
      <w:r>
        <w:rPr>
          <w:sz w:val="28"/>
          <w:szCs w:val="28"/>
        </w:rPr>
        <w:t>,” export-oriented</w:t>
      </w:r>
      <w:r w:rsidR="009E264F" w:rsidRPr="009E264F">
        <w:rPr>
          <w:sz w:val="28"/>
          <w:szCs w:val="28"/>
        </w:rPr>
        <w:t xml:space="preserve"> in</w:t>
      </w:r>
      <w:r w:rsidR="009E264F">
        <w:rPr>
          <w:sz w:val="28"/>
          <w:szCs w:val="28"/>
        </w:rPr>
        <w:t>dustries support regional competitiveness by</w:t>
      </w:r>
      <w:r>
        <w:rPr>
          <w:sz w:val="28"/>
          <w:szCs w:val="28"/>
        </w:rPr>
        <w:t xml:space="preserve"> driving productivity higher and bringing </w:t>
      </w:r>
      <w:r w:rsidR="009E264F">
        <w:rPr>
          <w:sz w:val="28"/>
          <w:szCs w:val="28"/>
        </w:rPr>
        <w:t>new wealth into a economy</w:t>
      </w:r>
      <w:r>
        <w:rPr>
          <w:sz w:val="28"/>
          <w:szCs w:val="28"/>
        </w:rPr>
        <w:t xml:space="preserve"> from outside the region. </w:t>
      </w:r>
      <w:r w:rsidR="009E264F">
        <w:rPr>
          <w:sz w:val="28"/>
          <w:szCs w:val="28"/>
        </w:rPr>
        <w:t xml:space="preserve"> </w:t>
      </w:r>
      <w:r>
        <w:rPr>
          <w:sz w:val="28"/>
          <w:szCs w:val="28"/>
        </w:rPr>
        <w:t xml:space="preserve">Such industries </w:t>
      </w:r>
      <w:r w:rsidR="009E264F">
        <w:rPr>
          <w:sz w:val="28"/>
          <w:szCs w:val="28"/>
        </w:rPr>
        <w:t>creat</w:t>
      </w:r>
      <w:r>
        <w:rPr>
          <w:sz w:val="28"/>
          <w:szCs w:val="28"/>
        </w:rPr>
        <w:t>e</w:t>
      </w:r>
      <w:r w:rsidR="009E264F">
        <w:rPr>
          <w:sz w:val="28"/>
          <w:szCs w:val="28"/>
        </w:rPr>
        <w:t xml:space="preserve"> a multiplier effect throughout the </w:t>
      </w:r>
      <w:r>
        <w:rPr>
          <w:sz w:val="28"/>
          <w:szCs w:val="28"/>
        </w:rPr>
        <w:t>region</w:t>
      </w:r>
      <w:r w:rsidR="009E264F">
        <w:rPr>
          <w:sz w:val="28"/>
          <w:szCs w:val="28"/>
        </w:rPr>
        <w:t xml:space="preserve"> and spur new economic growth and an improved standard of living. The </w:t>
      </w:r>
      <w:r w:rsidR="009953FB">
        <w:rPr>
          <w:sz w:val="28"/>
          <w:szCs w:val="28"/>
        </w:rPr>
        <w:t>Factbook</w:t>
      </w:r>
      <w:r w:rsidR="009E264F">
        <w:rPr>
          <w:sz w:val="28"/>
          <w:szCs w:val="28"/>
        </w:rPr>
        <w:t xml:space="preserve"> </w:t>
      </w:r>
      <w:r>
        <w:rPr>
          <w:sz w:val="28"/>
          <w:szCs w:val="28"/>
        </w:rPr>
        <w:t xml:space="preserve">looks at </w:t>
      </w:r>
      <w:r w:rsidR="009E264F">
        <w:rPr>
          <w:sz w:val="28"/>
          <w:szCs w:val="28"/>
        </w:rPr>
        <w:t xml:space="preserve">tradeable industries </w:t>
      </w:r>
      <w:r>
        <w:rPr>
          <w:sz w:val="28"/>
          <w:szCs w:val="28"/>
        </w:rPr>
        <w:t>in</w:t>
      </w:r>
      <w:r w:rsidR="009E264F">
        <w:rPr>
          <w:sz w:val="28"/>
          <w:szCs w:val="28"/>
        </w:rPr>
        <w:t xml:space="preserve"> the Heartland</w:t>
      </w:r>
      <w:r w:rsidR="009D2506">
        <w:rPr>
          <w:sz w:val="28"/>
          <w:szCs w:val="28"/>
        </w:rPr>
        <w:t xml:space="preserve"> with four measures</w:t>
      </w:r>
      <w:r w:rsidR="009E264F">
        <w:rPr>
          <w:sz w:val="28"/>
          <w:szCs w:val="28"/>
        </w:rPr>
        <w:t>:</w:t>
      </w:r>
    </w:p>
    <w:p w14:paraId="625A0A49" w14:textId="00320B18" w:rsidR="009E264F" w:rsidRPr="00BB423D" w:rsidRDefault="008E4AA1" w:rsidP="009E264F">
      <w:pPr>
        <w:pStyle w:val="ListParagraph"/>
        <w:numPr>
          <w:ilvl w:val="0"/>
          <w:numId w:val="5"/>
        </w:numPr>
        <w:rPr>
          <w:b/>
          <w:sz w:val="28"/>
          <w:szCs w:val="28"/>
        </w:rPr>
      </w:pPr>
      <w:r w:rsidRPr="00BB423D">
        <w:rPr>
          <w:b/>
          <w:sz w:val="28"/>
          <w:szCs w:val="28"/>
        </w:rPr>
        <w:t>Advanced industries.</w:t>
      </w:r>
      <w:r w:rsidR="00BB423D">
        <w:rPr>
          <w:b/>
          <w:sz w:val="28"/>
          <w:szCs w:val="28"/>
        </w:rPr>
        <w:t xml:space="preserve"> </w:t>
      </w:r>
      <w:r w:rsidR="00BB423D">
        <w:rPr>
          <w:sz w:val="28"/>
          <w:szCs w:val="28"/>
        </w:rPr>
        <w:t>R&amp;D- and STEM worker-intensive advanced industries—ranging from auto</w:t>
      </w:r>
      <w:r w:rsidR="00D165E7">
        <w:rPr>
          <w:sz w:val="28"/>
          <w:szCs w:val="28"/>
        </w:rPr>
        <w:t>motive</w:t>
      </w:r>
      <w:r w:rsidR="00BB423D">
        <w:rPr>
          <w:sz w:val="28"/>
          <w:szCs w:val="28"/>
        </w:rPr>
        <w:t xml:space="preserve"> manufacturing, to renewable energy, to digital services—anchor regional economies with their high</w:t>
      </w:r>
      <w:r w:rsidR="00D165E7">
        <w:rPr>
          <w:sz w:val="28"/>
          <w:szCs w:val="28"/>
        </w:rPr>
        <w:t xml:space="preserve">-value, high-productivity, good-paying </w:t>
      </w:r>
      <w:r w:rsidR="00BB423D">
        <w:rPr>
          <w:sz w:val="28"/>
          <w:szCs w:val="28"/>
        </w:rPr>
        <w:t>innovation and export activity.</w:t>
      </w:r>
    </w:p>
    <w:p w14:paraId="56124420" w14:textId="77777777" w:rsidR="00BB423D" w:rsidRPr="00BB423D" w:rsidRDefault="00BB423D" w:rsidP="00BB423D">
      <w:pPr>
        <w:pStyle w:val="ListParagraph"/>
        <w:rPr>
          <w:b/>
          <w:sz w:val="28"/>
          <w:szCs w:val="28"/>
        </w:rPr>
      </w:pPr>
    </w:p>
    <w:p w14:paraId="385B4195" w14:textId="70ACA3D1" w:rsidR="009953FB" w:rsidRPr="009953FB" w:rsidRDefault="008E4AA1" w:rsidP="009953FB">
      <w:pPr>
        <w:pStyle w:val="ListParagraph"/>
        <w:numPr>
          <w:ilvl w:val="0"/>
          <w:numId w:val="5"/>
        </w:numPr>
        <w:rPr>
          <w:b/>
          <w:sz w:val="28"/>
          <w:szCs w:val="28"/>
        </w:rPr>
      </w:pPr>
      <w:r w:rsidRPr="00BB423D">
        <w:rPr>
          <w:b/>
          <w:sz w:val="28"/>
          <w:szCs w:val="28"/>
        </w:rPr>
        <w:t>Exports.</w:t>
      </w:r>
      <w:r w:rsidR="00BB423D" w:rsidRPr="00BB423D">
        <w:rPr>
          <w:sz w:val="28"/>
          <w:szCs w:val="28"/>
        </w:rPr>
        <w:t xml:space="preserve"> </w:t>
      </w:r>
      <w:r w:rsidR="00BB423D">
        <w:rPr>
          <w:sz w:val="28"/>
          <w:szCs w:val="28"/>
        </w:rPr>
        <w:t xml:space="preserve">Exports </w:t>
      </w:r>
      <w:r w:rsidR="00BB423D" w:rsidRPr="00552A6F">
        <w:rPr>
          <w:sz w:val="28"/>
          <w:szCs w:val="28"/>
        </w:rPr>
        <w:t>generate financial inflows for states</w:t>
      </w:r>
      <w:r w:rsidR="0041679B">
        <w:rPr>
          <w:sz w:val="28"/>
          <w:szCs w:val="28"/>
        </w:rPr>
        <w:t xml:space="preserve"> and communities</w:t>
      </w:r>
      <w:r w:rsidR="00BB423D">
        <w:rPr>
          <w:sz w:val="28"/>
          <w:szCs w:val="28"/>
        </w:rPr>
        <w:t xml:space="preserve">, </w:t>
      </w:r>
      <w:r w:rsidR="00CB3B67">
        <w:rPr>
          <w:sz w:val="28"/>
          <w:szCs w:val="28"/>
        </w:rPr>
        <w:t>and</w:t>
      </w:r>
      <w:r w:rsidR="00BB423D" w:rsidRPr="00552A6F">
        <w:rPr>
          <w:sz w:val="28"/>
          <w:szCs w:val="28"/>
        </w:rPr>
        <w:t xml:space="preserve"> also </w:t>
      </w:r>
      <w:r w:rsidR="00BB423D">
        <w:rPr>
          <w:sz w:val="28"/>
          <w:szCs w:val="28"/>
        </w:rPr>
        <w:t>expand firms’ customer bases, increase firms’ competitiveness, and support good-paying jobs.</w:t>
      </w:r>
    </w:p>
    <w:p w14:paraId="004F4DCB" w14:textId="77777777" w:rsidR="009953FB" w:rsidRPr="009953FB" w:rsidRDefault="009953FB" w:rsidP="009953FB">
      <w:pPr>
        <w:pStyle w:val="ListParagraph"/>
        <w:rPr>
          <w:b/>
          <w:sz w:val="28"/>
          <w:szCs w:val="28"/>
        </w:rPr>
      </w:pPr>
    </w:p>
    <w:p w14:paraId="5AF67613" w14:textId="21C7A6B8" w:rsidR="009E264F" w:rsidRPr="009953FB" w:rsidRDefault="009E264F" w:rsidP="009E264F">
      <w:pPr>
        <w:pStyle w:val="ListParagraph"/>
        <w:numPr>
          <w:ilvl w:val="0"/>
          <w:numId w:val="5"/>
        </w:numPr>
        <w:rPr>
          <w:b/>
          <w:sz w:val="28"/>
          <w:szCs w:val="28"/>
        </w:rPr>
      </w:pPr>
      <w:r w:rsidRPr="009953FB">
        <w:rPr>
          <w:b/>
          <w:sz w:val="28"/>
          <w:szCs w:val="28"/>
        </w:rPr>
        <w:t>Agriculture</w:t>
      </w:r>
      <w:r w:rsidR="008E4AA1" w:rsidRPr="009953FB">
        <w:rPr>
          <w:b/>
          <w:sz w:val="28"/>
          <w:szCs w:val="28"/>
        </w:rPr>
        <w:t>.</w:t>
      </w:r>
      <w:r w:rsidR="009953FB">
        <w:rPr>
          <w:b/>
          <w:sz w:val="28"/>
          <w:szCs w:val="28"/>
        </w:rPr>
        <w:t xml:space="preserve"> </w:t>
      </w:r>
      <w:r w:rsidR="009953FB">
        <w:rPr>
          <w:sz w:val="28"/>
          <w:szCs w:val="28"/>
        </w:rPr>
        <w:t>Beyond generating much of the nation’s food supply the nation’s world-leading food exports counter a persistent deficit in non-agricultural merchandise trade.</w:t>
      </w:r>
    </w:p>
    <w:p w14:paraId="3F9DFA68" w14:textId="6ECF6CB4" w:rsidR="009E264F" w:rsidRPr="009953FB" w:rsidRDefault="009E264F" w:rsidP="0041679B">
      <w:pPr>
        <w:pStyle w:val="FootnoteText"/>
        <w:numPr>
          <w:ilvl w:val="0"/>
          <w:numId w:val="5"/>
        </w:numPr>
        <w:rPr>
          <w:b/>
          <w:sz w:val="28"/>
          <w:szCs w:val="28"/>
        </w:rPr>
      </w:pPr>
      <w:r w:rsidRPr="009953FB">
        <w:rPr>
          <w:b/>
          <w:sz w:val="28"/>
          <w:szCs w:val="28"/>
        </w:rPr>
        <w:t>Energy</w:t>
      </w:r>
      <w:r w:rsidR="008E4AA1" w:rsidRPr="009953FB">
        <w:rPr>
          <w:b/>
          <w:sz w:val="28"/>
          <w:szCs w:val="28"/>
        </w:rPr>
        <w:t>.</w:t>
      </w:r>
      <w:r w:rsidR="0041679B" w:rsidRPr="0041679B">
        <w:rPr>
          <w:sz w:val="28"/>
          <w:szCs w:val="28"/>
        </w:rPr>
        <w:t xml:space="preserve"> </w:t>
      </w:r>
      <w:r w:rsidR="0041679B">
        <w:rPr>
          <w:sz w:val="28"/>
          <w:szCs w:val="28"/>
        </w:rPr>
        <w:t xml:space="preserve">Energy </w:t>
      </w:r>
      <w:r w:rsidR="00D165E7">
        <w:rPr>
          <w:sz w:val="28"/>
          <w:szCs w:val="28"/>
        </w:rPr>
        <w:t xml:space="preserve">production </w:t>
      </w:r>
      <w:r w:rsidR="0041679B">
        <w:rPr>
          <w:sz w:val="28"/>
          <w:szCs w:val="28"/>
        </w:rPr>
        <w:t>is a significant source of prosperity, both as</w:t>
      </w:r>
      <w:r w:rsidR="00D165E7">
        <w:rPr>
          <w:sz w:val="28"/>
          <w:szCs w:val="28"/>
        </w:rPr>
        <w:t xml:space="preserve"> an export-oriented industry</w:t>
      </w:r>
      <w:r w:rsidR="0041679B">
        <w:rPr>
          <w:sz w:val="28"/>
          <w:szCs w:val="28"/>
        </w:rPr>
        <w:t xml:space="preserve"> sector and as an input for nearly every other good and service in the economy.</w:t>
      </w:r>
    </w:p>
    <w:p w14:paraId="65B7DC90" w14:textId="77777777" w:rsidR="009808BF" w:rsidRDefault="009808BF" w:rsidP="009808BF">
      <w:pPr>
        <w:rPr>
          <w:b/>
          <w:sz w:val="32"/>
          <w:szCs w:val="32"/>
        </w:rPr>
      </w:pPr>
    </w:p>
    <w:p w14:paraId="60EA65EE" w14:textId="366DC93A" w:rsidR="009808BF" w:rsidRPr="009808BF" w:rsidRDefault="0041679B" w:rsidP="009808BF">
      <w:pPr>
        <w:rPr>
          <w:b/>
          <w:sz w:val="32"/>
          <w:szCs w:val="32"/>
        </w:rPr>
      </w:pPr>
      <w:r>
        <w:rPr>
          <w:b/>
          <w:sz w:val="32"/>
          <w:szCs w:val="32"/>
        </w:rPr>
        <w:t>Talent</w:t>
      </w:r>
    </w:p>
    <w:p w14:paraId="7AF1ED73" w14:textId="438854FE" w:rsidR="009808BF" w:rsidRDefault="009D2506" w:rsidP="009808BF">
      <w:pPr>
        <w:rPr>
          <w:sz w:val="28"/>
          <w:szCs w:val="28"/>
        </w:rPr>
      </w:pPr>
      <w:r>
        <w:rPr>
          <w:sz w:val="28"/>
          <w:szCs w:val="28"/>
        </w:rPr>
        <w:t xml:space="preserve">Local workers’ skills and </w:t>
      </w:r>
      <w:r w:rsidR="00483B64">
        <w:rPr>
          <w:sz w:val="28"/>
          <w:szCs w:val="28"/>
        </w:rPr>
        <w:t>talents</w:t>
      </w:r>
      <w:r w:rsidR="00B325F5">
        <w:rPr>
          <w:sz w:val="28"/>
          <w:szCs w:val="28"/>
        </w:rPr>
        <w:t xml:space="preserve"> </w:t>
      </w:r>
      <w:r w:rsidR="00483B64">
        <w:rPr>
          <w:sz w:val="28"/>
          <w:szCs w:val="28"/>
        </w:rPr>
        <w:t>are</w:t>
      </w:r>
      <w:r w:rsidR="00B325F5">
        <w:rPr>
          <w:sz w:val="28"/>
          <w:szCs w:val="28"/>
        </w:rPr>
        <w:t xml:space="preserve"> critical to enhancing productivity, raising incomes</w:t>
      </w:r>
      <w:r w:rsidR="0041679B">
        <w:rPr>
          <w:sz w:val="28"/>
          <w:szCs w:val="28"/>
        </w:rPr>
        <w:t xml:space="preserve">, and driving economic growth. Cultivating </w:t>
      </w:r>
      <w:r w:rsidR="00B325F5">
        <w:rPr>
          <w:sz w:val="28"/>
          <w:szCs w:val="28"/>
        </w:rPr>
        <w:t xml:space="preserve">a skilled and educated workforce, and connecting those workers to employment, </w:t>
      </w:r>
      <w:r>
        <w:rPr>
          <w:sz w:val="28"/>
          <w:szCs w:val="28"/>
        </w:rPr>
        <w:t>are</w:t>
      </w:r>
      <w:r w:rsidR="00B325F5">
        <w:rPr>
          <w:sz w:val="28"/>
          <w:szCs w:val="28"/>
        </w:rPr>
        <w:t xml:space="preserve"> therefore critical for regional success. </w:t>
      </w:r>
      <w:r w:rsidR="00483B64">
        <w:rPr>
          <w:sz w:val="28"/>
          <w:szCs w:val="28"/>
        </w:rPr>
        <w:t>The region’s human capital</w:t>
      </w:r>
      <w:r w:rsidR="00B325F5">
        <w:rPr>
          <w:sz w:val="28"/>
          <w:szCs w:val="28"/>
        </w:rPr>
        <w:t xml:space="preserve"> is measured using eight indicators:</w:t>
      </w:r>
    </w:p>
    <w:p w14:paraId="02A53A48" w14:textId="0CCD8806" w:rsidR="00B325F5" w:rsidRPr="00B74E35" w:rsidRDefault="00B325F5" w:rsidP="00B325F5">
      <w:pPr>
        <w:pStyle w:val="ListParagraph"/>
        <w:numPr>
          <w:ilvl w:val="0"/>
          <w:numId w:val="6"/>
        </w:numPr>
        <w:rPr>
          <w:b/>
          <w:sz w:val="28"/>
          <w:szCs w:val="28"/>
        </w:rPr>
      </w:pPr>
      <w:r w:rsidRPr="00483B64">
        <w:rPr>
          <w:b/>
          <w:sz w:val="28"/>
          <w:szCs w:val="28"/>
        </w:rPr>
        <w:t>Population</w:t>
      </w:r>
      <w:r w:rsidR="00D165E7">
        <w:rPr>
          <w:b/>
          <w:sz w:val="28"/>
          <w:szCs w:val="28"/>
        </w:rPr>
        <w:t>.</w:t>
      </w:r>
      <w:r w:rsidR="00B74E35">
        <w:rPr>
          <w:b/>
          <w:sz w:val="28"/>
          <w:szCs w:val="28"/>
        </w:rPr>
        <w:t xml:space="preserve"> </w:t>
      </w:r>
      <w:r w:rsidR="00B74E35">
        <w:rPr>
          <w:sz w:val="28"/>
          <w:szCs w:val="28"/>
        </w:rPr>
        <w:t xml:space="preserve">Population growth </w:t>
      </w:r>
      <w:r w:rsidR="00276889">
        <w:rPr>
          <w:sz w:val="28"/>
          <w:szCs w:val="28"/>
        </w:rPr>
        <w:t xml:space="preserve">both </w:t>
      </w:r>
      <w:r w:rsidR="00B74E35">
        <w:rPr>
          <w:sz w:val="28"/>
          <w:szCs w:val="28"/>
        </w:rPr>
        <w:t>bolsters labor supply and enhances consumer demand</w:t>
      </w:r>
      <w:r w:rsidR="00276889">
        <w:rPr>
          <w:sz w:val="28"/>
          <w:szCs w:val="28"/>
        </w:rPr>
        <w:t>, and</w:t>
      </w:r>
      <w:r w:rsidR="00B74E35">
        <w:rPr>
          <w:sz w:val="28"/>
          <w:szCs w:val="28"/>
        </w:rPr>
        <w:t xml:space="preserve"> also </w:t>
      </w:r>
      <w:r w:rsidR="00276889">
        <w:rPr>
          <w:sz w:val="28"/>
          <w:szCs w:val="28"/>
        </w:rPr>
        <w:t xml:space="preserve">serves </w:t>
      </w:r>
      <w:r w:rsidR="00B74E35">
        <w:rPr>
          <w:sz w:val="28"/>
          <w:szCs w:val="28"/>
        </w:rPr>
        <w:t>a signal of local success, as individuals move to areas with stronger economic opportunity.</w:t>
      </w:r>
    </w:p>
    <w:p w14:paraId="3B4ECC1F" w14:textId="77777777" w:rsidR="00B74E35" w:rsidRPr="00483B64" w:rsidRDefault="00B74E35" w:rsidP="00B74E35">
      <w:pPr>
        <w:pStyle w:val="ListParagraph"/>
        <w:rPr>
          <w:b/>
          <w:sz w:val="28"/>
          <w:szCs w:val="28"/>
        </w:rPr>
      </w:pPr>
    </w:p>
    <w:p w14:paraId="5D82C4EE" w14:textId="5D8F958D" w:rsidR="00B74E35" w:rsidRPr="00B74E35" w:rsidRDefault="00B325F5" w:rsidP="00B74E35">
      <w:pPr>
        <w:pStyle w:val="ListParagraph"/>
        <w:numPr>
          <w:ilvl w:val="0"/>
          <w:numId w:val="6"/>
        </w:numPr>
        <w:rPr>
          <w:b/>
          <w:sz w:val="28"/>
          <w:szCs w:val="28"/>
        </w:rPr>
      </w:pPr>
      <w:r w:rsidRPr="00483B64">
        <w:rPr>
          <w:b/>
          <w:sz w:val="28"/>
          <w:szCs w:val="28"/>
        </w:rPr>
        <w:t>Young adult population</w:t>
      </w:r>
      <w:r w:rsidR="00D165E7">
        <w:rPr>
          <w:b/>
          <w:sz w:val="28"/>
          <w:szCs w:val="28"/>
        </w:rPr>
        <w:t>.</w:t>
      </w:r>
      <w:r w:rsidR="00B74E35">
        <w:rPr>
          <w:sz w:val="28"/>
          <w:szCs w:val="28"/>
        </w:rPr>
        <w:t xml:space="preserve"> Adults aged 18-to-34 are the largest segment of the U.S. workforce and a</w:t>
      </w:r>
      <w:r w:rsidR="00CB3B67">
        <w:rPr>
          <w:sz w:val="28"/>
          <w:szCs w:val="28"/>
        </w:rPr>
        <w:t xml:space="preserve">n important </w:t>
      </w:r>
      <w:r w:rsidR="00B74E35">
        <w:rPr>
          <w:sz w:val="28"/>
          <w:szCs w:val="28"/>
        </w:rPr>
        <w:t>consumer mar</w:t>
      </w:r>
      <w:r w:rsidR="00CB3B67">
        <w:rPr>
          <w:sz w:val="28"/>
          <w:szCs w:val="28"/>
        </w:rPr>
        <w:t>ket</w:t>
      </w:r>
      <w:r w:rsidR="00276889">
        <w:rPr>
          <w:sz w:val="28"/>
          <w:szCs w:val="28"/>
        </w:rPr>
        <w:t>, and as a result</w:t>
      </w:r>
      <w:r w:rsidR="00CB3B67">
        <w:rPr>
          <w:sz w:val="28"/>
          <w:szCs w:val="28"/>
        </w:rPr>
        <w:t xml:space="preserve"> will be a major </w:t>
      </w:r>
      <w:r w:rsidR="00B74E35">
        <w:rPr>
          <w:sz w:val="28"/>
          <w:szCs w:val="28"/>
        </w:rPr>
        <w:t xml:space="preserve">source of </w:t>
      </w:r>
      <w:r w:rsidR="00276889">
        <w:rPr>
          <w:sz w:val="28"/>
          <w:szCs w:val="28"/>
        </w:rPr>
        <w:t>economic output</w:t>
      </w:r>
      <w:r w:rsidR="00B74E35">
        <w:rPr>
          <w:sz w:val="28"/>
          <w:szCs w:val="28"/>
        </w:rPr>
        <w:t xml:space="preserve"> for decades to come.</w:t>
      </w:r>
      <w:r w:rsidR="00B74E35">
        <w:rPr>
          <w:sz w:val="28"/>
          <w:szCs w:val="28"/>
        </w:rPr>
        <w:br/>
      </w:r>
    </w:p>
    <w:p w14:paraId="1B490499" w14:textId="4A74B9B9" w:rsidR="00CB3B67" w:rsidRPr="00CB3B67" w:rsidRDefault="00B325F5" w:rsidP="00CB3B67">
      <w:pPr>
        <w:pStyle w:val="ListParagraph"/>
        <w:numPr>
          <w:ilvl w:val="0"/>
          <w:numId w:val="6"/>
        </w:numPr>
        <w:rPr>
          <w:b/>
          <w:sz w:val="28"/>
          <w:szCs w:val="28"/>
        </w:rPr>
      </w:pPr>
      <w:r w:rsidRPr="00483B64">
        <w:rPr>
          <w:b/>
          <w:sz w:val="28"/>
          <w:szCs w:val="28"/>
        </w:rPr>
        <w:t>Bachelor’s degree attainment</w:t>
      </w:r>
      <w:r w:rsidR="00D165E7">
        <w:rPr>
          <w:b/>
          <w:sz w:val="28"/>
          <w:szCs w:val="28"/>
        </w:rPr>
        <w:t>.</w:t>
      </w:r>
      <w:r w:rsidR="00B74E35">
        <w:rPr>
          <w:sz w:val="28"/>
          <w:szCs w:val="28"/>
        </w:rPr>
        <w:t xml:space="preserve"> </w:t>
      </w:r>
      <w:r w:rsidR="00CB3B67">
        <w:rPr>
          <w:sz w:val="28"/>
          <w:szCs w:val="28"/>
        </w:rPr>
        <w:t>A bachelor’s degree leads to higher wages, better hea</w:t>
      </w:r>
      <w:r w:rsidR="0093159C">
        <w:rPr>
          <w:sz w:val="28"/>
          <w:szCs w:val="28"/>
        </w:rPr>
        <w:t>lth, and greater job security, and r</w:t>
      </w:r>
      <w:r w:rsidR="00CB3B67">
        <w:rPr>
          <w:sz w:val="28"/>
          <w:szCs w:val="28"/>
        </w:rPr>
        <w:t>egions with high bachelor’s attainment see stronger productivity, output, and consumption.</w:t>
      </w:r>
      <w:r w:rsidR="00CB3B67">
        <w:rPr>
          <w:sz w:val="28"/>
          <w:szCs w:val="28"/>
        </w:rPr>
        <w:br/>
      </w:r>
    </w:p>
    <w:p w14:paraId="5779EF29" w14:textId="052214AA" w:rsidR="00B325F5" w:rsidRPr="0093159C" w:rsidRDefault="00B325F5" w:rsidP="00B325F5">
      <w:pPr>
        <w:pStyle w:val="ListParagraph"/>
        <w:numPr>
          <w:ilvl w:val="0"/>
          <w:numId w:val="6"/>
        </w:numPr>
        <w:rPr>
          <w:b/>
          <w:sz w:val="28"/>
          <w:szCs w:val="28"/>
        </w:rPr>
      </w:pPr>
      <w:r w:rsidRPr="00483B64">
        <w:rPr>
          <w:b/>
          <w:sz w:val="28"/>
          <w:szCs w:val="28"/>
        </w:rPr>
        <w:t>Size of the middle class</w:t>
      </w:r>
      <w:r w:rsidR="00D165E7">
        <w:rPr>
          <w:b/>
          <w:sz w:val="28"/>
          <w:szCs w:val="28"/>
        </w:rPr>
        <w:t>.</w:t>
      </w:r>
      <w:r w:rsidR="00CB3B67">
        <w:rPr>
          <w:b/>
          <w:sz w:val="28"/>
          <w:szCs w:val="28"/>
        </w:rPr>
        <w:t xml:space="preserve"> </w:t>
      </w:r>
      <w:r w:rsidR="00EC2F0B">
        <w:rPr>
          <w:sz w:val="28"/>
          <w:szCs w:val="28"/>
        </w:rPr>
        <w:t>A</w:t>
      </w:r>
      <w:r w:rsidR="0093159C">
        <w:rPr>
          <w:sz w:val="28"/>
          <w:szCs w:val="28"/>
        </w:rPr>
        <w:t xml:space="preserve"> strong middle class</w:t>
      </w:r>
      <w:r w:rsidR="00EC2F0B">
        <w:rPr>
          <w:sz w:val="28"/>
          <w:szCs w:val="28"/>
        </w:rPr>
        <w:t xml:space="preserve">, </w:t>
      </w:r>
      <w:r w:rsidR="00F13E53">
        <w:rPr>
          <w:sz w:val="28"/>
          <w:szCs w:val="28"/>
        </w:rPr>
        <w:t xml:space="preserve">defined as </w:t>
      </w:r>
      <w:r w:rsidR="00EC2F0B">
        <w:rPr>
          <w:sz w:val="28"/>
          <w:szCs w:val="28"/>
        </w:rPr>
        <w:t>the proportion of the population that is 5</w:t>
      </w:r>
      <w:r w:rsidR="005C34AD">
        <w:rPr>
          <w:sz w:val="28"/>
          <w:szCs w:val="28"/>
        </w:rPr>
        <w:t xml:space="preserve">0 percent to 150 percent of </w:t>
      </w:r>
      <w:r w:rsidR="00EC2F0B">
        <w:rPr>
          <w:sz w:val="28"/>
          <w:szCs w:val="28"/>
        </w:rPr>
        <w:t>median household income,</w:t>
      </w:r>
      <w:r w:rsidR="0093159C">
        <w:rPr>
          <w:sz w:val="28"/>
          <w:szCs w:val="28"/>
        </w:rPr>
        <w:t xml:space="preserve"> is linked to outcomes such as a better-educated population and stronger entrepreneurship.</w:t>
      </w:r>
    </w:p>
    <w:p w14:paraId="01E5DBCA" w14:textId="77777777" w:rsidR="0093159C" w:rsidRPr="00483B64" w:rsidRDefault="0093159C" w:rsidP="0093159C">
      <w:pPr>
        <w:pStyle w:val="ListParagraph"/>
        <w:rPr>
          <w:b/>
          <w:sz w:val="28"/>
          <w:szCs w:val="28"/>
        </w:rPr>
      </w:pPr>
    </w:p>
    <w:p w14:paraId="7BD8D613" w14:textId="668BDCAA" w:rsidR="00B325F5" w:rsidRPr="00483B64" w:rsidRDefault="00B325F5" w:rsidP="00B325F5">
      <w:pPr>
        <w:pStyle w:val="ListParagraph"/>
        <w:numPr>
          <w:ilvl w:val="0"/>
          <w:numId w:val="6"/>
        </w:numPr>
        <w:rPr>
          <w:b/>
          <w:sz w:val="28"/>
          <w:szCs w:val="28"/>
        </w:rPr>
      </w:pPr>
      <w:r w:rsidRPr="00483B64">
        <w:rPr>
          <w:b/>
          <w:sz w:val="28"/>
          <w:szCs w:val="28"/>
        </w:rPr>
        <w:t>Racial income gap</w:t>
      </w:r>
      <w:r w:rsidR="00D165E7">
        <w:rPr>
          <w:b/>
          <w:sz w:val="28"/>
          <w:szCs w:val="28"/>
        </w:rPr>
        <w:t>.</w:t>
      </w:r>
      <w:r w:rsidR="00DC5F9B">
        <w:rPr>
          <w:b/>
          <w:sz w:val="28"/>
          <w:szCs w:val="28"/>
        </w:rPr>
        <w:t xml:space="preserve"> </w:t>
      </w:r>
      <w:r w:rsidR="00DC5F9B">
        <w:rPr>
          <w:sz w:val="28"/>
          <w:szCs w:val="28"/>
        </w:rPr>
        <w:t xml:space="preserve">Racial income gaps </w:t>
      </w:r>
      <w:r w:rsidR="00EC2F0B">
        <w:rPr>
          <w:sz w:val="28"/>
          <w:szCs w:val="28"/>
        </w:rPr>
        <w:t xml:space="preserve">measure the </w:t>
      </w:r>
      <w:r w:rsidR="005C34AD">
        <w:rPr>
          <w:sz w:val="28"/>
          <w:szCs w:val="28"/>
        </w:rPr>
        <w:t>variance</w:t>
      </w:r>
      <w:r w:rsidR="00EC2F0B">
        <w:rPr>
          <w:sz w:val="28"/>
          <w:szCs w:val="28"/>
        </w:rPr>
        <w:t xml:space="preserve"> in income across different racial groups, and are</w:t>
      </w:r>
      <w:r w:rsidR="00DC5F9B">
        <w:rPr>
          <w:sz w:val="28"/>
          <w:szCs w:val="28"/>
        </w:rPr>
        <w:t xml:space="preserve"> major barrier to inclusive economies; they exacerbate growing racial wealth divides, and reinforce structural disadvantages for certain racial groups.</w:t>
      </w:r>
      <w:r w:rsidR="00DC5F9B">
        <w:rPr>
          <w:sz w:val="28"/>
          <w:szCs w:val="28"/>
        </w:rPr>
        <w:br/>
      </w:r>
    </w:p>
    <w:p w14:paraId="4899A378" w14:textId="1C8F2C59" w:rsidR="00B325F5" w:rsidRPr="00483B64" w:rsidRDefault="00B325F5" w:rsidP="00B325F5">
      <w:pPr>
        <w:pStyle w:val="ListParagraph"/>
        <w:numPr>
          <w:ilvl w:val="0"/>
          <w:numId w:val="6"/>
        </w:numPr>
        <w:rPr>
          <w:b/>
          <w:sz w:val="28"/>
          <w:szCs w:val="28"/>
        </w:rPr>
      </w:pPr>
      <w:r w:rsidRPr="00483B64">
        <w:rPr>
          <w:b/>
          <w:sz w:val="28"/>
          <w:szCs w:val="28"/>
        </w:rPr>
        <w:t>Not-working rate (for prime aged men)</w:t>
      </w:r>
      <w:r w:rsidR="00D165E7">
        <w:rPr>
          <w:b/>
          <w:sz w:val="28"/>
          <w:szCs w:val="28"/>
        </w:rPr>
        <w:t>.</w:t>
      </w:r>
      <w:r w:rsidR="00276889" w:rsidRPr="00276889">
        <w:rPr>
          <w:sz w:val="28"/>
          <w:szCs w:val="28"/>
        </w:rPr>
        <w:t xml:space="preserve"> </w:t>
      </w:r>
      <w:r w:rsidR="00276889">
        <w:rPr>
          <w:sz w:val="28"/>
          <w:szCs w:val="28"/>
        </w:rPr>
        <w:t>The not-working rate shows the proportion of the men 18-to-64 that are currently employed; not working worsens economic insecurity, reduces happiness and life satisfaction, and exacerbates health problems.</w:t>
      </w:r>
      <w:r w:rsidR="00276889">
        <w:rPr>
          <w:sz w:val="28"/>
          <w:szCs w:val="28"/>
        </w:rPr>
        <w:br/>
      </w:r>
    </w:p>
    <w:p w14:paraId="7D042F9D" w14:textId="5EB94571" w:rsidR="00B325F5" w:rsidRPr="00483B64" w:rsidRDefault="00B325F5" w:rsidP="00B325F5">
      <w:pPr>
        <w:pStyle w:val="ListParagraph"/>
        <w:numPr>
          <w:ilvl w:val="0"/>
          <w:numId w:val="6"/>
        </w:numPr>
        <w:rPr>
          <w:b/>
          <w:sz w:val="28"/>
          <w:szCs w:val="28"/>
        </w:rPr>
      </w:pPr>
      <w:r w:rsidRPr="00483B64">
        <w:rPr>
          <w:b/>
          <w:sz w:val="28"/>
          <w:szCs w:val="28"/>
        </w:rPr>
        <w:t>Opioid death rate</w:t>
      </w:r>
      <w:r w:rsidR="00D165E7">
        <w:rPr>
          <w:b/>
          <w:sz w:val="28"/>
          <w:szCs w:val="28"/>
        </w:rPr>
        <w:t>.</w:t>
      </w:r>
      <w:r w:rsidR="00B25102">
        <w:rPr>
          <w:sz w:val="28"/>
          <w:szCs w:val="28"/>
        </w:rPr>
        <w:t xml:space="preserve"> Opioid overdoses</w:t>
      </w:r>
      <w:r w:rsidR="00EC2F0B">
        <w:rPr>
          <w:sz w:val="28"/>
          <w:szCs w:val="28"/>
        </w:rPr>
        <w:t xml:space="preserve">, measured by the number of opioid overdose deaths per 100,000 people, </w:t>
      </w:r>
      <w:r w:rsidR="00B25102">
        <w:rPr>
          <w:sz w:val="28"/>
          <w:szCs w:val="28"/>
        </w:rPr>
        <w:t xml:space="preserve">are a growing public health pandemic </w:t>
      </w:r>
      <w:r w:rsidR="00EC2F0B">
        <w:rPr>
          <w:sz w:val="28"/>
          <w:szCs w:val="28"/>
        </w:rPr>
        <w:t>that</w:t>
      </w:r>
      <w:r w:rsidR="00B25102">
        <w:rPr>
          <w:sz w:val="28"/>
          <w:szCs w:val="28"/>
        </w:rPr>
        <w:t xml:space="preserve"> take a large toll on both an economic and human level.</w:t>
      </w:r>
    </w:p>
    <w:p w14:paraId="26C34DB5" w14:textId="5401F711" w:rsidR="000009A2" w:rsidRDefault="000009A2" w:rsidP="000009A2">
      <w:pPr>
        <w:rPr>
          <w:sz w:val="28"/>
          <w:szCs w:val="28"/>
        </w:rPr>
      </w:pPr>
    </w:p>
    <w:p w14:paraId="6A701E51" w14:textId="68D8CD06" w:rsidR="000009A2" w:rsidRPr="000009A2" w:rsidRDefault="000009A2" w:rsidP="000009A2">
      <w:pPr>
        <w:rPr>
          <w:b/>
          <w:sz w:val="32"/>
          <w:szCs w:val="32"/>
        </w:rPr>
      </w:pPr>
      <w:r w:rsidRPr="000009A2">
        <w:rPr>
          <w:b/>
          <w:sz w:val="32"/>
          <w:szCs w:val="32"/>
        </w:rPr>
        <w:t>Innovation</w:t>
      </w:r>
    </w:p>
    <w:p w14:paraId="603E5351" w14:textId="5B0184B0" w:rsidR="000009A2" w:rsidRDefault="00483B64" w:rsidP="000009A2">
      <w:pPr>
        <w:rPr>
          <w:sz w:val="28"/>
          <w:szCs w:val="28"/>
        </w:rPr>
      </w:pPr>
      <w:r>
        <w:rPr>
          <w:sz w:val="28"/>
          <w:szCs w:val="28"/>
        </w:rPr>
        <w:t xml:space="preserve">The innovation capacities of places are a key driver of long-term economic performance.  </w:t>
      </w:r>
      <w:r w:rsidR="00717D46">
        <w:rPr>
          <w:sz w:val="28"/>
          <w:szCs w:val="28"/>
        </w:rPr>
        <w:t xml:space="preserve">Innovation not only </w:t>
      </w:r>
      <w:r>
        <w:rPr>
          <w:sz w:val="28"/>
          <w:szCs w:val="28"/>
        </w:rPr>
        <w:t xml:space="preserve">allows </w:t>
      </w:r>
      <w:r w:rsidR="009D2506">
        <w:rPr>
          <w:sz w:val="28"/>
          <w:szCs w:val="28"/>
        </w:rPr>
        <w:t>economies to d</w:t>
      </w:r>
      <w:r>
        <w:rPr>
          <w:sz w:val="28"/>
          <w:szCs w:val="28"/>
        </w:rPr>
        <w:t xml:space="preserve">evelop and deploy new commercial applications </w:t>
      </w:r>
      <w:r w:rsidR="009D2506">
        <w:rPr>
          <w:sz w:val="28"/>
          <w:szCs w:val="28"/>
        </w:rPr>
        <w:t xml:space="preserve">and </w:t>
      </w:r>
      <w:r>
        <w:rPr>
          <w:sz w:val="28"/>
          <w:szCs w:val="28"/>
        </w:rPr>
        <w:t>start more new businesses</w:t>
      </w:r>
      <w:r w:rsidR="009D2506">
        <w:rPr>
          <w:sz w:val="28"/>
          <w:szCs w:val="28"/>
        </w:rPr>
        <w:t xml:space="preserve">.  In addition, innovation can catalyze faster growth while also </w:t>
      </w:r>
      <w:r w:rsidR="00717D46">
        <w:rPr>
          <w:sz w:val="28"/>
          <w:szCs w:val="28"/>
        </w:rPr>
        <w:t>mak</w:t>
      </w:r>
      <w:r w:rsidR="009D2506">
        <w:rPr>
          <w:sz w:val="28"/>
          <w:szCs w:val="28"/>
        </w:rPr>
        <w:t>ing</w:t>
      </w:r>
      <w:r w:rsidR="00717D46">
        <w:rPr>
          <w:sz w:val="28"/>
          <w:szCs w:val="28"/>
        </w:rPr>
        <w:t xml:space="preserve"> a region more resilient in the face of disruptive change</w:t>
      </w:r>
      <w:r>
        <w:rPr>
          <w:sz w:val="28"/>
          <w:szCs w:val="28"/>
        </w:rPr>
        <w:t xml:space="preserve">, in part by allowing </w:t>
      </w:r>
      <w:r w:rsidR="009D2506">
        <w:rPr>
          <w:sz w:val="28"/>
          <w:szCs w:val="28"/>
        </w:rPr>
        <w:t xml:space="preserve">local businesses to </w:t>
      </w:r>
      <w:r>
        <w:rPr>
          <w:sz w:val="28"/>
          <w:szCs w:val="28"/>
        </w:rPr>
        <w:t>maintain industrial competitiveness</w:t>
      </w:r>
      <w:r w:rsidR="009D2506">
        <w:rPr>
          <w:sz w:val="28"/>
          <w:szCs w:val="28"/>
        </w:rPr>
        <w:t xml:space="preserve">.  </w:t>
      </w:r>
      <w:r w:rsidR="005242AA">
        <w:rPr>
          <w:sz w:val="28"/>
          <w:szCs w:val="28"/>
        </w:rPr>
        <w:t xml:space="preserve">The </w:t>
      </w:r>
      <w:r w:rsidR="009D2506">
        <w:rPr>
          <w:sz w:val="28"/>
          <w:szCs w:val="28"/>
        </w:rPr>
        <w:t>f</w:t>
      </w:r>
      <w:r w:rsidR="009953FB">
        <w:rPr>
          <w:sz w:val="28"/>
          <w:szCs w:val="28"/>
        </w:rPr>
        <w:t>actbook</w:t>
      </w:r>
      <w:r w:rsidR="005242AA">
        <w:rPr>
          <w:sz w:val="28"/>
          <w:szCs w:val="28"/>
        </w:rPr>
        <w:t xml:space="preserve"> </w:t>
      </w:r>
      <w:r w:rsidR="009D2506">
        <w:rPr>
          <w:sz w:val="28"/>
          <w:szCs w:val="28"/>
        </w:rPr>
        <w:t xml:space="preserve">therefore </w:t>
      </w:r>
      <w:r w:rsidR="005242AA">
        <w:rPr>
          <w:sz w:val="28"/>
          <w:szCs w:val="28"/>
        </w:rPr>
        <w:t>measu</w:t>
      </w:r>
      <w:r w:rsidR="009218EF">
        <w:rPr>
          <w:sz w:val="28"/>
          <w:szCs w:val="28"/>
        </w:rPr>
        <w:t xml:space="preserve">res innovation by assessing the assets required to both generate new technologies and translate them into new economic opportunities. </w:t>
      </w:r>
      <w:r w:rsidR="009D2506">
        <w:rPr>
          <w:sz w:val="28"/>
          <w:szCs w:val="28"/>
        </w:rPr>
        <w:t xml:space="preserve"> </w:t>
      </w:r>
      <w:r w:rsidR="00D165E7">
        <w:rPr>
          <w:sz w:val="28"/>
          <w:szCs w:val="28"/>
        </w:rPr>
        <w:t xml:space="preserve">Five </w:t>
      </w:r>
      <w:r w:rsidR="009218EF">
        <w:rPr>
          <w:sz w:val="28"/>
          <w:szCs w:val="28"/>
        </w:rPr>
        <w:t>indicators are</w:t>
      </w:r>
      <w:r w:rsidR="00D165E7">
        <w:rPr>
          <w:sz w:val="28"/>
          <w:szCs w:val="28"/>
        </w:rPr>
        <w:t xml:space="preserve"> employed</w:t>
      </w:r>
      <w:r w:rsidR="009218EF">
        <w:rPr>
          <w:sz w:val="28"/>
          <w:szCs w:val="28"/>
        </w:rPr>
        <w:t>:</w:t>
      </w:r>
    </w:p>
    <w:p w14:paraId="037CC5C5" w14:textId="13520CF7" w:rsidR="009218EF" w:rsidRPr="00483B64" w:rsidRDefault="009218EF" w:rsidP="009218EF">
      <w:pPr>
        <w:pStyle w:val="ListParagraph"/>
        <w:numPr>
          <w:ilvl w:val="0"/>
          <w:numId w:val="7"/>
        </w:numPr>
        <w:rPr>
          <w:b/>
          <w:sz w:val="28"/>
          <w:szCs w:val="28"/>
        </w:rPr>
      </w:pPr>
      <w:r w:rsidRPr="00483B64">
        <w:rPr>
          <w:b/>
          <w:sz w:val="28"/>
          <w:szCs w:val="28"/>
        </w:rPr>
        <w:t>Research and development spending</w:t>
      </w:r>
      <w:r w:rsidR="00D165E7">
        <w:rPr>
          <w:b/>
          <w:sz w:val="28"/>
          <w:szCs w:val="28"/>
        </w:rPr>
        <w:t>.</w:t>
      </w:r>
      <w:r w:rsidR="000C1610">
        <w:rPr>
          <w:sz w:val="28"/>
          <w:szCs w:val="28"/>
        </w:rPr>
        <w:t xml:space="preserve"> R&amp;D spending</w:t>
      </w:r>
      <w:r w:rsidR="00EC2F0B">
        <w:rPr>
          <w:sz w:val="28"/>
          <w:szCs w:val="28"/>
        </w:rPr>
        <w:t>, measured by the percent of gross state product spent on R&amp;D,</w:t>
      </w:r>
      <w:r w:rsidR="000C1610">
        <w:rPr>
          <w:sz w:val="28"/>
          <w:szCs w:val="28"/>
        </w:rPr>
        <w:t xml:space="preserve"> generates new products and processes that boost productivity and support economic growth.</w:t>
      </w:r>
      <w:r w:rsidR="000C1610">
        <w:rPr>
          <w:sz w:val="28"/>
          <w:szCs w:val="28"/>
        </w:rPr>
        <w:br/>
      </w:r>
    </w:p>
    <w:p w14:paraId="61130C6D" w14:textId="320BF481" w:rsidR="009218EF" w:rsidRPr="00483B64" w:rsidRDefault="009218EF" w:rsidP="009218EF">
      <w:pPr>
        <w:pStyle w:val="ListParagraph"/>
        <w:numPr>
          <w:ilvl w:val="0"/>
          <w:numId w:val="7"/>
        </w:numPr>
        <w:rPr>
          <w:b/>
          <w:sz w:val="28"/>
          <w:szCs w:val="28"/>
        </w:rPr>
      </w:pPr>
      <w:r w:rsidRPr="00483B64">
        <w:rPr>
          <w:b/>
          <w:sz w:val="28"/>
          <w:szCs w:val="28"/>
        </w:rPr>
        <w:t>University technology transfer rankings</w:t>
      </w:r>
      <w:r w:rsidR="00D165E7">
        <w:rPr>
          <w:b/>
          <w:sz w:val="28"/>
          <w:szCs w:val="28"/>
        </w:rPr>
        <w:t>.</w:t>
      </w:r>
      <w:r w:rsidR="000C1610">
        <w:rPr>
          <w:sz w:val="28"/>
          <w:szCs w:val="28"/>
        </w:rPr>
        <w:t xml:space="preserve"> </w:t>
      </w:r>
      <w:r w:rsidR="00EC2F0B">
        <w:rPr>
          <w:sz w:val="28"/>
          <w:szCs w:val="28"/>
        </w:rPr>
        <w:t>These rankings measure which universities are most effective</w:t>
      </w:r>
      <w:r w:rsidR="000C1610">
        <w:rPr>
          <w:sz w:val="28"/>
          <w:szCs w:val="28"/>
        </w:rPr>
        <w:t xml:space="preserve"> converting research into commercial intellectual property, </w:t>
      </w:r>
      <w:r w:rsidR="00EC2F0B">
        <w:rPr>
          <w:sz w:val="28"/>
          <w:szCs w:val="28"/>
        </w:rPr>
        <w:t xml:space="preserve">an important source of </w:t>
      </w:r>
      <w:r w:rsidR="005C34AD">
        <w:rPr>
          <w:sz w:val="28"/>
          <w:szCs w:val="28"/>
        </w:rPr>
        <w:t xml:space="preserve">product and industry </w:t>
      </w:r>
      <w:r w:rsidR="00EC2F0B">
        <w:rPr>
          <w:sz w:val="28"/>
          <w:szCs w:val="28"/>
        </w:rPr>
        <w:t>innovation</w:t>
      </w:r>
      <w:r w:rsidR="005C34AD">
        <w:rPr>
          <w:sz w:val="28"/>
          <w:szCs w:val="28"/>
        </w:rPr>
        <w:t>s</w:t>
      </w:r>
      <w:r w:rsidR="00EC2F0B">
        <w:rPr>
          <w:sz w:val="28"/>
          <w:szCs w:val="28"/>
        </w:rPr>
        <w:t>.</w:t>
      </w:r>
      <w:r w:rsidR="000C1610">
        <w:rPr>
          <w:sz w:val="28"/>
          <w:szCs w:val="28"/>
        </w:rPr>
        <w:br/>
      </w:r>
    </w:p>
    <w:p w14:paraId="14846249" w14:textId="4BA2CA0E" w:rsidR="009218EF" w:rsidRPr="00483B64" w:rsidRDefault="009218EF" w:rsidP="009218EF">
      <w:pPr>
        <w:pStyle w:val="ListParagraph"/>
        <w:numPr>
          <w:ilvl w:val="0"/>
          <w:numId w:val="7"/>
        </w:numPr>
        <w:rPr>
          <w:b/>
          <w:sz w:val="28"/>
          <w:szCs w:val="28"/>
        </w:rPr>
      </w:pPr>
      <w:r w:rsidRPr="00483B64">
        <w:rPr>
          <w:b/>
          <w:sz w:val="28"/>
          <w:szCs w:val="28"/>
        </w:rPr>
        <w:t>Venture capital spending</w:t>
      </w:r>
      <w:r w:rsidR="00D165E7">
        <w:rPr>
          <w:b/>
          <w:sz w:val="28"/>
          <w:szCs w:val="28"/>
        </w:rPr>
        <w:t>.</w:t>
      </w:r>
      <w:r w:rsidR="00117DB8">
        <w:rPr>
          <w:b/>
          <w:sz w:val="28"/>
          <w:szCs w:val="28"/>
        </w:rPr>
        <w:t xml:space="preserve"> </w:t>
      </w:r>
      <w:r w:rsidR="00117DB8">
        <w:rPr>
          <w:sz w:val="28"/>
          <w:szCs w:val="28"/>
        </w:rPr>
        <w:t>Venture capital</w:t>
      </w:r>
      <w:r w:rsidR="00EC2F0B">
        <w:rPr>
          <w:sz w:val="28"/>
          <w:szCs w:val="28"/>
        </w:rPr>
        <w:t xml:space="preserve">, measured in the amount of </w:t>
      </w:r>
      <w:r w:rsidR="00A62BFC">
        <w:rPr>
          <w:sz w:val="28"/>
          <w:szCs w:val="28"/>
        </w:rPr>
        <w:t xml:space="preserve">VC </w:t>
      </w:r>
      <w:r w:rsidR="00EC2F0B">
        <w:rPr>
          <w:sz w:val="28"/>
          <w:szCs w:val="28"/>
        </w:rPr>
        <w:t>spending per state,</w:t>
      </w:r>
      <w:r w:rsidR="003729D6">
        <w:rPr>
          <w:sz w:val="28"/>
          <w:szCs w:val="28"/>
        </w:rPr>
        <w:t xml:space="preserve"> enhances entrepreneurship by</w:t>
      </w:r>
      <w:r w:rsidR="00AF4904">
        <w:rPr>
          <w:sz w:val="28"/>
          <w:szCs w:val="28"/>
        </w:rPr>
        <w:t xml:space="preserve"> help</w:t>
      </w:r>
      <w:r w:rsidR="003729D6">
        <w:rPr>
          <w:sz w:val="28"/>
          <w:szCs w:val="28"/>
        </w:rPr>
        <w:t>ing to</w:t>
      </w:r>
      <w:r w:rsidR="00117DB8">
        <w:rPr>
          <w:sz w:val="28"/>
          <w:szCs w:val="28"/>
        </w:rPr>
        <w:t xml:space="preserve"> creat</w:t>
      </w:r>
      <w:r w:rsidR="00143D4D">
        <w:rPr>
          <w:sz w:val="28"/>
          <w:szCs w:val="28"/>
        </w:rPr>
        <w:t>e new firms</w:t>
      </w:r>
      <w:r w:rsidR="00117DB8">
        <w:rPr>
          <w:sz w:val="28"/>
          <w:szCs w:val="28"/>
        </w:rPr>
        <w:t>, a</w:t>
      </w:r>
      <w:r w:rsidR="003729D6">
        <w:rPr>
          <w:sz w:val="28"/>
          <w:szCs w:val="28"/>
        </w:rPr>
        <w:t xml:space="preserve">s well as </w:t>
      </w:r>
      <w:r w:rsidR="00AF4904">
        <w:rPr>
          <w:sz w:val="28"/>
          <w:szCs w:val="28"/>
        </w:rPr>
        <w:t>improv</w:t>
      </w:r>
      <w:r w:rsidR="003729D6">
        <w:rPr>
          <w:sz w:val="28"/>
          <w:szCs w:val="28"/>
        </w:rPr>
        <w:t>ing</w:t>
      </w:r>
      <w:r w:rsidR="00117DB8">
        <w:rPr>
          <w:sz w:val="28"/>
          <w:szCs w:val="28"/>
        </w:rPr>
        <w:t xml:space="preserve"> the </w:t>
      </w:r>
      <w:r w:rsidR="001C6DB3">
        <w:rPr>
          <w:sz w:val="28"/>
          <w:szCs w:val="28"/>
        </w:rPr>
        <w:t>operations</w:t>
      </w:r>
      <w:r w:rsidR="00117DB8">
        <w:rPr>
          <w:sz w:val="28"/>
          <w:szCs w:val="28"/>
        </w:rPr>
        <w:t xml:space="preserve"> of startup firms.</w:t>
      </w:r>
      <w:r w:rsidR="00117DB8">
        <w:rPr>
          <w:sz w:val="28"/>
          <w:szCs w:val="28"/>
        </w:rPr>
        <w:br/>
      </w:r>
    </w:p>
    <w:p w14:paraId="0C6752F6" w14:textId="45E44EB6" w:rsidR="009218EF" w:rsidRPr="00483B64" w:rsidRDefault="009218EF" w:rsidP="009218EF">
      <w:pPr>
        <w:pStyle w:val="ListParagraph"/>
        <w:numPr>
          <w:ilvl w:val="0"/>
          <w:numId w:val="7"/>
        </w:numPr>
        <w:rPr>
          <w:b/>
          <w:sz w:val="28"/>
          <w:szCs w:val="28"/>
        </w:rPr>
      </w:pPr>
      <w:r w:rsidRPr="00483B64">
        <w:rPr>
          <w:b/>
          <w:sz w:val="28"/>
          <w:szCs w:val="28"/>
        </w:rPr>
        <w:t>Metropolitan area economic activity</w:t>
      </w:r>
      <w:r w:rsidR="00D165E7">
        <w:rPr>
          <w:b/>
          <w:sz w:val="28"/>
          <w:szCs w:val="28"/>
        </w:rPr>
        <w:t>.</w:t>
      </w:r>
      <w:r w:rsidR="00CB017B">
        <w:rPr>
          <w:sz w:val="28"/>
          <w:szCs w:val="28"/>
        </w:rPr>
        <w:t xml:space="preserve"> Cities and their surrounding areas generate the majority of U.S. output and exports, and are hubs for highly productive workers, </w:t>
      </w:r>
      <w:r w:rsidR="00A62BFC">
        <w:rPr>
          <w:sz w:val="28"/>
          <w:szCs w:val="28"/>
        </w:rPr>
        <w:t>so measur</w:t>
      </w:r>
      <w:r w:rsidR="00143D4D">
        <w:rPr>
          <w:sz w:val="28"/>
          <w:szCs w:val="28"/>
        </w:rPr>
        <w:t>ing</w:t>
      </w:r>
      <w:r w:rsidR="00A62BFC">
        <w:rPr>
          <w:sz w:val="28"/>
          <w:szCs w:val="28"/>
        </w:rPr>
        <w:t xml:space="preserve"> the output produced by metropolitan areas</w:t>
      </w:r>
      <w:r w:rsidR="00143D4D">
        <w:rPr>
          <w:sz w:val="28"/>
          <w:szCs w:val="28"/>
        </w:rPr>
        <w:t xml:space="preserve"> is an important benchmark.</w:t>
      </w:r>
      <w:r w:rsidR="00CB017B">
        <w:rPr>
          <w:sz w:val="28"/>
          <w:szCs w:val="28"/>
        </w:rPr>
        <w:br/>
      </w:r>
    </w:p>
    <w:p w14:paraId="67081F10" w14:textId="7CDDB0A5" w:rsidR="009218EF" w:rsidRPr="00483B64" w:rsidRDefault="009218EF" w:rsidP="009218EF">
      <w:pPr>
        <w:pStyle w:val="ListParagraph"/>
        <w:numPr>
          <w:ilvl w:val="0"/>
          <w:numId w:val="7"/>
        </w:numPr>
        <w:rPr>
          <w:b/>
          <w:sz w:val="28"/>
          <w:szCs w:val="28"/>
        </w:rPr>
      </w:pPr>
      <w:r w:rsidRPr="00483B64">
        <w:rPr>
          <w:b/>
          <w:sz w:val="28"/>
          <w:szCs w:val="28"/>
        </w:rPr>
        <w:t>Digitalization score</w:t>
      </w:r>
      <w:r w:rsidR="00D165E7">
        <w:rPr>
          <w:b/>
          <w:sz w:val="28"/>
          <w:szCs w:val="28"/>
        </w:rPr>
        <w:t>.</w:t>
      </w:r>
      <w:r w:rsidR="002140E2">
        <w:rPr>
          <w:b/>
          <w:sz w:val="28"/>
          <w:szCs w:val="28"/>
        </w:rPr>
        <w:t xml:space="preserve"> </w:t>
      </w:r>
      <w:r w:rsidR="00A62BFC">
        <w:rPr>
          <w:sz w:val="28"/>
          <w:szCs w:val="28"/>
        </w:rPr>
        <w:t xml:space="preserve">Digitalization scores measures the average level of digital skills in the state’s labor market; higher digitalization </w:t>
      </w:r>
      <w:r w:rsidR="002140E2">
        <w:rPr>
          <w:sz w:val="28"/>
          <w:szCs w:val="28"/>
        </w:rPr>
        <w:t>leads to greater returns from increased</w:t>
      </w:r>
      <w:r w:rsidR="00A62BFC">
        <w:rPr>
          <w:sz w:val="28"/>
          <w:szCs w:val="28"/>
        </w:rPr>
        <w:t xml:space="preserve"> worker</w:t>
      </w:r>
      <w:r w:rsidR="002140E2">
        <w:rPr>
          <w:sz w:val="28"/>
          <w:szCs w:val="28"/>
        </w:rPr>
        <w:t xml:space="preserve"> produ</w:t>
      </w:r>
      <w:r w:rsidR="00A62BFC">
        <w:rPr>
          <w:sz w:val="28"/>
          <w:szCs w:val="28"/>
        </w:rPr>
        <w:t>ctivity, and higher wages for</w:t>
      </w:r>
      <w:r w:rsidR="002140E2">
        <w:rPr>
          <w:sz w:val="28"/>
          <w:szCs w:val="28"/>
        </w:rPr>
        <w:t xml:space="preserve"> workers.</w:t>
      </w:r>
    </w:p>
    <w:p w14:paraId="0433908E" w14:textId="7B8CB3B8" w:rsidR="009218EF" w:rsidRDefault="009218EF" w:rsidP="009218EF">
      <w:pPr>
        <w:rPr>
          <w:sz w:val="28"/>
          <w:szCs w:val="28"/>
        </w:rPr>
      </w:pPr>
    </w:p>
    <w:p w14:paraId="5FD7982C" w14:textId="394B9541" w:rsidR="009218EF" w:rsidRPr="003D3247" w:rsidRDefault="003D3247" w:rsidP="009218EF">
      <w:pPr>
        <w:rPr>
          <w:b/>
          <w:sz w:val="28"/>
          <w:szCs w:val="28"/>
        </w:rPr>
      </w:pPr>
      <w:r w:rsidRPr="003D3247">
        <w:rPr>
          <w:b/>
          <w:sz w:val="28"/>
          <w:szCs w:val="28"/>
        </w:rPr>
        <w:t>Infrastructure and Built Environment</w:t>
      </w:r>
    </w:p>
    <w:p w14:paraId="23A9BCCD" w14:textId="28D10AA1" w:rsidR="003D3247" w:rsidRDefault="007D300A" w:rsidP="009218EF">
      <w:pPr>
        <w:rPr>
          <w:sz w:val="28"/>
          <w:szCs w:val="28"/>
        </w:rPr>
      </w:pPr>
      <w:r>
        <w:rPr>
          <w:sz w:val="28"/>
          <w:szCs w:val="28"/>
        </w:rPr>
        <w:t>Infrastructure, both physical and digital, connect people and businesses to the broader economy.</w:t>
      </w:r>
      <w:r w:rsidR="008D346F">
        <w:rPr>
          <w:sz w:val="28"/>
          <w:szCs w:val="28"/>
        </w:rPr>
        <w:t xml:space="preserve"> </w:t>
      </w:r>
      <w:r w:rsidR="00AC3D1F">
        <w:rPr>
          <w:sz w:val="28"/>
          <w:szCs w:val="28"/>
        </w:rPr>
        <w:t xml:space="preserve">The way that land is used has a major impact on both the growth of a region, and how inclusive it is for people of all means. The </w:t>
      </w:r>
      <w:r w:rsidR="00B7498C">
        <w:rPr>
          <w:sz w:val="28"/>
          <w:szCs w:val="28"/>
        </w:rPr>
        <w:t>f</w:t>
      </w:r>
      <w:r w:rsidR="009953FB">
        <w:rPr>
          <w:sz w:val="28"/>
          <w:szCs w:val="28"/>
        </w:rPr>
        <w:t>actbook</w:t>
      </w:r>
      <w:r w:rsidR="00AC3D1F">
        <w:rPr>
          <w:sz w:val="28"/>
          <w:szCs w:val="28"/>
        </w:rPr>
        <w:t xml:space="preserve"> measures infrastructure and </w:t>
      </w:r>
      <w:r w:rsidR="00B7498C">
        <w:rPr>
          <w:sz w:val="28"/>
          <w:szCs w:val="28"/>
        </w:rPr>
        <w:t xml:space="preserve">the </w:t>
      </w:r>
      <w:r w:rsidR="00AC3D1F">
        <w:rPr>
          <w:sz w:val="28"/>
          <w:szCs w:val="28"/>
        </w:rPr>
        <w:t xml:space="preserve">build environment using three </w:t>
      </w:r>
      <w:r w:rsidR="00D601AA">
        <w:rPr>
          <w:sz w:val="28"/>
          <w:szCs w:val="28"/>
        </w:rPr>
        <w:t>indicators</w:t>
      </w:r>
      <w:r w:rsidR="00AC3D1F">
        <w:rPr>
          <w:sz w:val="28"/>
          <w:szCs w:val="28"/>
        </w:rPr>
        <w:t>:</w:t>
      </w:r>
    </w:p>
    <w:p w14:paraId="283253BE" w14:textId="066DF224" w:rsidR="00D601AA" w:rsidRPr="00E26429" w:rsidRDefault="00D601AA" w:rsidP="00D601AA">
      <w:pPr>
        <w:pStyle w:val="ListParagraph"/>
        <w:numPr>
          <w:ilvl w:val="0"/>
          <w:numId w:val="8"/>
        </w:numPr>
        <w:rPr>
          <w:b/>
          <w:sz w:val="28"/>
          <w:szCs w:val="28"/>
        </w:rPr>
      </w:pPr>
      <w:r w:rsidRPr="00483B64">
        <w:rPr>
          <w:b/>
          <w:sz w:val="28"/>
          <w:szCs w:val="28"/>
        </w:rPr>
        <w:t>Growth by community type</w:t>
      </w:r>
      <w:r w:rsidR="00D165E7">
        <w:rPr>
          <w:b/>
          <w:sz w:val="28"/>
          <w:szCs w:val="28"/>
        </w:rPr>
        <w:t>.</w:t>
      </w:r>
      <w:r w:rsidR="00B7498C">
        <w:rPr>
          <w:sz w:val="28"/>
          <w:szCs w:val="28"/>
        </w:rPr>
        <w:t xml:space="preserve"> The distribution of growth across place—here reflected </w:t>
      </w:r>
      <w:r w:rsidR="00E26429">
        <w:rPr>
          <w:sz w:val="28"/>
          <w:szCs w:val="28"/>
        </w:rPr>
        <w:t>in population</w:t>
      </w:r>
      <w:r w:rsidR="00B7498C">
        <w:rPr>
          <w:sz w:val="28"/>
          <w:szCs w:val="28"/>
        </w:rPr>
        <w:t xml:space="preserve"> growth--is a critical determinant of growth, prosperity, and inclusion. </w:t>
      </w:r>
    </w:p>
    <w:p w14:paraId="42EF05DA" w14:textId="77777777" w:rsidR="00E26429" w:rsidRPr="00483B64" w:rsidRDefault="00E26429" w:rsidP="00E26429">
      <w:pPr>
        <w:pStyle w:val="ListParagraph"/>
        <w:rPr>
          <w:b/>
          <w:sz w:val="28"/>
          <w:szCs w:val="28"/>
        </w:rPr>
      </w:pPr>
    </w:p>
    <w:p w14:paraId="2DC36063" w14:textId="49C1F73E" w:rsidR="00D601AA" w:rsidRPr="00483B64" w:rsidRDefault="00D601AA" w:rsidP="00D601AA">
      <w:pPr>
        <w:pStyle w:val="ListParagraph"/>
        <w:numPr>
          <w:ilvl w:val="0"/>
          <w:numId w:val="8"/>
        </w:numPr>
        <w:rPr>
          <w:b/>
          <w:sz w:val="28"/>
          <w:szCs w:val="28"/>
        </w:rPr>
      </w:pPr>
      <w:r w:rsidRPr="00483B64">
        <w:rPr>
          <w:b/>
          <w:sz w:val="28"/>
          <w:szCs w:val="28"/>
        </w:rPr>
        <w:t>Housing values</w:t>
      </w:r>
      <w:r w:rsidR="00D165E7">
        <w:rPr>
          <w:b/>
          <w:sz w:val="28"/>
          <w:szCs w:val="28"/>
        </w:rPr>
        <w:t>.</w:t>
      </w:r>
      <w:r w:rsidR="00E26429">
        <w:rPr>
          <w:sz w:val="28"/>
          <w:szCs w:val="28"/>
        </w:rPr>
        <w:t xml:space="preserve"> Housing is one of the largest consumer expenses, so lower housing </w:t>
      </w:r>
      <w:r w:rsidR="00E14A07">
        <w:rPr>
          <w:sz w:val="28"/>
          <w:szCs w:val="28"/>
        </w:rPr>
        <w:t>values</w:t>
      </w:r>
      <w:r w:rsidR="00E26429">
        <w:rPr>
          <w:sz w:val="28"/>
          <w:szCs w:val="28"/>
        </w:rPr>
        <w:t xml:space="preserve"> allow individuals a higher quality of life, and reflect broader regional purchasing power trends.</w:t>
      </w:r>
      <w:r w:rsidR="00E26429">
        <w:rPr>
          <w:sz w:val="28"/>
          <w:szCs w:val="28"/>
        </w:rPr>
        <w:br/>
      </w:r>
    </w:p>
    <w:p w14:paraId="5EB71DD1" w14:textId="6BEA71B4" w:rsidR="00AC3D1F" w:rsidRPr="00483B64" w:rsidRDefault="00D601AA" w:rsidP="00D601AA">
      <w:pPr>
        <w:pStyle w:val="ListParagraph"/>
        <w:numPr>
          <w:ilvl w:val="0"/>
          <w:numId w:val="8"/>
        </w:numPr>
        <w:rPr>
          <w:b/>
          <w:sz w:val="28"/>
          <w:szCs w:val="28"/>
        </w:rPr>
      </w:pPr>
      <w:r w:rsidRPr="00483B64">
        <w:rPr>
          <w:b/>
          <w:sz w:val="28"/>
          <w:szCs w:val="28"/>
        </w:rPr>
        <w:t>Broadband access</w:t>
      </w:r>
      <w:r w:rsidR="00D165E7">
        <w:rPr>
          <w:b/>
          <w:sz w:val="28"/>
          <w:szCs w:val="28"/>
        </w:rPr>
        <w:t>.</w:t>
      </w:r>
      <w:r w:rsidR="00D64D29">
        <w:rPr>
          <w:b/>
          <w:sz w:val="28"/>
          <w:szCs w:val="28"/>
        </w:rPr>
        <w:t xml:space="preserve"> </w:t>
      </w:r>
      <w:r w:rsidR="00D64D29">
        <w:rPr>
          <w:sz w:val="28"/>
          <w:szCs w:val="28"/>
        </w:rPr>
        <w:t xml:space="preserve">Broadband is essential to work, study, and remain connected </w:t>
      </w:r>
      <w:r w:rsidR="00A62BFC">
        <w:rPr>
          <w:sz w:val="28"/>
          <w:szCs w:val="28"/>
        </w:rPr>
        <w:t xml:space="preserve">in </w:t>
      </w:r>
      <w:r w:rsidR="00D64D29">
        <w:rPr>
          <w:sz w:val="28"/>
          <w:szCs w:val="28"/>
        </w:rPr>
        <w:t>the 21</w:t>
      </w:r>
      <w:r w:rsidR="00D64D29" w:rsidRPr="00D64D29">
        <w:rPr>
          <w:sz w:val="28"/>
          <w:szCs w:val="28"/>
          <w:vertAlign w:val="superscript"/>
        </w:rPr>
        <w:t>st</w:t>
      </w:r>
      <w:r w:rsidR="00D64D29">
        <w:rPr>
          <w:sz w:val="28"/>
          <w:szCs w:val="28"/>
        </w:rPr>
        <w:t xml:space="preserve"> century economy, so l</w:t>
      </w:r>
      <w:r w:rsidR="00E14A07">
        <w:rPr>
          <w:sz w:val="28"/>
          <w:szCs w:val="28"/>
        </w:rPr>
        <w:t xml:space="preserve">ack of </w:t>
      </w:r>
      <w:r w:rsidR="00D64D29">
        <w:rPr>
          <w:sz w:val="28"/>
          <w:szCs w:val="28"/>
        </w:rPr>
        <w:t>access to affordable, high-speed broadband inhibits individuals’ wellbeing and regions’ economic growth.</w:t>
      </w:r>
    </w:p>
    <w:sectPr w:rsidR="00AC3D1F" w:rsidRPr="00483B64" w:rsidSect="003505C3">
      <w:endnotePr>
        <w:numFmt w:val="decimal"/>
      </w:endnotePr>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198408" w16cid:durableId="1EFDA0A2"/>
  <w16cid:commentId w16cid:paraId="68EB08D6" w16cid:durableId="1EFD90F5"/>
  <w16cid:commentId w16cid:paraId="1BBEE318" w16cid:durableId="1EFDA1A5"/>
  <w16cid:commentId w16cid:paraId="051AD209" w16cid:durableId="1EFD902D"/>
  <w16cid:commentId w16cid:paraId="70F84D3A" w16cid:durableId="1EFD9145"/>
  <w16cid:commentId w16cid:paraId="5F603B73" w16cid:durableId="1EFDA3E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FDDE4F" w14:textId="77777777" w:rsidR="00BF3C24" w:rsidRDefault="00BF3C24" w:rsidP="006E78A7">
      <w:pPr>
        <w:spacing w:after="0" w:line="240" w:lineRule="auto"/>
      </w:pPr>
      <w:r>
        <w:separator/>
      </w:r>
    </w:p>
  </w:endnote>
  <w:endnote w:type="continuationSeparator" w:id="0">
    <w:p w14:paraId="3892DEEA" w14:textId="77777777" w:rsidR="00BF3C24" w:rsidRDefault="00BF3C24" w:rsidP="006E78A7">
      <w:pPr>
        <w:spacing w:after="0" w:line="240" w:lineRule="auto"/>
      </w:pPr>
      <w:r>
        <w:continuationSeparator/>
      </w:r>
    </w:p>
  </w:endnote>
  <w:endnote w:id="1">
    <w:p w14:paraId="319082B7" w14:textId="0574D3C4" w:rsidR="00B9487F" w:rsidRDefault="00B9487F">
      <w:pPr>
        <w:pStyle w:val="EndnoteText"/>
      </w:pPr>
      <w:r>
        <w:rPr>
          <w:rStyle w:val="EndnoteReference"/>
        </w:rPr>
        <w:endnoteRef/>
      </w:r>
      <w:r>
        <w:t xml:space="preserve"> </w:t>
      </w:r>
      <w:r w:rsidR="00266DDD">
        <w:t>The framework articulated here follows that developed for the “Metro Monitor”—an annual benchmarking of the performance of the 100 largest U.S. metropolitan areas developed by the Metropolitan Policy Program at Brookings. See Chad Shearer and others, “Metro Monitor: An Index of Inclusive Economic Growth in the 100 Largest U.S. Metropolitan Areas” (Washington: Brookings Institution, 2018).</w:t>
      </w:r>
    </w:p>
  </w:endnote>
  <w:endnote w:id="2">
    <w:p w14:paraId="25519793" w14:textId="77777777" w:rsidR="00BB156C" w:rsidRDefault="00BB156C" w:rsidP="00BB156C">
      <w:pPr>
        <w:pStyle w:val="EndnoteText"/>
      </w:pPr>
      <w:r>
        <w:rPr>
          <w:rStyle w:val="EndnoteReference"/>
        </w:rPr>
        <w:endnoteRef/>
      </w:r>
      <w:r>
        <w:t xml:space="preserve"> This definition of economic development reflects discussion in Maryann Feldman and others, “Economic Development: A Definition and Model for Investment (Washington: Economic Development Administration, 2016).</w:t>
      </w:r>
    </w:p>
  </w:endnote>
  <w:endnote w:id="3">
    <w:p w14:paraId="76CA1AA0" w14:textId="77777777" w:rsidR="00593F9A" w:rsidRDefault="00593F9A" w:rsidP="00593F9A">
      <w:pPr>
        <w:pStyle w:val="EndnoteText"/>
      </w:pPr>
      <w:r>
        <w:rPr>
          <w:rStyle w:val="EndnoteReference"/>
        </w:rPr>
        <w:endnoteRef/>
      </w:r>
      <w:r>
        <w:t xml:space="preserve"> These drivers are drawn from the factors identified for regional prosperity by the Brookings Metropolitan Policy Program in partnership with </w:t>
      </w:r>
      <w:r w:rsidRPr="001722B7">
        <w:t>Valley Vision</w:t>
      </w:r>
      <w:r>
        <w:t xml:space="preserve">, </w:t>
      </w:r>
      <w:r w:rsidRPr="001722B7">
        <w:t>Greater Sacramento Economic Council, Sacramento Metro Chamber, Sacramento Region Business Association, and Sacramento Area Council of Governments</w:t>
      </w:r>
      <w:r>
        <w:t xml:space="preserve">. See </w:t>
      </w:r>
      <w:r w:rsidRPr="00D41FA6">
        <w:t>Joseph Parilla, Sifan Liu, and Marek Gootman</w:t>
      </w:r>
      <w:r>
        <w:t>, “</w:t>
      </w:r>
      <w:r w:rsidRPr="00D41FA6">
        <w:t>Charting a course to the Sacramento region’s future economic prosperity</w:t>
      </w:r>
      <w:r>
        <w:t>” (Washington: Brookings Institution, 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4E319" w14:textId="77777777" w:rsidR="00BF3C24" w:rsidRDefault="00BF3C24" w:rsidP="006E78A7">
      <w:pPr>
        <w:spacing w:after="0" w:line="240" w:lineRule="auto"/>
      </w:pPr>
      <w:r>
        <w:separator/>
      </w:r>
    </w:p>
  </w:footnote>
  <w:footnote w:type="continuationSeparator" w:id="0">
    <w:p w14:paraId="349901D1" w14:textId="77777777" w:rsidR="00BF3C24" w:rsidRDefault="00BF3C24" w:rsidP="006E7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104BF"/>
    <w:multiLevelType w:val="hybridMultilevel"/>
    <w:tmpl w:val="A460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81E5C"/>
    <w:multiLevelType w:val="hybridMultilevel"/>
    <w:tmpl w:val="EADC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3330A"/>
    <w:multiLevelType w:val="hybridMultilevel"/>
    <w:tmpl w:val="76D8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F3BB7"/>
    <w:multiLevelType w:val="hybridMultilevel"/>
    <w:tmpl w:val="2FBE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92658"/>
    <w:multiLevelType w:val="hybridMultilevel"/>
    <w:tmpl w:val="4984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90C9C"/>
    <w:multiLevelType w:val="hybridMultilevel"/>
    <w:tmpl w:val="F3C46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484632"/>
    <w:multiLevelType w:val="hybridMultilevel"/>
    <w:tmpl w:val="68B2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B142B"/>
    <w:multiLevelType w:val="hybridMultilevel"/>
    <w:tmpl w:val="D5D6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4A8"/>
    <w:rsid w:val="000009A2"/>
    <w:rsid w:val="00021CDA"/>
    <w:rsid w:val="00056DC4"/>
    <w:rsid w:val="00065753"/>
    <w:rsid w:val="00086DA3"/>
    <w:rsid w:val="0009112A"/>
    <w:rsid w:val="000951DA"/>
    <w:rsid w:val="00096925"/>
    <w:rsid w:val="000B18AB"/>
    <w:rsid w:val="000B2841"/>
    <w:rsid w:val="000C1610"/>
    <w:rsid w:val="000C4D60"/>
    <w:rsid w:val="000C5C89"/>
    <w:rsid w:val="000E6D9F"/>
    <w:rsid w:val="00107087"/>
    <w:rsid w:val="00117DB8"/>
    <w:rsid w:val="00122B55"/>
    <w:rsid w:val="00143D4D"/>
    <w:rsid w:val="00171DED"/>
    <w:rsid w:val="001722B7"/>
    <w:rsid w:val="001A2C02"/>
    <w:rsid w:val="001A4613"/>
    <w:rsid w:val="001C3F43"/>
    <w:rsid w:val="001C6DB3"/>
    <w:rsid w:val="001E1E2F"/>
    <w:rsid w:val="002140E2"/>
    <w:rsid w:val="00231952"/>
    <w:rsid w:val="00266DDD"/>
    <w:rsid w:val="00276889"/>
    <w:rsid w:val="002D6869"/>
    <w:rsid w:val="003505C3"/>
    <w:rsid w:val="003729D6"/>
    <w:rsid w:val="00375639"/>
    <w:rsid w:val="00381373"/>
    <w:rsid w:val="00383574"/>
    <w:rsid w:val="003D3247"/>
    <w:rsid w:val="0041679B"/>
    <w:rsid w:val="00425C81"/>
    <w:rsid w:val="00425E94"/>
    <w:rsid w:val="0045780D"/>
    <w:rsid w:val="00465CBD"/>
    <w:rsid w:val="0048391E"/>
    <w:rsid w:val="00483B64"/>
    <w:rsid w:val="004D123D"/>
    <w:rsid w:val="004E203B"/>
    <w:rsid w:val="004E6D31"/>
    <w:rsid w:val="0051337B"/>
    <w:rsid w:val="005242AA"/>
    <w:rsid w:val="00531CAE"/>
    <w:rsid w:val="00560C2A"/>
    <w:rsid w:val="00593F9A"/>
    <w:rsid w:val="005C34AD"/>
    <w:rsid w:val="005D4FC3"/>
    <w:rsid w:val="005F034F"/>
    <w:rsid w:val="006175A8"/>
    <w:rsid w:val="00630315"/>
    <w:rsid w:val="006660E9"/>
    <w:rsid w:val="00671EA7"/>
    <w:rsid w:val="00693F4E"/>
    <w:rsid w:val="0069783B"/>
    <w:rsid w:val="006E78A7"/>
    <w:rsid w:val="00717D46"/>
    <w:rsid w:val="007228F0"/>
    <w:rsid w:val="007702DD"/>
    <w:rsid w:val="00795048"/>
    <w:rsid w:val="007B4631"/>
    <w:rsid w:val="007D300A"/>
    <w:rsid w:val="007F444F"/>
    <w:rsid w:val="00811E04"/>
    <w:rsid w:val="008526E8"/>
    <w:rsid w:val="00861F0E"/>
    <w:rsid w:val="00886DDC"/>
    <w:rsid w:val="00887433"/>
    <w:rsid w:val="00896B5F"/>
    <w:rsid w:val="008D346F"/>
    <w:rsid w:val="008E4AA1"/>
    <w:rsid w:val="008F1CFD"/>
    <w:rsid w:val="00911A2C"/>
    <w:rsid w:val="009218EF"/>
    <w:rsid w:val="00923DA8"/>
    <w:rsid w:val="00925B46"/>
    <w:rsid w:val="0093159C"/>
    <w:rsid w:val="00937477"/>
    <w:rsid w:val="00967FE5"/>
    <w:rsid w:val="009808BF"/>
    <w:rsid w:val="009953FB"/>
    <w:rsid w:val="009B2474"/>
    <w:rsid w:val="009B27EB"/>
    <w:rsid w:val="009D049C"/>
    <w:rsid w:val="009D2506"/>
    <w:rsid w:val="009D74A8"/>
    <w:rsid w:val="009E264F"/>
    <w:rsid w:val="00A62BFC"/>
    <w:rsid w:val="00A83889"/>
    <w:rsid w:val="00A92758"/>
    <w:rsid w:val="00AA1626"/>
    <w:rsid w:val="00AB3718"/>
    <w:rsid w:val="00AC1CAB"/>
    <w:rsid w:val="00AC3D1F"/>
    <w:rsid w:val="00AF4904"/>
    <w:rsid w:val="00B02E93"/>
    <w:rsid w:val="00B25102"/>
    <w:rsid w:val="00B26DD4"/>
    <w:rsid w:val="00B325F5"/>
    <w:rsid w:val="00B6008E"/>
    <w:rsid w:val="00B640ED"/>
    <w:rsid w:val="00B7498C"/>
    <w:rsid w:val="00B74E35"/>
    <w:rsid w:val="00B9487F"/>
    <w:rsid w:val="00BB156C"/>
    <w:rsid w:val="00BB423D"/>
    <w:rsid w:val="00BB6414"/>
    <w:rsid w:val="00BC425B"/>
    <w:rsid w:val="00BF3C24"/>
    <w:rsid w:val="00C14C98"/>
    <w:rsid w:val="00C3412C"/>
    <w:rsid w:val="00C37A4C"/>
    <w:rsid w:val="00C84953"/>
    <w:rsid w:val="00C96620"/>
    <w:rsid w:val="00CA48EF"/>
    <w:rsid w:val="00CB017B"/>
    <w:rsid w:val="00CB3B67"/>
    <w:rsid w:val="00CC0071"/>
    <w:rsid w:val="00CE50D7"/>
    <w:rsid w:val="00CE7931"/>
    <w:rsid w:val="00D165E7"/>
    <w:rsid w:val="00D37205"/>
    <w:rsid w:val="00D41FA6"/>
    <w:rsid w:val="00D601AA"/>
    <w:rsid w:val="00D64D29"/>
    <w:rsid w:val="00D974B5"/>
    <w:rsid w:val="00DB3847"/>
    <w:rsid w:val="00DC5F9B"/>
    <w:rsid w:val="00E14A07"/>
    <w:rsid w:val="00E26429"/>
    <w:rsid w:val="00EA06F2"/>
    <w:rsid w:val="00EA253C"/>
    <w:rsid w:val="00EC2F0B"/>
    <w:rsid w:val="00F13E53"/>
    <w:rsid w:val="00F2632B"/>
    <w:rsid w:val="00F50236"/>
    <w:rsid w:val="00FB67AD"/>
    <w:rsid w:val="00FC43EE"/>
    <w:rsid w:val="00FC5687"/>
    <w:rsid w:val="00FE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305B"/>
  <w15:chartTrackingRefBased/>
  <w15:docId w15:val="{934C7933-5E80-44C9-94A4-BB86AD3B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8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869"/>
    <w:rPr>
      <w:rFonts w:ascii="Segoe UI" w:hAnsi="Segoe UI" w:cs="Segoe UI"/>
      <w:sz w:val="18"/>
      <w:szCs w:val="18"/>
    </w:rPr>
  </w:style>
  <w:style w:type="paragraph" w:styleId="EndnoteText">
    <w:name w:val="endnote text"/>
    <w:basedOn w:val="Normal"/>
    <w:link w:val="EndnoteTextChar"/>
    <w:uiPriority w:val="99"/>
    <w:semiHidden/>
    <w:unhideWhenUsed/>
    <w:rsid w:val="006E78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78A7"/>
    <w:rPr>
      <w:sz w:val="20"/>
      <w:szCs w:val="20"/>
    </w:rPr>
  </w:style>
  <w:style w:type="character" w:styleId="EndnoteReference">
    <w:name w:val="endnote reference"/>
    <w:basedOn w:val="DefaultParagraphFont"/>
    <w:uiPriority w:val="99"/>
    <w:semiHidden/>
    <w:unhideWhenUsed/>
    <w:rsid w:val="006E78A7"/>
    <w:rPr>
      <w:vertAlign w:val="superscript"/>
    </w:rPr>
  </w:style>
  <w:style w:type="character" w:styleId="Hyperlink">
    <w:name w:val="Hyperlink"/>
    <w:basedOn w:val="DefaultParagraphFont"/>
    <w:uiPriority w:val="99"/>
    <w:unhideWhenUsed/>
    <w:rsid w:val="006E78A7"/>
    <w:rPr>
      <w:color w:val="0563C1" w:themeColor="hyperlink"/>
      <w:u w:val="single"/>
    </w:rPr>
  </w:style>
  <w:style w:type="paragraph" w:styleId="ListParagraph">
    <w:name w:val="List Paragraph"/>
    <w:basedOn w:val="Normal"/>
    <w:uiPriority w:val="34"/>
    <w:qFormat/>
    <w:rsid w:val="00AA1626"/>
    <w:pPr>
      <w:ind w:left="720"/>
      <w:contextualSpacing/>
    </w:pPr>
  </w:style>
  <w:style w:type="character" w:styleId="CommentReference">
    <w:name w:val="annotation reference"/>
    <w:basedOn w:val="DefaultParagraphFont"/>
    <w:uiPriority w:val="99"/>
    <w:semiHidden/>
    <w:unhideWhenUsed/>
    <w:rsid w:val="00886DDC"/>
    <w:rPr>
      <w:sz w:val="16"/>
      <w:szCs w:val="16"/>
    </w:rPr>
  </w:style>
  <w:style w:type="paragraph" w:styleId="CommentText">
    <w:name w:val="annotation text"/>
    <w:basedOn w:val="Normal"/>
    <w:link w:val="CommentTextChar"/>
    <w:uiPriority w:val="99"/>
    <w:semiHidden/>
    <w:unhideWhenUsed/>
    <w:rsid w:val="00886DDC"/>
    <w:pPr>
      <w:spacing w:line="240" w:lineRule="auto"/>
    </w:pPr>
    <w:rPr>
      <w:sz w:val="20"/>
      <w:szCs w:val="20"/>
    </w:rPr>
  </w:style>
  <w:style w:type="character" w:customStyle="1" w:styleId="CommentTextChar">
    <w:name w:val="Comment Text Char"/>
    <w:basedOn w:val="DefaultParagraphFont"/>
    <w:link w:val="CommentText"/>
    <w:uiPriority w:val="99"/>
    <w:semiHidden/>
    <w:rsid w:val="00886DDC"/>
    <w:rPr>
      <w:sz w:val="20"/>
      <w:szCs w:val="20"/>
    </w:rPr>
  </w:style>
  <w:style w:type="paragraph" w:styleId="CommentSubject">
    <w:name w:val="annotation subject"/>
    <w:basedOn w:val="CommentText"/>
    <w:next w:val="CommentText"/>
    <w:link w:val="CommentSubjectChar"/>
    <w:uiPriority w:val="99"/>
    <w:semiHidden/>
    <w:unhideWhenUsed/>
    <w:rsid w:val="00886DDC"/>
    <w:rPr>
      <w:b/>
      <w:bCs/>
    </w:rPr>
  </w:style>
  <w:style w:type="character" w:customStyle="1" w:styleId="CommentSubjectChar">
    <w:name w:val="Comment Subject Char"/>
    <w:basedOn w:val="CommentTextChar"/>
    <w:link w:val="CommentSubject"/>
    <w:uiPriority w:val="99"/>
    <w:semiHidden/>
    <w:rsid w:val="00886DDC"/>
    <w:rPr>
      <w:b/>
      <w:bCs/>
      <w:sz w:val="20"/>
      <w:szCs w:val="20"/>
    </w:rPr>
  </w:style>
  <w:style w:type="paragraph" w:styleId="FootnoteText">
    <w:name w:val="footnote text"/>
    <w:basedOn w:val="Normal"/>
    <w:link w:val="FootnoteTextChar"/>
    <w:uiPriority w:val="99"/>
    <w:semiHidden/>
    <w:unhideWhenUsed/>
    <w:rsid w:val="001722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2B7"/>
    <w:rPr>
      <w:sz w:val="20"/>
      <w:szCs w:val="20"/>
    </w:rPr>
  </w:style>
  <w:style w:type="character" w:styleId="FootnoteReference">
    <w:name w:val="footnote reference"/>
    <w:basedOn w:val="DefaultParagraphFont"/>
    <w:uiPriority w:val="99"/>
    <w:semiHidden/>
    <w:unhideWhenUsed/>
    <w:rsid w:val="001722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461A9-055D-47E7-9EDB-A55628C63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DeVol</dc:creator>
  <cp:keywords/>
  <dc:description/>
  <cp:lastModifiedBy>Mark Muro</cp:lastModifiedBy>
  <cp:revision>19</cp:revision>
  <cp:lastPrinted>2018-06-05T18:39:00Z</cp:lastPrinted>
  <dcterms:created xsi:type="dcterms:W3CDTF">2018-07-31T17:18:00Z</dcterms:created>
  <dcterms:modified xsi:type="dcterms:W3CDTF">2018-07-31T19:11:00Z</dcterms:modified>
</cp:coreProperties>
</file>