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264A4" w14:textId="5CD97073" w:rsidR="0006121D" w:rsidRPr="00161FC9" w:rsidRDefault="0006121D" w:rsidP="000A0847">
      <w:pPr>
        <w:pStyle w:val="NormalWeb"/>
        <w:rPr>
          <w:rStyle w:val="Strong"/>
          <w:rFonts w:asciiTheme="minorHAnsi" w:hAnsiTheme="minorHAnsi"/>
          <w:sz w:val="32"/>
        </w:rPr>
      </w:pPr>
      <w:r w:rsidRPr="00161FC9">
        <w:rPr>
          <w:rStyle w:val="Strong"/>
          <w:rFonts w:asciiTheme="minorHAnsi" w:hAnsiTheme="minorHAnsi"/>
          <w:sz w:val="32"/>
        </w:rPr>
        <w:t xml:space="preserve">Renewing America’s Economic Promise through Older Industrial Cities </w:t>
      </w:r>
    </w:p>
    <w:p w14:paraId="065DEF39" w14:textId="74B1F5AB" w:rsidR="0006121D" w:rsidRPr="0006121D" w:rsidRDefault="0006121D" w:rsidP="000A0847">
      <w:pPr>
        <w:pStyle w:val="NormalWeb"/>
        <w:rPr>
          <w:rStyle w:val="Strong"/>
          <w:rFonts w:asciiTheme="minorHAnsi" w:hAnsiTheme="minorHAnsi"/>
          <w:b w:val="0"/>
        </w:rPr>
      </w:pPr>
      <w:r>
        <w:rPr>
          <w:rStyle w:val="Strong"/>
          <w:rFonts w:asciiTheme="minorHAnsi" w:hAnsiTheme="minorHAnsi"/>
          <w:b w:val="0"/>
        </w:rPr>
        <w:t>Alan Berube and Cecile Murray, Brookings Metropolitan Policy Program</w:t>
      </w:r>
    </w:p>
    <w:p w14:paraId="32BD987A" w14:textId="4A8DEF97" w:rsidR="0006121D" w:rsidRDefault="0006121D" w:rsidP="000A0847">
      <w:pPr>
        <w:pStyle w:val="NormalWeb"/>
        <w:rPr>
          <w:rStyle w:val="Strong"/>
          <w:rFonts w:asciiTheme="minorHAnsi" w:hAnsiTheme="minorHAnsi"/>
        </w:rPr>
      </w:pPr>
    </w:p>
    <w:p w14:paraId="39DD5F99" w14:textId="77777777" w:rsidR="00B316B8" w:rsidRPr="000A0847" w:rsidRDefault="00B316B8" w:rsidP="00B316B8">
      <w:pPr>
        <w:pStyle w:val="NormalWeb"/>
        <w:rPr>
          <w:rStyle w:val="Strong"/>
          <w:rFonts w:asciiTheme="minorHAnsi" w:hAnsiTheme="minorHAnsi"/>
          <w:sz w:val="28"/>
        </w:rPr>
      </w:pPr>
      <w:r w:rsidRPr="000A0847">
        <w:rPr>
          <w:rStyle w:val="Strong"/>
          <w:rFonts w:asciiTheme="minorHAnsi" w:hAnsiTheme="minorHAnsi"/>
          <w:sz w:val="28"/>
        </w:rPr>
        <w:t>Executive Summary</w:t>
      </w:r>
    </w:p>
    <w:p w14:paraId="0262C7E6" w14:textId="56AA4B26" w:rsidR="00B316B8" w:rsidRDefault="00671DE6" w:rsidP="00671DE6">
      <w:pPr>
        <w:pStyle w:val="NormalWeb"/>
        <w:rPr>
          <w:rStyle w:val="Strong"/>
          <w:rFonts w:asciiTheme="minorHAnsi" w:hAnsiTheme="minorHAnsi"/>
          <w:b w:val="0"/>
          <w:sz w:val="22"/>
        </w:rPr>
      </w:pPr>
      <w:r>
        <w:rPr>
          <w:rFonts w:ascii="Calibri" w:hAnsi="Calibri"/>
          <w:color w:val="000000"/>
          <w:sz w:val="22"/>
          <w:szCs w:val="22"/>
        </w:rPr>
        <w:t xml:space="preserve">America’s </w:t>
      </w:r>
      <w:r w:rsidRPr="00DC2F20">
        <w:rPr>
          <w:rFonts w:ascii="Calibri" w:hAnsi="Calibri"/>
          <w:i/>
          <w:color w:val="000000"/>
          <w:sz w:val="22"/>
          <w:szCs w:val="22"/>
        </w:rPr>
        <w:t>older industrial cities</w:t>
      </w:r>
      <w:r>
        <w:rPr>
          <w:rFonts w:ascii="Calibri" w:hAnsi="Calibri"/>
          <w:color w:val="000000"/>
          <w:sz w:val="22"/>
          <w:szCs w:val="22"/>
        </w:rPr>
        <w:t>—Akron, Ohio and Albany, Ga.; New Bedford, Mass. and Newark, N.J.; St. Louis, Mo. and St. Paul, Minn.; and dozens of others in between—deserve renewed attention. They have endured wrenching economic transitions over the past several decades, yet many today exhibit important signs of momentum. Their innovative companies, knowledgeable workers, valuable infrastructure, and civic commitment make them potentially critical focal points for narrowing our country’s growing societal and political divides. This report provides an in-depth analysis of the key attributes of dozens of older industrial cities across the country, arguing that bottom-up efforts to better leverage their advantages, and address their disadvantages, can help achieve improved economic growth, prosperity, and inclusion for all.</w:t>
      </w:r>
      <w:r w:rsidR="009E06D9">
        <w:rPr>
          <w:rFonts w:ascii="Calibri" w:hAnsi="Calibri"/>
          <w:color w:val="000000"/>
          <w:sz w:val="22"/>
          <w:szCs w:val="22"/>
        </w:rPr>
        <w:t xml:space="preserve"> Its key findings include:</w:t>
      </w:r>
    </w:p>
    <w:p w14:paraId="0B324255" w14:textId="77777777" w:rsidR="00B316B8" w:rsidRPr="000A0847" w:rsidRDefault="00B316B8" w:rsidP="00B316B8">
      <w:pPr>
        <w:pStyle w:val="NormalWeb"/>
        <w:rPr>
          <w:rStyle w:val="Strong"/>
          <w:rFonts w:asciiTheme="minorHAnsi" w:hAnsiTheme="minorHAnsi"/>
          <w:b w:val="0"/>
          <w:sz w:val="22"/>
        </w:rPr>
      </w:pPr>
    </w:p>
    <w:p w14:paraId="229B6AF1" w14:textId="21664D4B" w:rsidR="00B316B8" w:rsidRPr="00A66CB5" w:rsidRDefault="00B316B8" w:rsidP="00B316B8">
      <w:pPr>
        <w:pStyle w:val="NormalWeb"/>
        <w:numPr>
          <w:ilvl w:val="0"/>
          <w:numId w:val="31"/>
        </w:numPr>
        <w:ind w:left="360"/>
        <w:rPr>
          <w:rStyle w:val="Strong"/>
          <w:rFonts w:asciiTheme="minorHAnsi" w:hAnsiTheme="minorHAnsi"/>
          <w:sz w:val="22"/>
        </w:rPr>
      </w:pPr>
      <w:r w:rsidRPr="000A0847">
        <w:rPr>
          <w:rStyle w:val="Strong"/>
          <w:rFonts w:asciiTheme="minorHAnsi" w:hAnsiTheme="minorHAnsi"/>
          <w:sz w:val="22"/>
        </w:rPr>
        <w:t>America</w:t>
      </w:r>
      <w:r>
        <w:rPr>
          <w:rStyle w:val="Strong"/>
          <w:rFonts w:asciiTheme="minorHAnsi" w:hAnsiTheme="minorHAnsi"/>
          <w:sz w:val="22"/>
        </w:rPr>
        <w:t xml:space="preserve"> must grapple with the economic, social, and political consequences of increasingly uneven growth.</w:t>
      </w:r>
      <w:r>
        <w:rPr>
          <w:rStyle w:val="Strong"/>
          <w:rFonts w:asciiTheme="minorHAnsi" w:hAnsiTheme="minorHAnsi"/>
          <w:b w:val="0"/>
          <w:sz w:val="22"/>
        </w:rPr>
        <w:t xml:space="preserve"> The broad decline of manufacturing employment, and the concentrated r</w:t>
      </w:r>
      <w:r w:rsidR="00523DCE">
        <w:rPr>
          <w:rStyle w:val="Strong"/>
          <w:rFonts w:asciiTheme="minorHAnsi" w:hAnsiTheme="minorHAnsi"/>
          <w:b w:val="0"/>
          <w:sz w:val="22"/>
        </w:rPr>
        <w:t>ise of high-tech employment, have</w:t>
      </w:r>
      <w:r>
        <w:rPr>
          <w:rStyle w:val="Strong"/>
          <w:rFonts w:asciiTheme="minorHAnsi" w:hAnsiTheme="minorHAnsi"/>
          <w:b w:val="0"/>
          <w:sz w:val="22"/>
        </w:rPr>
        <w:t xml:space="preserve"> produced highly uneven economic outcomes across the U.S. landscape over the past two decades. Many big cities and small towns in America’s industrial belt have lower incomes today than in 1999, and are not sharing in the dynamic growth of high-tech companies and jobs. By leaving communities and their residents disconnected from economic opportunity, deepening regional inequality may hold back collective growth and threaten the social fabric on which a healthy democracy depends. </w:t>
      </w:r>
    </w:p>
    <w:p w14:paraId="3F6275B9" w14:textId="77777777" w:rsidR="00B316B8" w:rsidRDefault="00B316B8" w:rsidP="00B316B8">
      <w:pPr>
        <w:pStyle w:val="NormalWeb"/>
        <w:ind w:left="360"/>
        <w:rPr>
          <w:rStyle w:val="Strong"/>
          <w:rFonts w:asciiTheme="minorHAnsi" w:hAnsiTheme="minorHAnsi"/>
          <w:sz w:val="22"/>
        </w:rPr>
      </w:pPr>
    </w:p>
    <w:p w14:paraId="3F4B0057" w14:textId="77777777" w:rsidR="00B316B8" w:rsidRDefault="00B316B8" w:rsidP="00B316B8">
      <w:pPr>
        <w:pStyle w:val="NormalWeb"/>
        <w:ind w:left="360"/>
        <w:rPr>
          <w:rFonts w:ascii="Calibri" w:hAnsi="Calibri"/>
          <w:color w:val="000000"/>
          <w:sz w:val="22"/>
          <w:szCs w:val="22"/>
        </w:rPr>
      </w:pPr>
      <w:r>
        <w:rPr>
          <w:rFonts w:ascii="Calibri" w:hAnsi="Calibri"/>
          <w:color w:val="000000"/>
          <w:sz w:val="22"/>
          <w:szCs w:val="22"/>
        </w:rPr>
        <w:t>[Figure 2.1—Many places are short of their previous peaks for middle-class income]</w:t>
      </w:r>
    </w:p>
    <w:p w14:paraId="3B58E40B" w14:textId="77777777" w:rsidR="00B316B8" w:rsidRPr="000A0847" w:rsidRDefault="00B316B8" w:rsidP="00B316B8">
      <w:pPr>
        <w:pStyle w:val="NormalWeb"/>
        <w:ind w:left="360"/>
        <w:rPr>
          <w:rStyle w:val="Strong"/>
          <w:rFonts w:asciiTheme="minorHAnsi" w:hAnsiTheme="minorHAnsi"/>
          <w:sz w:val="22"/>
        </w:rPr>
      </w:pPr>
    </w:p>
    <w:p w14:paraId="5C315D0D" w14:textId="196BA540" w:rsidR="00B316B8" w:rsidRPr="00A66CB5" w:rsidRDefault="00B316B8" w:rsidP="00B316B8">
      <w:pPr>
        <w:pStyle w:val="NormalWeb"/>
        <w:numPr>
          <w:ilvl w:val="0"/>
          <w:numId w:val="31"/>
        </w:numPr>
        <w:ind w:left="360"/>
        <w:rPr>
          <w:rStyle w:val="Strong"/>
        </w:rPr>
      </w:pPr>
      <w:r>
        <w:rPr>
          <w:rStyle w:val="Strong"/>
          <w:rFonts w:asciiTheme="minorHAnsi" w:hAnsiTheme="minorHAnsi"/>
          <w:sz w:val="22"/>
        </w:rPr>
        <w:t xml:space="preserve">70 older industrial cities, predominantly </w:t>
      </w:r>
      <w:r w:rsidR="009E06D9">
        <w:rPr>
          <w:rStyle w:val="Strong"/>
          <w:rFonts w:asciiTheme="minorHAnsi" w:hAnsiTheme="minorHAnsi"/>
          <w:sz w:val="22"/>
        </w:rPr>
        <w:t xml:space="preserve">located </w:t>
      </w:r>
      <w:r>
        <w:rPr>
          <w:rStyle w:val="Strong"/>
          <w:rFonts w:asciiTheme="minorHAnsi" w:hAnsiTheme="minorHAnsi"/>
          <w:sz w:val="22"/>
        </w:rPr>
        <w:t>in lagging parts of the Midwest and Northeast, represent valuable focal points for efforts to broaden economic growth and opportunity.</w:t>
      </w:r>
      <w:r>
        <w:rPr>
          <w:rStyle w:val="Strong"/>
          <w:rFonts w:asciiTheme="minorHAnsi" w:hAnsiTheme="minorHAnsi"/>
          <w:b w:val="0"/>
          <w:sz w:val="22"/>
        </w:rPr>
        <w:t xml:space="preserve"> These historical manufacturing centers, which have struggled over time to grow jobs in new sectors, collectively account for one-eighth of the U.S. population and economy, and much higher shares in large northern states such as Indiana, Michigan, Ohio, and Pennsylvania. From St. Paul, Minn. eastward to Lynn, Mass., these 70 communities are home to a diverse working class and serve as economic anchors for wider, politically contested suburban and rural areas. Strong national economies depend on the contributions of a range of urban areas, and the embedded innovation, knowledge, and infrastructure assets of these cities make them promising centers for investments to improve regional opportunity.</w:t>
      </w:r>
    </w:p>
    <w:p w14:paraId="6CCB9A81" w14:textId="77777777" w:rsidR="00B316B8" w:rsidRDefault="00B316B8" w:rsidP="00B316B8">
      <w:pPr>
        <w:pStyle w:val="NormalWeb"/>
        <w:ind w:left="360"/>
        <w:rPr>
          <w:rStyle w:val="Strong"/>
          <w:rFonts w:asciiTheme="minorHAnsi" w:hAnsiTheme="minorHAnsi"/>
          <w:sz w:val="22"/>
        </w:rPr>
      </w:pPr>
    </w:p>
    <w:p w14:paraId="59F33E73" w14:textId="77777777" w:rsidR="00B316B8" w:rsidRDefault="00B316B8" w:rsidP="00B316B8">
      <w:pPr>
        <w:spacing w:after="0" w:line="240" w:lineRule="auto"/>
        <w:ind w:left="360"/>
      </w:pPr>
      <w:r>
        <w:t>[Figure 3.5—OICs are significant demographically and economically]</w:t>
      </w:r>
    </w:p>
    <w:p w14:paraId="63AF97B8" w14:textId="77777777" w:rsidR="00B316B8" w:rsidRDefault="00B316B8" w:rsidP="00B316B8">
      <w:pPr>
        <w:pStyle w:val="NormalWeb"/>
        <w:rPr>
          <w:rStyle w:val="Strong"/>
        </w:rPr>
      </w:pPr>
      <w:r>
        <w:rPr>
          <w:rStyle w:val="Strong"/>
        </w:rPr>
        <w:t xml:space="preserve"> </w:t>
      </w:r>
    </w:p>
    <w:p w14:paraId="625C54CB" w14:textId="77777777" w:rsidR="00B316B8" w:rsidRPr="00A66CB5" w:rsidRDefault="00B316B8" w:rsidP="00B316B8">
      <w:pPr>
        <w:pStyle w:val="NormalWeb"/>
        <w:numPr>
          <w:ilvl w:val="0"/>
          <w:numId w:val="31"/>
        </w:numPr>
        <w:ind w:left="360"/>
        <w:rPr>
          <w:rStyle w:val="Strong"/>
          <w:rFonts w:asciiTheme="minorHAnsi" w:hAnsiTheme="minorHAnsi"/>
          <w:sz w:val="22"/>
        </w:rPr>
      </w:pPr>
      <w:r>
        <w:rPr>
          <w:rStyle w:val="Strong"/>
          <w:rFonts w:asciiTheme="minorHAnsi" w:hAnsiTheme="minorHAnsi"/>
          <w:sz w:val="22"/>
        </w:rPr>
        <w:t>Older industrial cities have lagged other urban areas on measures of economic performance, but some are regaining momentum.</w:t>
      </w:r>
      <w:r>
        <w:rPr>
          <w:rStyle w:val="Strong"/>
          <w:rFonts w:asciiTheme="minorHAnsi" w:hAnsiTheme="minorHAnsi"/>
          <w:b w:val="0"/>
          <w:sz w:val="22"/>
        </w:rPr>
        <w:t xml:space="preserve"> On three core dimensions of economic success—growth, prosperity, and inclusion—older industrial cities as a group under-perform other urban areas, particularly on employment and income trends for their communities of color. Yet their aggregate outcomes mask important variation among these places, with Northeastern and larger cities outpacing their Midwestern and smaller counterparts. These differences suggest four categories of older industrial cities—strong, emerging, stabilizing, and vulnerable—whose underlying assets and challenges position them differently for future economic growth and opportunity.</w:t>
      </w:r>
    </w:p>
    <w:p w14:paraId="0B2DDF9E" w14:textId="77777777" w:rsidR="00B316B8" w:rsidRDefault="00B316B8" w:rsidP="00B316B8">
      <w:pPr>
        <w:pStyle w:val="NormalWeb"/>
        <w:ind w:left="360"/>
        <w:rPr>
          <w:rStyle w:val="Strong"/>
          <w:rFonts w:asciiTheme="minorHAnsi" w:hAnsiTheme="minorHAnsi"/>
          <w:sz w:val="22"/>
        </w:rPr>
      </w:pPr>
    </w:p>
    <w:p w14:paraId="79E86B24" w14:textId="77777777" w:rsidR="00B316B8" w:rsidRPr="00A66CB5" w:rsidRDefault="00B316B8" w:rsidP="00B316B8">
      <w:pPr>
        <w:pStyle w:val="NormalWeb"/>
        <w:ind w:left="360"/>
        <w:rPr>
          <w:rStyle w:val="Strong"/>
          <w:rFonts w:asciiTheme="minorHAnsi" w:hAnsiTheme="minorHAnsi"/>
          <w:b w:val="0"/>
          <w:sz w:val="22"/>
        </w:rPr>
      </w:pPr>
      <w:r w:rsidRPr="00A66CB5">
        <w:rPr>
          <w:rStyle w:val="Strong"/>
          <w:rFonts w:asciiTheme="minorHAnsi" w:hAnsiTheme="minorHAnsi"/>
          <w:b w:val="0"/>
          <w:sz w:val="22"/>
        </w:rPr>
        <w:lastRenderedPageBreak/>
        <w:t>[Figure 4.9—Midwestern and smaller OICs lag Northeastern and larger counterparts on economic performance]</w:t>
      </w:r>
    </w:p>
    <w:p w14:paraId="64632D80" w14:textId="77777777" w:rsidR="00B316B8" w:rsidRDefault="00B316B8" w:rsidP="00B316B8">
      <w:pPr>
        <w:pStyle w:val="NormalWeb"/>
        <w:rPr>
          <w:rStyle w:val="Strong"/>
          <w:rFonts w:asciiTheme="minorHAnsi" w:hAnsiTheme="minorHAnsi"/>
          <w:sz w:val="22"/>
        </w:rPr>
      </w:pPr>
    </w:p>
    <w:p w14:paraId="4BD57738" w14:textId="77777777" w:rsidR="00B316B8" w:rsidRPr="009F71FC" w:rsidRDefault="00B316B8" w:rsidP="00B316B8">
      <w:pPr>
        <w:pStyle w:val="NormalWeb"/>
        <w:numPr>
          <w:ilvl w:val="0"/>
          <w:numId w:val="31"/>
        </w:numPr>
        <w:ind w:left="360"/>
        <w:rPr>
          <w:rFonts w:asciiTheme="minorHAnsi" w:hAnsiTheme="minorHAnsi"/>
          <w:b/>
          <w:bCs/>
          <w:sz w:val="22"/>
        </w:rPr>
      </w:pPr>
      <w:r>
        <w:rPr>
          <w:rStyle w:val="Strong"/>
          <w:rFonts w:asciiTheme="minorHAnsi" w:hAnsiTheme="minorHAnsi"/>
          <w:sz w:val="22"/>
        </w:rPr>
        <w:t>To navigate coming waves of economic change, older industrial cities must capitalize more fully on core assets while they address longstanding challenges.</w:t>
      </w:r>
      <w:r>
        <w:rPr>
          <w:rStyle w:val="Strong"/>
          <w:rFonts w:asciiTheme="minorHAnsi" w:hAnsiTheme="minorHAnsi"/>
          <w:b w:val="0"/>
          <w:sz w:val="22"/>
        </w:rPr>
        <w:t xml:space="preserve"> Older industrial cities must </w:t>
      </w:r>
      <w:r w:rsidRPr="009F71FC">
        <w:rPr>
          <w:rFonts w:asciiTheme="minorHAnsi" w:hAnsiTheme="minorHAnsi"/>
          <w:sz w:val="22"/>
          <w:szCs w:val="22"/>
        </w:rPr>
        <w:t>function amid wider regional, national, and global dynamics that shape opportunities for places</w:t>
      </w:r>
      <w:r>
        <w:rPr>
          <w:rFonts w:asciiTheme="minorHAnsi" w:hAnsiTheme="minorHAnsi"/>
          <w:sz w:val="22"/>
          <w:szCs w:val="22"/>
        </w:rPr>
        <w:t>, particularly in three key areas:</w:t>
      </w:r>
      <w:r w:rsidRPr="009F71FC">
        <w:rPr>
          <w:rFonts w:asciiTheme="minorHAnsi" w:hAnsiTheme="minorHAnsi"/>
          <w:sz w:val="22"/>
          <w:szCs w:val="22"/>
        </w:rPr>
        <w:t xml:space="preserve"> </w:t>
      </w:r>
    </w:p>
    <w:p w14:paraId="574B7283" w14:textId="77777777" w:rsidR="00B316B8" w:rsidRPr="009F71FC" w:rsidRDefault="00B316B8" w:rsidP="00B316B8">
      <w:pPr>
        <w:pStyle w:val="NormalWeb"/>
        <w:ind w:left="360"/>
        <w:rPr>
          <w:rFonts w:asciiTheme="minorHAnsi" w:hAnsiTheme="minorHAnsi"/>
          <w:b/>
          <w:bCs/>
          <w:sz w:val="22"/>
        </w:rPr>
      </w:pPr>
    </w:p>
    <w:p w14:paraId="1C9280CE" w14:textId="77777777" w:rsidR="00B316B8" w:rsidRPr="00B316B8" w:rsidRDefault="00B316B8" w:rsidP="00B316B8">
      <w:pPr>
        <w:pStyle w:val="NormalWeb"/>
        <w:numPr>
          <w:ilvl w:val="1"/>
          <w:numId w:val="31"/>
        </w:numPr>
        <w:ind w:left="1080"/>
        <w:rPr>
          <w:rStyle w:val="Strong"/>
          <w:rFonts w:asciiTheme="minorHAnsi" w:hAnsiTheme="minorHAnsi"/>
          <w:sz w:val="22"/>
        </w:rPr>
      </w:pPr>
      <w:r>
        <w:rPr>
          <w:rStyle w:val="Strong"/>
          <w:rFonts w:asciiTheme="minorHAnsi" w:hAnsiTheme="minorHAnsi"/>
          <w:sz w:val="22"/>
        </w:rPr>
        <w:t xml:space="preserve">Technological change: </w:t>
      </w:r>
      <w:r>
        <w:rPr>
          <w:rStyle w:val="Strong"/>
          <w:rFonts w:asciiTheme="minorHAnsi" w:hAnsiTheme="minorHAnsi"/>
          <w:b w:val="0"/>
          <w:sz w:val="22"/>
        </w:rPr>
        <w:t>Older industrial cities possess significant technological know-how as exhibited in their high levels of university research funding, patenting, and STEM degree attainment. But their declining employment in advanced industries points to their struggles in converting those assets into technology-enabled economic growth.</w:t>
      </w:r>
    </w:p>
    <w:p w14:paraId="0474FD43" w14:textId="4D4CF652" w:rsidR="00B316B8" w:rsidRPr="009B433E" w:rsidRDefault="00B316B8" w:rsidP="00B316B8">
      <w:pPr>
        <w:pStyle w:val="NormalWeb"/>
        <w:ind w:left="1080"/>
        <w:rPr>
          <w:rStyle w:val="Strong"/>
          <w:rFonts w:asciiTheme="minorHAnsi" w:hAnsiTheme="minorHAnsi"/>
          <w:sz w:val="22"/>
        </w:rPr>
      </w:pPr>
      <w:r>
        <w:rPr>
          <w:rStyle w:val="Strong"/>
          <w:rFonts w:asciiTheme="minorHAnsi" w:hAnsiTheme="minorHAnsi"/>
          <w:b w:val="0"/>
          <w:sz w:val="22"/>
        </w:rPr>
        <w:t xml:space="preserve"> </w:t>
      </w:r>
    </w:p>
    <w:p w14:paraId="17249583" w14:textId="77777777" w:rsidR="00B316B8" w:rsidRDefault="00B316B8" w:rsidP="00B316B8">
      <w:pPr>
        <w:spacing w:after="0" w:line="240" w:lineRule="auto"/>
        <w:ind w:left="360"/>
      </w:pPr>
      <w:r>
        <w:t>[Figure 5.2—OICs house many significant research-intensive universities]</w:t>
      </w:r>
    </w:p>
    <w:p w14:paraId="71886F78" w14:textId="77777777" w:rsidR="00B316B8" w:rsidRPr="009B433E" w:rsidRDefault="00B316B8" w:rsidP="00B316B8">
      <w:pPr>
        <w:spacing w:after="0" w:line="240" w:lineRule="auto"/>
        <w:ind w:left="360"/>
      </w:pPr>
      <w:r w:rsidRPr="009B433E">
        <w:t>[Figure 5.6—OICs lost more advanced manufacturing jobs, and grew fewer advanced services jobs]</w:t>
      </w:r>
    </w:p>
    <w:p w14:paraId="1A29473B" w14:textId="77777777" w:rsidR="00B316B8" w:rsidRPr="009F71FC" w:rsidRDefault="00B316B8" w:rsidP="00B316B8">
      <w:pPr>
        <w:pStyle w:val="NormalWeb"/>
        <w:ind w:left="1080"/>
        <w:rPr>
          <w:rStyle w:val="Strong"/>
          <w:rFonts w:asciiTheme="minorHAnsi" w:hAnsiTheme="minorHAnsi"/>
          <w:sz w:val="22"/>
        </w:rPr>
      </w:pPr>
    </w:p>
    <w:p w14:paraId="3C9E66FE" w14:textId="77777777" w:rsidR="00B316B8" w:rsidRPr="009F71FC" w:rsidRDefault="00B316B8" w:rsidP="00B316B8">
      <w:pPr>
        <w:pStyle w:val="NormalWeb"/>
        <w:numPr>
          <w:ilvl w:val="1"/>
          <w:numId w:val="31"/>
        </w:numPr>
        <w:ind w:left="1080"/>
        <w:rPr>
          <w:rStyle w:val="Strong"/>
          <w:rFonts w:asciiTheme="minorHAnsi" w:hAnsiTheme="minorHAnsi"/>
          <w:sz w:val="22"/>
        </w:rPr>
      </w:pPr>
      <w:r>
        <w:rPr>
          <w:rStyle w:val="Strong"/>
          <w:rFonts w:asciiTheme="minorHAnsi" w:hAnsiTheme="minorHAnsi"/>
          <w:sz w:val="22"/>
        </w:rPr>
        <w:t xml:space="preserve">Urbanization: </w:t>
      </w:r>
      <w:r>
        <w:rPr>
          <w:rStyle w:val="Strong"/>
          <w:rFonts w:asciiTheme="minorHAnsi" w:hAnsiTheme="minorHAnsi"/>
          <w:b w:val="0"/>
          <w:sz w:val="22"/>
        </w:rPr>
        <w:t xml:space="preserve">Many older industrial cities are benefiting from an urbanizing economy given their significant job clusters and commitment to quality of place. But they face challenges in achieving and sustaining regional employment and residential momentum to support increased growth and opportunity. </w:t>
      </w:r>
    </w:p>
    <w:p w14:paraId="23E1FFD5" w14:textId="77777777" w:rsidR="00B316B8" w:rsidRDefault="00B316B8" w:rsidP="00B316B8">
      <w:pPr>
        <w:spacing w:after="0" w:line="240" w:lineRule="auto"/>
        <w:ind w:left="360"/>
      </w:pPr>
    </w:p>
    <w:p w14:paraId="302054E3" w14:textId="77777777" w:rsidR="00B316B8" w:rsidRDefault="00B316B8" w:rsidP="00B316B8">
      <w:pPr>
        <w:spacing w:after="0" w:line="240" w:lineRule="auto"/>
        <w:ind w:left="360"/>
      </w:pPr>
      <w:r>
        <w:t>[Figure 5.10—OICs retain significant, growing employment clusters]</w:t>
      </w:r>
    </w:p>
    <w:p w14:paraId="63655F61" w14:textId="77777777" w:rsidR="00B316B8" w:rsidRPr="009B433E" w:rsidRDefault="00B316B8" w:rsidP="00B316B8">
      <w:pPr>
        <w:spacing w:after="0" w:line="240" w:lineRule="auto"/>
        <w:ind w:left="360"/>
      </w:pPr>
      <w:r w:rsidRPr="009B433E">
        <w:t>[Figure 5.13—OICs significantly lag other urban counties on new residential development growth]</w:t>
      </w:r>
    </w:p>
    <w:p w14:paraId="4309010D" w14:textId="77777777" w:rsidR="00B316B8" w:rsidRPr="009B433E" w:rsidRDefault="00B316B8" w:rsidP="00B316B8">
      <w:pPr>
        <w:pStyle w:val="NormalWeb"/>
        <w:ind w:left="1080"/>
        <w:rPr>
          <w:rStyle w:val="Strong"/>
          <w:rFonts w:asciiTheme="minorHAnsi" w:hAnsiTheme="minorHAnsi"/>
          <w:b w:val="0"/>
          <w:sz w:val="22"/>
        </w:rPr>
      </w:pPr>
    </w:p>
    <w:p w14:paraId="4B7A3061" w14:textId="77777777" w:rsidR="00B316B8" w:rsidRDefault="00B316B8" w:rsidP="00B316B8">
      <w:pPr>
        <w:pStyle w:val="NormalWeb"/>
        <w:numPr>
          <w:ilvl w:val="1"/>
          <w:numId w:val="31"/>
        </w:numPr>
        <w:ind w:left="1080"/>
        <w:rPr>
          <w:rStyle w:val="Strong"/>
          <w:rFonts w:asciiTheme="minorHAnsi" w:hAnsiTheme="minorHAnsi"/>
          <w:b w:val="0"/>
          <w:sz w:val="22"/>
        </w:rPr>
      </w:pPr>
      <w:r>
        <w:rPr>
          <w:rStyle w:val="Strong"/>
          <w:rFonts w:asciiTheme="minorHAnsi" w:hAnsiTheme="minorHAnsi"/>
          <w:sz w:val="22"/>
        </w:rPr>
        <w:t xml:space="preserve">Demographic transformation: </w:t>
      </w:r>
      <w:r w:rsidRPr="009B433E">
        <w:rPr>
          <w:rStyle w:val="Strong"/>
          <w:rFonts w:asciiTheme="minorHAnsi" w:hAnsiTheme="minorHAnsi"/>
          <w:b w:val="0"/>
          <w:sz w:val="22"/>
        </w:rPr>
        <w:t xml:space="preserve">Older industrial cities are benefiting from age-balanced workforces and increasing in-migration domestically and from abroad. Yet they must still overcome stark legacies of out-migration and segregation, expressed through racial disparities in educational attainment, earnings, and upward mobility that threaten their success in an increasingly pluralistic U.S. economy and society. </w:t>
      </w:r>
    </w:p>
    <w:p w14:paraId="299EDF38" w14:textId="77777777" w:rsidR="00B316B8" w:rsidRDefault="00B316B8" w:rsidP="00B316B8">
      <w:pPr>
        <w:pStyle w:val="NormalWeb"/>
        <w:rPr>
          <w:rStyle w:val="Strong"/>
          <w:rFonts w:asciiTheme="minorHAnsi" w:hAnsiTheme="minorHAnsi"/>
          <w:sz w:val="22"/>
        </w:rPr>
      </w:pPr>
    </w:p>
    <w:p w14:paraId="4EE622FC" w14:textId="77777777" w:rsidR="00B316B8" w:rsidRDefault="00B316B8" w:rsidP="00B316B8">
      <w:pPr>
        <w:spacing w:after="0" w:line="240" w:lineRule="auto"/>
        <w:ind w:left="360"/>
      </w:pPr>
      <w:r>
        <w:t>[Figure 5.15—Immigrants are becoming larger shares of the local population in OICs, particularly those that are economically stronger]</w:t>
      </w:r>
    </w:p>
    <w:p w14:paraId="6DD90DDD" w14:textId="77777777" w:rsidR="00B316B8" w:rsidRDefault="00B316B8" w:rsidP="00B316B8">
      <w:pPr>
        <w:pStyle w:val="NormalWeb"/>
        <w:ind w:left="360"/>
        <w:rPr>
          <w:rStyle w:val="Strong"/>
          <w:rFonts w:asciiTheme="minorHAnsi" w:hAnsiTheme="minorHAnsi"/>
          <w:b w:val="0"/>
          <w:sz w:val="22"/>
        </w:rPr>
      </w:pPr>
      <w:r w:rsidRPr="009B433E">
        <w:rPr>
          <w:rFonts w:asciiTheme="minorHAnsi" w:hAnsiTheme="minorHAnsi"/>
          <w:bCs/>
          <w:sz w:val="22"/>
        </w:rPr>
        <w:t>[Figure 5.19—Workers of color in OICs are more concentrated in low-paying fields like sales and personal services]</w:t>
      </w:r>
    </w:p>
    <w:p w14:paraId="3AF5BBD7" w14:textId="77777777" w:rsidR="00B316B8" w:rsidRPr="009B433E" w:rsidRDefault="00B316B8" w:rsidP="00B316B8">
      <w:pPr>
        <w:pStyle w:val="NormalWeb"/>
        <w:rPr>
          <w:rStyle w:val="Strong"/>
          <w:rFonts w:asciiTheme="minorHAnsi" w:hAnsiTheme="minorHAnsi"/>
          <w:b w:val="0"/>
          <w:sz w:val="22"/>
        </w:rPr>
      </w:pPr>
    </w:p>
    <w:p w14:paraId="0033F7F5" w14:textId="77777777" w:rsidR="00B316B8" w:rsidRDefault="00B316B8" w:rsidP="00B316B8">
      <w:pPr>
        <w:pStyle w:val="NormalWeb"/>
        <w:ind w:left="360"/>
        <w:rPr>
          <w:rStyle w:val="Strong"/>
          <w:rFonts w:asciiTheme="minorHAnsi" w:hAnsiTheme="minorHAnsi"/>
          <w:sz w:val="22"/>
        </w:rPr>
      </w:pPr>
      <w:r>
        <w:rPr>
          <w:rStyle w:val="Strong"/>
          <w:rFonts w:asciiTheme="minorHAnsi" w:hAnsiTheme="minorHAnsi"/>
          <w:b w:val="0"/>
          <w:sz w:val="22"/>
        </w:rPr>
        <w:t>These assets and challenges, moreover, array differently across the four types of older industrial cities in ways that correspond closely to their recent economic success.</w:t>
      </w:r>
    </w:p>
    <w:p w14:paraId="64BC251A" w14:textId="77777777" w:rsidR="00B316B8" w:rsidRDefault="00B316B8" w:rsidP="00B316B8">
      <w:pPr>
        <w:pStyle w:val="NormalWeb"/>
        <w:rPr>
          <w:rStyle w:val="Strong"/>
          <w:rFonts w:asciiTheme="minorHAnsi" w:hAnsiTheme="minorHAnsi"/>
          <w:sz w:val="22"/>
        </w:rPr>
      </w:pPr>
    </w:p>
    <w:p w14:paraId="20E85201" w14:textId="0CFE217A" w:rsidR="00B316B8" w:rsidRPr="000A0847" w:rsidRDefault="00B316B8" w:rsidP="00B316B8">
      <w:pPr>
        <w:pStyle w:val="NormalWeb"/>
        <w:numPr>
          <w:ilvl w:val="0"/>
          <w:numId w:val="31"/>
        </w:numPr>
        <w:ind w:left="360"/>
        <w:rPr>
          <w:rStyle w:val="Strong"/>
          <w:rFonts w:asciiTheme="minorHAnsi" w:hAnsiTheme="minorHAnsi"/>
          <w:sz w:val="22"/>
        </w:rPr>
      </w:pPr>
      <w:r>
        <w:rPr>
          <w:rStyle w:val="Strong"/>
          <w:rFonts w:asciiTheme="minorHAnsi" w:hAnsiTheme="minorHAnsi"/>
          <w:sz w:val="22"/>
        </w:rPr>
        <w:t xml:space="preserve">To renew America’s economic promise, we can build on existing local and state efforts working to create greater economic opportunity in </w:t>
      </w:r>
      <w:r w:rsidR="00523DCE">
        <w:rPr>
          <w:rStyle w:val="Strong"/>
          <w:rFonts w:asciiTheme="minorHAnsi" w:hAnsiTheme="minorHAnsi"/>
          <w:sz w:val="22"/>
        </w:rPr>
        <w:t>older industrial cities</w:t>
      </w:r>
      <w:r>
        <w:rPr>
          <w:rStyle w:val="Strong"/>
          <w:rFonts w:asciiTheme="minorHAnsi" w:hAnsiTheme="minorHAnsi"/>
          <w:sz w:val="22"/>
        </w:rPr>
        <w:t>.</w:t>
      </w:r>
      <w:r>
        <w:rPr>
          <w:rStyle w:val="Strong"/>
          <w:rFonts w:asciiTheme="minorHAnsi" w:hAnsiTheme="minorHAnsi"/>
          <w:b w:val="0"/>
          <w:sz w:val="22"/>
        </w:rPr>
        <w:t xml:space="preserve"> Promising strategies are at work in older industrial communities to promote increased job creation, job preparation, and job access, three key ingredients for inclusive economic growth. In New York and Ohio, cities are working to more deeply </w:t>
      </w:r>
      <w:r w:rsidRPr="007E15DF">
        <w:rPr>
          <w:rFonts w:asciiTheme="minorHAnsi" w:hAnsiTheme="minorHAnsi"/>
          <w:bCs/>
          <w:sz w:val="22"/>
        </w:rPr>
        <w:t>understand their specific technological capabilities, identify current and potential capabilities that have market promise, and build stronger bridges from their research and STEM assets to commercial application</w:t>
      </w:r>
      <w:r>
        <w:rPr>
          <w:rFonts w:asciiTheme="minorHAnsi" w:hAnsiTheme="minorHAnsi"/>
          <w:bCs/>
          <w:sz w:val="22"/>
        </w:rPr>
        <w:t xml:space="preserve">. In Indiana, Missouri, and Maryland, cities are </w:t>
      </w:r>
      <w:r w:rsidRPr="007E15DF">
        <w:rPr>
          <w:rFonts w:asciiTheme="minorHAnsi" w:hAnsiTheme="minorHAnsi"/>
          <w:bCs/>
          <w:sz w:val="22"/>
        </w:rPr>
        <w:t>helping their current and future workforces</w:t>
      </w:r>
      <w:r>
        <w:rPr>
          <w:rFonts w:asciiTheme="minorHAnsi" w:hAnsiTheme="minorHAnsi"/>
          <w:bCs/>
          <w:sz w:val="22"/>
        </w:rPr>
        <w:t>—particularly young people of color—</w:t>
      </w:r>
      <w:r w:rsidRPr="007E15DF">
        <w:rPr>
          <w:rFonts w:asciiTheme="minorHAnsi" w:hAnsiTheme="minorHAnsi"/>
          <w:bCs/>
          <w:sz w:val="22"/>
        </w:rPr>
        <w:t>gain skills and connections for a changing economy</w:t>
      </w:r>
      <w:r>
        <w:rPr>
          <w:rFonts w:asciiTheme="minorHAnsi" w:hAnsiTheme="minorHAnsi"/>
          <w:bCs/>
          <w:sz w:val="22"/>
        </w:rPr>
        <w:t xml:space="preserve">. And in Michigan and Massachusetts, cities are working to reinforce urban growth in ways that ultimately put more economic opportunity within reach of low-income </w:t>
      </w:r>
      <w:r>
        <w:rPr>
          <w:rFonts w:asciiTheme="minorHAnsi" w:hAnsiTheme="minorHAnsi"/>
          <w:bCs/>
          <w:sz w:val="22"/>
        </w:rPr>
        <w:lastRenderedPageBreak/>
        <w:t xml:space="preserve">communities and workers of color. Finally, older industrial areas </w:t>
      </w:r>
      <w:r w:rsidR="00523DCE">
        <w:rPr>
          <w:rFonts w:asciiTheme="minorHAnsi" w:hAnsiTheme="minorHAnsi"/>
          <w:bCs/>
          <w:sz w:val="22"/>
        </w:rPr>
        <w:t xml:space="preserve">in Virginia and Michigan are </w:t>
      </w:r>
      <w:r>
        <w:rPr>
          <w:rFonts w:asciiTheme="minorHAnsi" w:hAnsiTheme="minorHAnsi"/>
          <w:bCs/>
          <w:sz w:val="22"/>
        </w:rPr>
        <w:t>embracing models that create region-wide capacity and commitment to sustain and coordinate these efforts over time. A</w:t>
      </w:r>
      <w:r w:rsidRPr="00C01D11">
        <w:rPr>
          <w:rFonts w:asciiTheme="minorHAnsi" w:hAnsiTheme="minorHAnsi"/>
          <w:bCs/>
          <w:sz w:val="22"/>
        </w:rPr>
        <w:t xml:space="preserve"> national strategy to support </w:t>
      </w:r>
      <w:r>
        <w:rPr>
          <w:rFonts w:asciiTheme="minorHAnsi" w:hAnsiTheme="minorHAnsi"/>
          <w:bCs/>
          <w:sz w:val="22"/>
        </w:rPr>
        <w:t xml:space="preserve">broader economic prosperity should </w:t>
      </w:r>
      <w:r w:rsidRPr="00C01D11">
        <w:rPr>
          <w:rFonts w:asciiTheme="minorHAnsi" w:hAnsiTheme="minorHAnsi"/>
          <w:bCs/>
          <w:sz w:val="22"/>
        </w:rPr>
        <w:t>support the bottom-up innovation and civic commitment already at work in many of these markets</w:t>
      </w:r>
      <w:r>
        <w:rPr>
          <w:rFonts w:asciiTheme="minorHAnsi" w:hAnsiTheme="minorHAnsi"/>
          <w:bCs/>
          <w:sz w:val="22"/>
        </w:rPr>
        <w:t>.</w:t>
      </w:r>
    </w:p>
    <w:p w14:paraId="0B9EC662" w14:textId="77777777" w:rsidR="00B316B8" w:rsidRDefault="00B316B8" w:rsidP="00B316B8">
      <w:pPr>
        <w:spacing w:after="0" w:line="240" w:lineRule="auto"/>
      </w:pPr>
    </w:p>
    <w:p w14:paraId="652D6528" w14:textId="3B07B3DA" w:rsidR="00B316B8" w:rsidRDefault="00B316B8" w:rsidP="00B316B8">
      <w:pPr>
        <w:spacing w:after="0" w:line="240" w:lineRule="auto"/>
      </w:pPr>
      <w:r w:rsidRPr="00C01D11">
        <w:t xml:space="preserve">This report </w:t>
      </w:r>
      <w:r>
        <w:t xml:space="preserve">ultimately </w:t>
      </w:r>
      <w:r w:rsidRPr="00C01D11">
        <w:t xml:space="preserve">aims to improve our understanding of older industrial cities’ position in our modern economy, </w:t>
      </w:r>
      <w:r>
        <w:t xml:space="preserve">and to </w:t>
      </w:r>
      <w:r w:rsidRPr="00C01D11">
        <w:t xml:space="preserve">suggest ways in which </w:t>
      </w:r>
      <w:r w:rsidR="00523DCE">
        <w:t xml:space="preserve">we </w:t>
      </w:r>
      <w:r w:rsidRPr="00C01D11">
        <w:t xml:space="preserve">might better leverage their advantages, and address their disadvantages, to achieve improved economic growth, prosperity, and inclusion for all. </w:t>
      </w:r>
      <w:r>
        <w:t xml:space="preserve">It </w:t>
      </w:r>
      <w:r w:rsidRPr="00C01D11">
        <w:t xml:space="preserve">seeks not only to inform and inspire leaders in these older industrial places, but also to speak to </w:t>
      </w:r>
      <w:r>
        <w:t xml:space="preserve">the concerns of all </w:t>
      </w:r>
      <w:r w:rsidRPr="00C01D11">
        <w:t>Americans committed to the interwoven health of our economy, society, and democracy</w:t>
      </w:r>
      <w:r>
        <w:t>.</w:t>
      </w:r>
    </w:p>
    <w:p w14:paraId="70AAEDAE" w14:textId="09C098C8" w:rsidR="000A0847" w:rsidRPr="000A0847" w:rsidRDefault="000A0847" w:rsidP="000A0847">
      <w:pPr>
        <w:pStyle w:val="NormalWeb"/>
        <w:rPr>
          <w:rStyle w:val="Strong"/>
          <w:rFonts w:asciiTheme="minorHAnsi" w:hAnsiTheme="minorHAnsi"/>
          <w:b w:val="0"/>
          <w:sz w:val="22"/>
        </w:rPr>
      </w:pPr>
    </w:p>
    <w:p w14:paraId="596ED6B0" w14:textId="77777777" w:rsidR="00B316B8" w:rsidRDefault="00B316B8">
      <w:pPr>
        <w:rPr>
          <w:rStyle w:val="Strong"/>
          <w:rFonts w:cs="Times New Roman"/>
          <w:sz w:val="28"/>
          <w:szCs w:val="24"/>
        </w:rPr>
      </w:pPr>
      <w:r>
        <w:rPr>
          <w:rStyle w:val="Strong"/>
          <w:sz w:val="28"/>
        </w:rPr>
        <w:br w:type="page"/>
      </w:r>
    </w:p>
    <w:p w14:paraId="6065ED99" w14:textId="49FF1253" w:rsidR="00DC2F20" w:rsidRPr="00161FC9" w:rsidRDefault="00244943" w:rsidP="000A0847">
      <w:pPr>
        <w:pStyle w:val="NormalWeb"/>
        <w:numPr>
          <w:ilvl w:val="0"/>
          <w:numId w:val="26"/>
        </w:numPr>
        <w:rPr>
          <w:rStyle w:val="Strong"/>
          <w:rFonts w:asciiTheme="minorHAnsi" w:hAnsiTheme="minorHAnsi"/>
          <w:sz w:val="28"/>
        </w:rPr>
      </w:pPr>
      <w:r w:rsidRPr="00161FC9">
        <w:rPr>
          <w:rStyle w:val="Strong"/>
          <w:rFonts w:asciiTheme="minorHAnsi" w:hAnsiTheme="minorHAnsi"/>
          <w:sz w:val="28"/>
        </w:rPr>
        <w:t>Introduction: The Promise of Older Industrial Cities</w:t>
      </w:r>
    </w:p>
    <w:p w14:paraId="4158FF4B" w14:textId="77777777" w:rsidR="00DC2F20" w:rsidRDefault="00DC2F20" w:rsidP="000A0847">
      <w:pPr>
        <w:pStyle w:val="NormalWeb"/>
        <w:rPr>
          <w:rFonts w:ascii="Calibri" w:hAnsi="Calibri"/>
          <w:color w:val="000000"/>
          <w:sz w:val="22"/>
          <w:szCs w:val="22"/>
        </w:rPr>
      </w:pPr>
    </w:p>
    <w:p w14:paraId="0E46ABA1" w14:textId="1084F8BD" w:rsidR="00E66AA9" w:rsidRDefault="00E66AA9" w:rsidP="000A0847">
      <w:pPr>
        <w:pStyle w:val="NormalWeb"/>
        <w:rPr>
          <w:rFonts w:ascii="Calibri" w:hAnsi="Calibri"/>
          <w:color w:val="000000"/>
          <w:sz w:val="22"/>
          <w:szCs w:val="22"/>
        </w:rPr>
      </w:pPr>
      <w:r>
        <w:rPr>
          <w:rFonts w:ascii="Calibri" w:hAnsi="Calibri"/>
          <w:color w:val="000000"/>
          <w:sz w:val="22"/>
          <w:szCs w:val="22"/>
        </w:rPr>
        <w:t xml:space="preserve">This is a report about cities. Not all cities, but a particular class of cities that at one time </w:t>
      </w:r>
      <w:r w:rsidR="00FF360C">
        <w:rPr>
          <w:rFonts w:ascii="Calibri" w:hAnsi="Calibri"/>
          <w:color w:val="000000"/>
          <w:sz w:val="22"/>
          <w:szCs w:val="22"/>
        </w:rPr>
        <w:t>represented</w:t>
      </w:r>
      <w:r>
        <w:rPr>
          <w:rFonts w:ascii="Calibri" w:hAnsi="Calibri"/>
          <w:color w:val="000000"/>
          <w:sz w:val="22"/>
          <w:szCs w:val="22"/>
        </w:rPr>
        <w:t xml:space="preserve"> </w:t>
      </w:r>
      <w:r w:rsidR="00E87955">
        <w:rPr>
          <w:rFonts w:ascii="Calibri" w:hAnsi="Calibri"/>
          <w:color w:val="000000"/>
          <w:sz w:val="22"/>
          <w:szCs w:val="22"/>
        </w:rPr>
        <w:t>some of the preeminent</w:t>
      </w:r>
      <w:r>
        <w:rPr>
          <w:rFonts w:ascii="Calibri" w:hAnsi="Calibri"/>
          <w:color w:val="000000"/>
          <w:sz w:val="22"/>
          <w:szCs w:val="22"/>
        </w:rPr>
        <w:t xml:space="preserve"> </w:t>
      </w:r>
      <w:r w:rsidR="00FF360C">
        <w:rPr>
          <w:rFonts w:ascii="Calibri" w:hAnsi="Calibri"/>
          <w:color w:val="000000"/>
          <w:sz w:val="22"/>
          <w:szCs w:val="22"/>
        </w:rPr>
        <w:t>center</w:t>
      </w:r>
      <w:r w:rsidR="000B722A">
        <w:rPr>
          <w:rFonts w:ascii="Calibri" w:hAnsi="Calibri"/>
          <w:color w:val="000000"/>
          <w:sz w:val="22"/>
          <w:szCs w:val="22"/>
        </w:rPr>
        <w:t>s</w:t>
      </w:r>
      <w:r w:rsidR="00FF360C">
        <w:rPr>
          <w:rFonts w:ascii="Calibri" w:hAnsi="Calibri"/>
          <w:color w:val="000000"/>
          <w:sz w:val="22"/>
          <w:szCs w:val="22"/>
        </w:rPr>
        <w:t xml:space="preserve"> of the </w:t>
      </w:r>
      <w:r>
        <w:rPr>
          <w:rFonts w:ascii="Calibri" w:hAnsi="Calibri"/>
          <w:color w:val="000000"/>
          <w:sz w:val="22"/>
          <w:szCs w:val="22"/>
        </w:rPr>
        <w:t xml:space="preserve">U.S. economy. They still anchor their </w:t>
      </w:r>
      <w:r w:rsidR="00FF360C">
        <w:rPr>
          <w:rFonts w:ascii="Calibri" w:hAnsi="Calibri"/>
          <w:color w:val="000000"/>
          <w:sz w:val="22"/>
          <w:szCs w:val="22"/>
        </w:rPr>
        <w:t>local and regional</w:t>
      </w:r>
      <w:r>
        <w:rPr>
          <w:rFonts w:ascii="Calibri" w:hAnsi="Calibri"/>
          <w:color w:val="000000"/>
          <w:sz w:val="22"/>
          <w:szCs w:val="22"/>
        </w:rPr>
        <w:t xml:space="preserve"> economies, and many </w:t>
      </w:r>
      <w:r w:rsidR="00851449">
        <w:rPr>
          <w:rFonts w:ascii="Calibri" w:hAnsi="Calibri"/>
          <w:color w:val="000000"/>
          <w:sz w:val="22"/>
          <w:szCs w:val="22"/>
        </w:rPr>
        <w:t>play</w:t>
      </w:r>
      <w:r>
        <w:rPr>
          <w:rFonts w:ascii="Calibri" w:hAnsi="Calibri"/>
          <w:color w:val="000000"/>
          <w:sz w:val="22"/>
          <w:szCs w:val="22"/>
        </w:rPr>
        <w:t xml:space="preserve"> important </w:t>
      </w:r>
      <w:r w:rsidR="00851449">
        <w:rPr>
          <w:rFonts w:ascii="Calibri" w:hAnsi="Calibri"/>
          <w:color w:val="000000"/>
          <w:sz w:val="22"/>
          <w:szCs w:val="22"/>
        </w:rPr>
        <w:t xml:space="preserve">roles </w:t>
      </w:r>
      <w:r>
        <w:rPr>
          <w:rFonts w:ascii="Calibri" w:hAnsi="Calibri"/>
          <w:color w:val="000000"/>
          <w:sz w:val="22"/>
          <w:szCs w:val="22"/>
        </w:rPr>
        <w:t>in the global economy in their own right. But due both to choices made long ago and to rapid changes happening today, these cities</w:t>
      </w:r>
      <w:r w:rsidR="00737018">
        <w:rPr>
          <w:rFonts w:ascii="Calibri" w:hAnsi="Calibri"/>
          <w:color w:val="000000"/>
          <w:sz w:val="22"/>
          <w:szCs w:val="22"/>
        </w:rPr>
        <w:t xml:space="preserve"> are </w:t>
      </w:r>
      <w:r>
        <w:rPr>
          <w:rFonts w:ascii="Calibri" w:hAnsi="Calibri"/>
          <w:color w:val="000000"/>
          <w:sz w:val="22"/>
          <w:szCs w:val="22"/>
        </w:rPr>
        <w:t xml:space="preserve">neither </w:t>
      </w:r>
      <w:r w:rsidR="00744F85">
        <w:rPr>
          <w:rFonts w:ascii="Calibri" w:hAnsi="Calibri"/>
          <w:color w:val="000000"/>
          <w:sz w:val="22"/>
          <w:szCs w:val="22"/>
        </w:rPr>
        <w:t xml:space="preserve">realizing </w:t>
      </w:r>
      <w:r>
        <w:rPr>
          <w:rFonts w:ascii="Calibri" w:hAnsi="Calibri"/>
          <w:color w:val="000000"/>
          <w:sz w:val="22"/>
          <w:szCs w:val="22"/>
        </w:rPr>
        <w:t xml:space="preserve">their </w:t>
      </w:r>
      <w:r w:rsidR="00763613">
        <w:rPr>
          <w:rFonts w:ascii="Calibri" w:hAnsi="Calibri"/>
          <w:color w:val="000000"/>
          <w:sz w:val="22"/>
          <w:szCs w:val="22"/>
        </w:rPr>
        <w:t>full</w:t>
      </w:r>
      <w:r w:rsidR="00744F85">
        <w:rPr>
          <w:rFonts w:ascii="Calibri" w:hAnsi="Calibri"/>
          <w:color w:val="000000"/>
          <w:sz w:val="22"/>
          <w:szCs w:val="22"/>
        </w:rPr>
        <w:t xml:space="preserve"> </w:t>
      </w:r>
      <w:r>
        <w:rPr>
          <w:rFonts w:ascii="Calibri" w:hAnsi="Calibri"/>
          <w:color w:val="000000"/>
          <w:sz w:val="22"/>
          <w:szCs w:val="22"/>
        </w:rPr>
        <w:t xml:space="preserve">economic potential, nor making as significant a contribution to national prosperity as they could. </w:t>
      </w:r>
    </w:p>
    <w:p w14:paraId="4832E8A0" w14:textId="77777777" w:rsidR="00E66AA9" w:rsidRDefault="00E66AA9" w:rsidP="000A0847">
      <w:pPr>
        <w:pStyle w:val="NormalWeb"/>
        <w:rPr>
          <w:rFonts w:ascii="Calibri" w:hAnsi="Calibri"/>
          <w:color w:val="000000"/>
          <w:sz w:val="22"/>
          <w:szCs w:val="22"/>
        </w:rPr>
      </w:pPr>
    </w:p>
    <w:p w14:paraId="6413113F" w14:textId="5CF11575" w:rsidR="007E4D2D" w:rsidRDefault="00E66AA9" w:rsidP="000A0847">
      <w:pPr>
        <w:pStyle w:val="NormalWeb"/>
        <w:rPr>
          <w:rFonts w:ascii="Calibri" w:hAnsi="Calibri"/>
          <w:color w:val="000000"/>
          <w:sz w:val="22"/>
          <w:szCs w:val="22"/>
        </w:rPr>
      </w:pPr>
      <w:r>
        <w:rPr>
          <w:rFonts w:ascii="Calibri" w:hAnsi="Calibri"/>
          <w:color w:val="000000"/>
          <w:sz w:val="22"/>
          <w:szCs w:val="22"/>
        </w:rPr>
        <w:t xml:space="preserve">These </w:t>
      </w:r>
      <w:r w:rsidR="007E4D2D">
        <w:rPr>
          <w:rFonts w:ascii="Calibri" w:hAnsi="Calibri"/>
          <w:color w:val="000000"/>
          <w:sz w:val="22"/>
          <w:szCs w:val="22"/>
        </w:rPr>
        <w:t xml:space="preserve">cities </w:t>
      </w:r>
      <w:r>
        <w:rPr>
          <w:rFonts w:ascii="Calibri" w:hAnsi="Calibri"/>
          <w:color w:val="000000"/>
          <w:sz w:val="22"/>
          <w:szCs w:val="22"/>
        </w:rPr>
        <w:t>are America’</w:t>
      </w:r>
      <w:r w:rsidR="00FF360C">
        <w:rPr>
          <w:rFonts w:ascii="Calibri" w:hAnsi="Calibri"/>
          <w:color w:val="000000"/>
          <w:sz w:val="22"/>
          <w:szCs w:val="22"/>
        </w:rPr>
        <w:t xml:space="preserve">s </w:t>
      </w:r>
      <w:r w:rsidR="00FF360C" w:rsidRPr="00DC2F20">
        <w:rPr>
          <w:rFonts w:ascii="Calibri" w:hAnsi="Calibri"/>
          <w:i/>
          <w:color w:val="000000"/>
          <w:sz w:val="22"/>
          <w:szCs w:val="22"/>
        </w:rPr>
        <w:t>older industrial cities</w:t>
      </w:r>
      <w:r w:rsidR="00FF360C">
        <w:rPr>
          <w:rFonts w:ascii="Calibri" w:hAnsi="Calibri"/>
          <w:color w:val="000000"/>
          <w:sz w:val="22"/>
          <w:szCs w:val="22"/>
        </w:rPr>
        <w:t>: Akron, Ohio and Albany, Ga.;</w:t>
      </w:r>
      <w:r w:rsidR="007E4D2D">
        <w:rPr>
          <w:rFonts w:ascii="Calibri" w:hAnsi="Calibri"/>
          <w:color w:val="000000"/>
          <w:sz w:val="22"/>
          <w:szCs w:val="22"/>
        </w:rPr>
        <w:t xml:space="preserve"> New Bedford, Mass. and Newark, N.J.; St. Louis, Mo. and St. Paul, Minn.; and dozens of others in b</w:t>
      </w:r>
      <w:r w:rsidR="00731424">
        <w:rPr>
          <w:rFonts w:ascii="Calibri" w:hAnsi="Calibri"/>
          <w:color w:val="000000"/>
          <w:sz w:val="22"/>
          <w:szCs w:val="22"/>
        </w:rPr>
        <w:t>etween.</w:t>
      </w:r>
      <w:r w:rsidR="00731424">
        <w:rPr>
          <w:rStyle w:val="EndnoteReference"/>
          <w:rFonts w:ascii="Calibri" w:hAnsi="Calibri"/>
          <w:color w:val="000000"/>
          <w:sz w:val="22"/>
          <w:szCs w:val="22"/>
        </w:rPr>
        <w:endnoteReference w:id="1"/>
      </w:r>
      <w:r>
        <w:rPr>
          <w:rFonts w:ascii="Calibri" w:hAnsi="Calibri"/>
          <w:color w:val="000000"/>
          <w:sz w:val="22"/>
          <w:szCs w:val="22"/>
        </w:rPr>
        <w:t xml:space="preserve"> </w:t>
      </w:r>
      <w:r w:rsidR="00FF360C">
        <w:rPr>
          <w:rFonts w:ascii="Calibri" w:hAnsi="Calibri"/>
          <w:color w:val="000000"/>
          <w:sz w:val="22"/>
          <w:szCs w:val="22"/>
        </w:rPr>
        <w:t xml:space="preserve">Through much of the twentieth century, they were the </w:t>
      </w:r>
      <w:r w:rsidR="007E4D2D">
        <w:rPr>
          <w:rFonts w:ascii="Calibri" w:hAnsi="Calibri"/>
          <w:color w:val="000000"/>
          <w:sz w:val="22"/>
          <w:szCs w:val="22"/>
        </w:rPr>
        <w:t xml:space="preserve">engines </w:t>
      </w:r>
      <w:r w:rsidR="00FF360C">
        <w:rPr>
          <w:rFonts w:ascii="Calibri" w:hAnsi="Calibri"/>
          <w:color w:val="000000"/>
          <w:sz w:val="22"/>
          <w:szCs w:val="22"/>
        </w:rPr>
        <w:t>of America</w:t>
      </w:r>
      <w:r w:rsidR="007E4D2D">
        <w:rPr>
          <w:rFonts w:ascii="Calibri" w:hAnsi="Calibri"/>
          <w:color w:val="000000"/>
          <w:sz w:val="22"/>
          <w:szCs w:val="22"/>
        </w:rPr>
        <w:t xml:space="preserve">’s unparalleled </w:t>
      </w:r>
      <w:r w:rsidR="00FF360C">
        <w:rPr>
          <w:rFonts w:ascii="Calibri" w:hAnsi="Calibri"/>
          <w:color w:val="000000"/>
          <w:sz w:val="22"/>
          <w:szCs w:val="22"/>
        </w:rPr>
        <w:t>manufacturing</w:t>
      </w:r>
      <w:r w:rsidR="007E4D2D">
        <w:rPr>
          <w:rFonts w:ascii="Calibri" w:hAnsi="Calibri"/>
          <w:color w:val="000000"/>
          <w:sz w:val="22"/>
          <w:szCs w:val="22"/>
        </w:rPr>
        <w:t xml:space="preserve"> prowess. </w:t>
      </w:r>
      <w:r w:rsidR="000174A0">
        <w:rPr>
          <w:rFonts w:ascii="Calibri" w:hAnsi="Calibri"/>
          <w:color w:val="000000"/>
          <w:sz w:val="22"/>
          <w:szCs w:val="22"/>
        </w:rPr>
        <w:t>Several maintain monikers today—Steel City, Rubber City, Motor City, Flour City, Brew City—that reflect their historic production specializations. While m</w:t>
      </w:r>
      <w:r w:rsidR="007E4D2D">
        <w:rPr>
          <w:rFonts w:ascii="Calibri" w:hAnsi="Calibri"/>
          <w:color w:val="000000"/>
          <w:sz w:val="22"/>
          <w:szCs w:val="22"/>
        </w:rPr>
        <w:t xml:space="preserve">ost retain some of that industrial might, all have struggled with </w:t>
      </w:r>
      <w:r w:rsidR="000174A0">
        <w:rPr>
          <w:rFonts w:ascii="Calibri" w:hAnsi="Calibri"/>
          <w:color w:val="000000"/>
          <w:sz w:val="22"/>
          <w:szCs w:val="22"/>
        </w:rPr>
        <w:t>m</w:t>
      </w:r>
      <w:r w:rsidR="000B722A">
        <w:rPr>
          <w:rFonts w:ascii="Calibri" w:hAnsi="Calibri"/>
          <w:color w:val="000000"/>
          <w:sz w:val="22"/>
          <w:szCs w:val="22"/>
        </w:rPr>
        <w:t>ore recent</w:t>
      </w:r>
      <w:r w:rsidR="007E4D2D">
        <w:rPr>
          <w:rFonts w:ascii="Calibri" w:hAnsi="Calibri"/>
          <w:color w:val="000000"/>
          <w:sz w:val="22"/>
          <w:szCs w:val="22"/>
        </w:rPr>
        <w:t xml:space="preserve"> changes that have transformed the United States into a</w:t>
      </w:r>
      <w:r w:rsidR="001B38AF">
        <w:rPr>
          <w:rFonts w:ascii="Calibri" w:hAnsi="Calibri"/>
          <w:color w:val="000000"/>
          <w:sz w:val="22"/>
          <w:szCs w:val="22"/>
        </w:rPr>
        <w:t xml:space="preserve">n economy where </w:t>
      </w:r>
      <w:r w:rsidR="007E4D2D">
        <w:rPr>
          <w:rFonts w:ascii="Calibri" w:hAnsi="Calibri"/>
          <w:color w:val="000000"/>
          <w:sz w:val="22"/>
          <w:szCs w:val="22"/>
        </w:rPr>
        <w:t>services</w:t>
      </w:r>
      <w:r w:rsidR="001B38AF">
        <w:rPr>
          <w:rFonts w:ascii="Calibri" w:hAnsi="Calibri"/>
          <w:color w:val="000000"/>
          <w:sz w:val="22"/>
          <w:szCs w:val="22"/>
        </w:rPr>
        <w:t xml:space="preserve"> dominate</w:t>
      </w:r>
      <w:r w:rsidR="007E4D2D">
        <w:rPr>
          <w:rFonts w:ascii="Calibri" w:hAnsi="Calibri"/>
          <w:color w:val="000000"/>
          <w:sz w:val="22"/>
          <w:szCs w:val="22"/>
        </w:rPr>
        <w:t>. Many of these cities have endured wrenching, brutal economic transi</w:t>
      </w:r>
      <w:r w:rsidR="006F74F6">
        <w:rPr>
          <w:rFonts w:ascii="Calibri" w:hAnsi="Calibri"/>
          <w:color w:val="000000"/>
          <w:sz w:val="22"/>
          <w:szCs w:val="22"/>
        </w:rPr>
        <w:t xml:space="preserve">tions over the past few decades, the costs of which </w:t>
      </w:r>
      <w:r w:rsidR="00737018">
        <w:rPr>
          <w:rFonts w:ascii="Calibri" w:hAnsi="Calibri"/>
          <w:color w:val="000000"/>
          <w:sz w:val="22"/>
          <w:szCs w:val="22"/>
        </w:rPr>
        <w:t xml:space="preserve">we see </w:t>
      </w:r>
      <w:r w:rsidR="006F74F6">
        <w:rPr>
          <w:rFonts w:ascii="Calibri" w:hAnsi="Calibri"/>
          <w:color w:val="000000"/>
          <w:sz w:val="22"/>
          <w:szCs w:val="22"/>
        </w:rPr>
        <w:t xml:space="preserve">not only in their vacant factories and houses, but also in the </w:t>
      </w:r>
      <w:r w:rsidR="00851449">
        <w:rPr>
          <w:rFonts w:ascii="Calibri" w:hAnsi="Calibri"/>
          <w:color w:val="000000"/>
          <w:sz w:val="22"/>
          <w:szCs w:val="22"/>
        </w:rPr>
        <w:t>human hardships</w:t>
      </w:r>
      <w:r w:rsidR="001B38AF">
        <w:rPr>
          <w:rFonts w:ascii="Calibri" w:hAnsi="Calibri"/>
          <w:color w:val="000000"/>
          <w:sz w:val="22"/>
          <w:szCs w:val="22"/>
        </w:rPr>
        <w:t>—poverty, lack of educational opportunity, joblessness—</w:t>
      </w:r>
      <w:r w:rsidR="00851449">
        <w:rPr>
          <w:rFonts w:ascii="Calibri" w:hAnsi="Calibri"/>
          <w:color w:val="000000"/>
          <w:sz w:val="22"/>
          <w:szCs w:val="22"/>
        </w:rPr>
        <w:t>endured by many of their families and communities</w:t>
      </w:r>
      <w:r w:rsidR="006F74F6">
        <w:rPr>
          <w:rFonts w:ascii="Calibri" w:hAnsi="Calibri"/>
          <w:color w:val="000000"/>
          <w:sz w:val="22"/>
          <w:szCs w:val="22"/>
        </w:rPr>
        <w:t>.</w:t>
      </w:r>
    </w:p>
    <w:p w14:paraId="4A8996E5" w14:textId="77777777" w:rsidR="007E4D2D" w:rsidRDefault="007E4D2D" w:rsidP="000A0847">
      <w:pPr>
        <w:pStyle w:val="NormalWeb"/>
        <w:rPr>
          <w:rFonts w:ascii="Calibri" w:hAnsi="Calibri"/>
          <w:color w:val="000000"/>
          <w:sz w:val="22"/>
          <w:szCs w:val="22"/>
        </w:rPr>
      </w:pPr>
    </w:p>
    <w:p w14:paraId="1B6EB672" w14:textId="3FA7493E" w:rsidR="00865572" w:rsidRDefault="00E40323" w:rsidP="000A0847">
      <w:pPr>
        <w:pStyle w:val="NormalWeb"/>
        <w:rPr>
          <w:rFonts w:ascii="Calibri" w:hAnsi="Calibri"/>
          <w:color w:val="000000"/>
          <w:sz w:val="22"/>
          <w:szCs w:val="22"/>
        </w:rPr>
      </w:pPr>
      <w:r>
        <w:rPr>
          <w:rFonts w:ascii="Calibri" w:hAnsi="Calibri"/>
          <w:color w:val="000000"/>
          <w:sz w:val="22"/>
          <w:szCs w:val="22"/>
        </w:rPr>
        <w:t xml:space="preserve">These cities </w:t>
      </w:r>
      <w:r w:rsidR="00744F85">
        <w:rPr>
          <w:rFonts w:ascii="Calibri" w:hAnsi="Calibri"/>
          <w:color w:val="000000"/>
          <w:sz w:val="22"/>
          <w:szCs w:val="22"/>
        </w:rPr>
        <w:t xml:space="preserve">were built </w:t>
      </w:r>
      <w:r>
        <w:rPr>
          <w:rFonts w:ascii="Calibri" w:hAnsi="Calibri"/>
          <w:color w:val="000000"/>
          <w:sz w:val="22"/>
          <w:szCs w:val="22"/>
        </w:rPr>
        <w:t xml:space="preserve">before many others in America, and </w:t>
      </w:r>
      <w:r w:rsidR="00744F85">
        <w:rPr>
          <w:rFonts w:ascii="Calibri" w:hAnsi="Calibri"/>
          <w:color w:val="000000"/>
          <w:sz w:val="22"/>
          <w:szCs w:val="22"/>
        </w:rPr>
        <w:t xml:space="preserve">around </w:t>
      </w:r>
      <w:r w:rsidR="00301C71">
        <w:rPr>
          <w:rFonts w:ascii="Calibri" w:hAnsi="Calibri"/>
          <w:color w:val="000000"/>
          <w:sz w:val="22"/>
          <w:szCs w:val="22"/>
        </w:rPr>
        <w:t>what are now</w:t>
      </w:r>
      <w:r>
        <w:rPr>
          <w:rFonts w:ascii="Calibri" w:hAnsi="Calibri"/>
          <w:color w:val="000000"/>
          <w:sz w:val="22"/>
          <w:szCs w:val="22"/>
        </w:rPr>
        <w:t xml:space="preserve"> </w:t>
      </w:r>
      <w:r w:rsidR="00744F85">
        <w:rPr>
          <w:rFonts w:ascii="Calibri" w:hAnsi="Calibri"/>
          <w:color w:val="000000"/>
          <w:sz w:val="22"/>
          <w:szCs w:val="22"/>
        </w:rPr>
        <w:t>older industries</w:t>
      </w:r>
      <w:r w:rsidR="00523DCE">
        <w:rPr>
          <w:rFonts w:ascii="Calibri" w:hAnsi="Calibri"/>
          <w:color w:val="000000"/>
          <w:sz w:val="22"/>
          <w:szCs w:val="22"/>
        </w:rPr>
        <w:t>.</w:t>
      </w:r>
      <w:r>
        <w:rPr>
          <w:rFonts w:ascii="Calibri" w:hAnsi="Calibri"/>
          <w:color w:val="000000"/>
          <w:sz w:val="22"/>
          <w:szCs w:val="22"/>
        </w:rPr>
        <w:t xml:space="preserve"> </w:t>
      </w:r>
      <w:r w:rsidR="00523DCE">
        <w:rPr>
          <w:rFonts w:ascii="Calibri" w:hAnsi="Calibri"/>
          <w:color w:val="000000"/>
          <w:sz w:val="22"/>
          <w:szCs w:val="22"/>
        </w:rPr>
        <w:t xml:space="preserve">Some </w:t>
      </w:r>
      <w:r>
        <w:rPr>
          <w:rFonts w:ascii="Calibri" w:hAnsi="Calibri"/>
          <w:color w:val="000000"/>
          <w:sz w:val="22"/>
          <w:szCs w:val="22"/>
        </w:rPr>
        <w:t>might view</w:t>
      </w:r>
      <w:r w:rsidR="00744F85">
        <w:rPr>
          <w:rFonts w:ascii="Calibri" w:hAnsi="Calibri"/>
          <w:color w:val="000000"/>
          <w:sz w:val="22"/>
          <w:szCs w:val="22"/>
        </w:rPr>
        <w:t xml:space="preserve"> </w:t>
      </w:r>
      <w:r w:rsidR="00523DCE">
        <w:rPr>
          <w:rFonts w:ascii="Calibri" w:hAnsi="Calibri"/>
          <w:color w:val="000000"/>
          <w:sz w:val="22"/>
          <w:szCs w:val="22"/>
        </w:rPr>
        <w:t xml:space="preserve">their age </w:t>
      </w:r>
      <w:r w:rsidR="00744F85">
        <w:rPr>
          <w:rFonts w:ascii="Calibri" w:hAnsi="Calibri"/>
          <w:color w:val="000000"/>
          <w:sz w:val="22"/>
          <w:szCs w:val="22"/>
        </w:rPr>
        <w:t xml:space="preserve">as </w:t>
      </w:r>
      <w:r w:rsidR="00523DCE">
        <w:rPr>
          <w:rFonts w:ascii="Calibri" w:hAnsi="Calibri"/>
          <w:color w:val="000000"/>
          <w:sz w:val="22"/>
          <w:szCs w:val="22"/>
        </w:rPr>
        <w:t xml:space="preserve">a </w:t>
      </w:r>
      <w:r w:rsidR="000B722A">
        <w:rPr>
          <w:rFonts w:ascii="Calibri" w:hAnsi="Calibri"/>
          <w:color w:val="000000"/>
          <w:sz w:val="22"/>
          <w:szCs w:val="22"/>
        </w:rPr>
        <w:t xml:space="preserve">handicap in a nation that </w:t>
      </w:r>
      <w:r w:rsidR="00865572">
        <w:rPr>
          <w:rFonts w:ascii="Calibri" w:hAnsi="Calibri"/>
          <w:color w:val="000000"/>
          <w:sz w:val="22"/>
          <w:szCs w:val="22"/>
        </w:rPr>
        <w:t>like</w:t>
      </w:r>
      <w:r w:rsidR="000B722A">
        <w:rPr>
          <w:rFonts w:ascii="Calibri" w:hAnsi="Calibri"/>
          <w:color w:val="000000"/>
          <w:sz w:val="22"/>
          <w:szCs w:val="22"/>
        </w:rPr>
        <w:t>s</w:t>
      </w:r>
      <w:r w:rsidR="00865572">
        <w:rPr>
          <w:rFonts w:ascii="Calibri" w:hAnsi="Calibri"/>
          <w:color w:val="000000"/>
          <w:sz w:val="22"/>
          <w:szCs w:val="22"/>
        </w:rPr>
        <w:t xml:space="preserve"> new things: new cars, new homes, </w:t>
      </w:r>
      <w:r w:rsidR="000B722A">
        <w:rPr>
          <w:rFonts w:ascii="Calibri" w:hAnsi="Calibri"/>
          <w:color w:val="000000"/>
          <w:sz w:val="22"/>
          <w:szCs w:val="22"/>
        </w:rPr>
        <w:t xml:space="preserve">new buildings, </w:t>
      </w:r>
      <w:r w:rsidR="00865572">
        <w:rPr>
          <w:rFonts w:ascii="Calibri" w:hAnsi="Calibri"/>
          <w:color w:val="000000"/>
          <w:sz w:val="22"/>
          <w:szCs w:val="22"/>
        </w:rPr>
        <w:t xml:space="preserve">new gadgets, </w:t>
      </w:r>
      <w:r w:rsidR="00744F85">
        <w:rPr>
          <w:rFonts w:ascii="Calibri" w:hAnsi="Calibri"/>
          <w:color w:val="000000"/>
          <w:sz w:val="22"/>
          <w:szCs w:val="22"/>
        </w:rPr>
        <w:t xml:space="preserve">even </w:t>
      </w:r>
      <w:r w:rsidR="00174233">
        <w:rPr>
          <w:rFonts w:ascii="Calibri" w:hAnsi="Calibri"/>
          <w:color w:val="000000"/>
          <w:sz w:val="22"/>
          <w:szCs w:val="22"/>
        </w:rPr>
        <w:t>new spouses</w:t>
      </w:r>
      <w:r w:rsidR="00731424">
        <w:rPr>
          <w:rFonts w:ascii="Calibri" w:hAnsi="Calibri"/>
          <w:color w:val="000000"/>
          <w:sz w:val="22"/>
          <w:szCs w:val="22"/>
        </w:rPr>
        <w:t>.</w:t>
      </w:r>
      <w:r w:rsidR="00731424">
        <w:rPr>
          <w:rStyle w:val="EndnoteReference"/>
          <w:rFonts w:ascii="Calibri" w:hAnsi="Calibri"/>
          <w:color w:val="000000"/>
          <w:sz w:val="22"/>
          <w:szCs w:val="22"/>
        </w:rPr>
        <w:endnoteReference w:id="2"/>
      </w:r>
      <w:r w:rsidR="00865572">
        <w:rPr>
          <w:rFonts w:ascii="Calibri" w:hAnsi="Calibri"/>
          <w:color w:val="000000"/>
          <w:sz w:val="22"/>
          <w:szCs w:val="22"/>
        </w:rPr>
        <w:t xml:space="preserve"> </w:t>
      </w:r>
      <w:r w:rsidR="00851449">
        <w:rPr>
          <w:rFonts w:ascii="Calibri" w:hAnsi="Calibri"/>
          <w:color w:val="000000"/>
          <w:sz w:val="22"/>
          <w:szCs w:val="22"/>
        </w:rPr>
        <w:t xml:space="preserve">Newness naturally appeals to our </w:t>
      </w:r>
      <w:r w:rsidR="00865572">
        <w:rPr>
          <w:rFonts w:ascii="Calibri" w:hAnsi="Calibri"/>
          <w:color w:val="000000"/>
          <w:sz w:val="22"/>
          <w:szCs w:val="22"/>
        </w:rPr>
        <w:t xml:space="preserve">relatively </w:t>
      </w:r>
      <w:r w:rsidR="00C82325">
        <w:rPr>
          <w:rFonts w:ascii="Calibri" w:hAnsi="Calibri"/>
          <w:color w:val="000000"/>
          <w:sz w:val="22"/>
          <w:szCs w:val="22"/>
        </w:rPr>
        <w:t>wealthy</w:t>
      </w:r>
      <w:r w:rsidR="00865572">
        <w:rPr>
          <w:rFonts w:ascii="Calibri" w:hAnsi="Calibri"/>
          <w:color w:val="000000"/>
          <w:sz w:val="22"/>
          <w:szCs w:val="22"/>
        </w:rPr>
        <w:t xml:space="preserve">, </w:t>
      </w:r>
      <w:r w:rsidR="00C82325">
        <w:rPr>
          <w:rFonts w:ascii="Calibri" w:hAnsi="Calibri"/>
          <w:color w:val="000000"/>
          <w:sz w:val="22"/>
          <w:szCs w:val="22"/>
        </w:rPr>
        <w:t>large</w:t>
      </w:r>
      <w:r w:rsidR="00865572">
        <w:rPr>
          <w:rFonts w:ascii="Calibri" w:hAnsi="Calibri"/>
          <w:color w:val="000000"/>
          <w:sz w:val="22"/>
          <w:szCs w:val="22"/>
        </w:rPr>
        <w:t xml:space="preserve">, technologically savvy country. </w:t>
      </w:r>
      <w:r w:rsidR="000026F6">
        <w:rPr>
          <w:rFonts w:ascii="Calibri" w:hAnsi="Calibri"/>
          <w:color w:val="000000"/>
          <w:sz w:val="22"/>
          <w:szCs w:val="22"/>
        </w:rPr>
        <w:t>America</w:t>
      </w:r>
      <w:r w:rsidR="00744F85">
        <w:rPr>
          <w:rFonts w:ascii="Calibri" w:hAnsi="Calibri"/>
          <w:color w:val="000000"/>
          <w:sz w:val="22"/>
          <w:szCs w:val="22"/>
        </w:rPr>
        <w:t xml:space="preserve">, after all, was the original “New World,” </w:t>
      </w:r>
      <w:r w:rsidR="000026F6">
        <w:rPr>
          <w:rFonts w:ascii="Calibri" w:hAnsi="Calibri"/>
          <w:color w:val="000000"/>
          <w:sz w:val="22"/>
          <w:szCs w:val="22"/>
        </w:rPr>
        <w:t xml:space="preserve">in contrast to </w:t>
      </w:r>
      <w:r w:rsidR="00851449">
        <w:rPr>
          <w:rFonts w:ascii="Calibri" w:hAnsi="Calibri"/>
          <w:color w:val="000000"/>
          <w:sz w:val="22"/>
          <w:szCs w:val="22"/>
        </w:rPr>
        <w:t xml:space="preserve">the “Old World” </w:t>
      </w:r>
      <w:r w:rsidR="00744F85">
        <w:rPr>
          <w:rFonts w:ascii="Calibri" w:hAnsi="Calibri"/>
          <w:color w:val="000000"/>
          <w:sz w:val="22"/>
          <w:szCs w:val="22"/>
        </w:rPr>
        <w:t xml:space="preserve">and its </w:t>
      </w:r>
      <w:r w:rsidR="00BD254E">
        <w:rPr>
          <w:rFonts w:ascii="Calibri" w:hAnsi="Calibri"/>
          <w:color w:val="000000"/>
          <w:sz w:val="22"/>
          <w:szCs w:val="22"/>
        </w:rPr>
        <w:t>quaint villages t</w:t>
      </w:r>
      <w:r w:rsidR="00737018">
        <w:rPr>
          <w:rFonts w:ascii="Calibri" w:hAnsi="Calibri"/>
          <w:color w:val="000000"/>
          <w:sz w:val="22"/>
          <w:szCs w:val="22"/>
        </w:rPr>
        <w:t xml:space="preserve">hat evoke </w:t>
      </w:r>
      <w:r w:rsidR="00851449">
        <w:rPr>
          <w:rFonts w:ascii="Calibri" w:hAnsi="Calibri"/>
          <w:color w:val="000000"/>
          <w:sz w:val="22"/>
          <w:szCs w:val="22"/>
        </w:rPr>
        <w:t xml:space="preserve">the glories of kingdoms long </w:t>
      </w:r>
      <w:r w:rsidR="00BD254E">
        <w:rPr>
          <w:rFonts w:ascii="Calibri" w:hAnsi="Calibri"/>
          <w:color w:val="000000"/>
          <w:sz w:val="22"/>
          <w:szCs w:val="22"/>
        </w:rPr>
        <w:t>expired</w:t>
      </w:r>
      <w:r w:rsidR="00851449">
        <w:rPr>
          <w:rFonts w:ascii="Calibri" w:hAnsi="Calibri"/>
          <w:color w:val="000000"/>
          <w:sz w:val="22"/>
          <w:szCs w:val="22"/>
        </w:rPr>
        <w:t>.</w:t>
      </w:r>
    </w:p>
    <w:p w14:paraId="0159F26F" w14:textId="77777777" w:rsidR="00865572" w:rsidRDefault="00865572" w:rsidP="000A0847">
      <w:pPr>
        <w:pStyle w:val="NormalWeb"/>
        <w:rPr>
          <w:rFonts w:ascii="Calibri" w:hAnsi="Calibri"/>
          <w:color w:val="000000"/>
          <w:sz w:val="22"/>
          <w:szCs w:val="22"/>
        </w:rPr>
      </w:pPr>
    </w:p>
    <w:p w14:paraId="72B63695" w14:textId="5E6123A6" w:rsidR="00737018" w:rsidRDefault="007E4D2D" w:rsidP="000A0847">
      <w:pPr>
        <w:pStyle w:val="NormalWeb"/>
        <w:rPr>
          <w:rFonts w:ascii="Calibri" w:hAnsi="Calibri"/>
          <w:color w:val="000000"/>
          <w:sz w:val="22"/>
          <w:szCs w:val="22"/>
        </w:rPr>
      </w:pPr>
      <w:r>
        <w:rPr>
          <w:rFonts w:ascii="Calibri" w:hAnsi="Calibri"/>
          <w:color w:val="000000"/>
          <w:sz w:val="22"/>
          <w:szCs w:val="22"/>
        </w:rPr>
        <w:t xml:space="preserve">But </w:t>
      </w:r>
      <w:r w:rsidR="00851449">
        <w:rPr>
          <w:rFonts w:ascii="Calibri" w:hAnsi="Calibri"/>
          <w:color w:val="000000"/>
          <w:sz w:val="22"/>
          <w:szCs w:val="22"/>
        </w:rPr>
        <w:t xml:space="preserve">America is not quite as young as </w:t>
      </w:r>
      <w:r w:rsidR="00A43240">
        <w:rPr>
          <w:rFonts w:ascii="Calibri" w:hAnsi="Calibri"/>
          <w:color w:val="000000"/>
          <w:sz w:val="22"/>
          <w:szCs w:val="22"/>
        </w:rPr>
        <w:t>it</w:t>
      </w:r>
      <w:r w:rsidR="00851449">
        <w:rPr>
          <w:rFonts w:ascii="Calibri" w:hAnsi="Calibri"/>
          <w:color w:val="000000"/>
          <w:sz w:val="22"/>
          <w:szCs w:val="22"/>
        </w:rPr>
        <w:t xml:space="preserve"> used to be. </w:t>
      </w:r>
      <w:r w:rsidR="00737018">
        <w:rPr>
          <w:rFonts w:ascii="Calibri" w:hAnsi="Calibri"/>
          <w:color w:val="000000"/>
          <w:sz w:val="22"/>
          <w:szCs w:val="22"/>
        </w:rPr>
        <w:t xml:space="preserve">It </w:t>
      </w:r>
      <w:r w:rsidR="0012086B">
        <w:rPr>
          <w:rFonts w:ascii="Calibri" w:hAnsi="Calibri"/>
          <w:color w:val="000000"/>
          <w:sz w:val="22"/>
          <w:szCs w:val="22"/>
        </w:rPr>
        <w:t xml:space="preserve">lacks </w:t>
      </w:r>
      <w:r w:rsidR="00737018">
        <w:rPr>
          <w:rFonts w:ascii="Calibri" w:hAnsi="Calibri"/>
          <w:color w:val="000000"/>
          <w:sz w:val="22"/>
          <w:szCs w:val="22"/>
        </w:rPr>
        <w:t xml:space="preserve">the </w:t>
      </w:r>
      <w:r w:rsidR="0012086B">
        <w:rPr>
          <w:rFonts w:ascii="Calibri" w:hAnsi="Calibri"/>
          <w:color w:val="000000"/>
          <w:sz w:val="22"/>
          <w:szCs w:val="22"/>
        </w:rPr>
        <w:t xml:space="preserve">environmental, social, and fiscal </w:t>
      </w:r>
      <w:r w:rsidR="00737018">
        <w:rPr>
          <w:rFonts w:ascii="Calibri" w:hAnsi="Calibri"/>
          <w:color w:val="000000"/>
          <w:sz w:val="22"/>
          <w:szCs w:val="22"/>
        </w:rPr>
        <w:t>luxur</w:t>
      </w:r>
      <w:r w:rsidR="00523DCE">
        <w:rPr>
          <w:rFonts w:ascii="Calibri" w:hAnsi="Calibri"/>
          <w:color w:val="000000"/>
          <w:sz w:val="22"/>
          <w:szCs w:val="22"/>
        </w:rPr>
        <w:t>ies</w:t>
      </w:r>
      <w:r w:rsidR="0012086B">
        <w:rPr>
          <w:rFonts w:ascii="Calibri" w:hAnsi="Calibri"/>
          <w:color w:val="000000"/>
          <w:sz w:val="22"/>
          <w:szCs w:val="22"/>
        </w:rPr>
        <w:t xml:space="preserve"> it once had to continually</w:t>
      </w:r>
      <w:r w:rsidR="00737018">
        <w:rPr>
          <w:rFonts w:ascii="Calibri" w:hAnsi="Calibri"/>
          <w:color w:val="000000"/>
          <w:sz w:val="22"/>
          <w:szCs w:val="22"/>
        </w:rPr>
        <w:t xml:space="preserve"> plow new terrain. </w:t>
      </w:r>
      <w:r w:rsidR="0012086B">
        <w:rPr>
          <w:rFonts w:ascii="Calibri" w:hAnsi="Calibri"/>
          <w:color w:val="000000"/>
          <w:sz w:val="22"/>
          <w:szCs w:val="22"/>
        </w:rPr>
        <w:t xml:space="preserve">Moreover, </w:t>
      </w:r>
      <w:r w:rsidR="00851449">
        <w:rPr>
          <w:rFonts w:ascii="Calibri" w:hAnsi="Calibri"/>
          <w:color w:val="000000"/>
          <w:sz w:val="22"/>
          <w:szCs w:val="22"/>
        </w:rPr>
        <w:t>a</w:t>
      </w:r>
      <w:r>
        <w:rPr>
          <w:rFonts w:ascii="Calibri" w:hAnsi="Calibri"/>
          <w:color w:val="000000"/>
          <w:sz w:val="22"/>
          <w:szCs w:val="22"/>
        </w:rPr>
        <w:t xml:space="preserve">mid great uncertainty on </w:t>
      </w:r>
      <w:r w:rsidR="0028795D">
        <w:rPr>
          <w:rFonts w:ascii="Calibri" w:hAnsi="Calibri"/>
          <w:color w:val="000000"/>
          <w:sz w:val="22"/>
          <w:szCs w:val="22"/>
        </w:rPr>
        <w:t xml:space="preserve">the country’s </w:t>
      </w:r>
      <w:r>
        <w:rPr>
          <w:rFonts w:ascii="Calibri" w:hAnsi="Calibri"/>
          <w:color w:val="000000"/>
          <w:sz w:val="22"/>
          <w:szCs w:val="22"/>
        </w:rPr>
        <w:t xml:space="preserve">economic horizon, past need not be prologue. </w:t>
      </w:r>
      <w:r w:rsidR="001340D9">
        <w:rPr>
          <w:rFonts w:ascii="Calibri" w:hAnsi="Calibri"/>
          <w:color w:val="000000"/>
          <w:sz w:val="22"/>
          <w:szCs w:val="22"/>
        </w:rPr>
        <w:t>Relentless technological innovation and demographic changes are shifting what bu</w:t>
      </w:r>
      <w:r w:rsidR="001B38AF">
        <w:rPr>
          <w:rFonts w:ascii="Calibri" w:hAnsi="Calibri"/>
          <w:color w:val="000000"/>
          <w:sz w:val="22"/>
          <w:szCs w:val="22"/>
        </w:rPr>
        <w:t>sinesses and individuals value</w:t>
      </w:r>
      <w:r w:rsidR="00BB33C3">
        <w:rPr>
          <w:rFonts w:ascii="Calibri" w:hAnsi="Calibri"/>
          <w:color w:val="000000"/>
          <w:sz w:val="22"/>
          <w:szCs w:val="22"/>
        </w:rPr>
        <w:t xml:space="preserve"> in ways that </w:t>
      </w:r>
      <w:r w:rsidR="00E40323">
        <w:rPr>
          <w:rFonts w:ascii="Calibri" w:hAnsi="Calibri"/>
          <w:color w:val="000000"/>
          <w:sz w:val="22"/>
          <w:szCs w:val="22"/>
        </w:rPr>
        <w:t xml:space="preserve">may reposition our older communities. </w:t>
      </w:r>
    </w:p>
    <w:p w14:paraId="5358DD0D" w14:textId="77777777" w:rsidR="00737018" w:rsidRDefault="00737018" w:rsidP="000A0847">
      <w:pPr>
        <w:pStyle w:val="NormalWeb"/>
        <w:rPr>
          <w:rFonts w:ascii="Calibri" w:hAnsi="Calibri"/>
          <w:color w:val="000000"/>
          <w:sz w:val="22"/>
          <w:szCs w:val="22"/>
        </w:rPr>
      </w:pPr>
    </w:p>
    <w:p w14:paraId="132528E5" w14:textId="5FF54CFC" w:rsidR="007E4D2D" w:rsidRDefault="00BB33C3" w:rsidP="000A0847">
      <w:pPr>
        <w:pStyle w:val="NormalWeb"/>
        <w:rPr>
          <w:rFonts w:ascii="Calibri" w:hAnsi="Calibri"/>
          <w:color w:val="000000"/>
          <w:sz w:val="22"/>
          <w:szCs w:val="22"/>
        </w:rPr>
      </w:pPr>
      <w:r>
        <w:rPr>
          <w:rFonts w:ascii="Calibri" w:hAnsi="Calibri"/>
          <w:color w:val="000000"/>
          <w:sz w:val="22"/>
          <w:szCs w:val="22"/>
        </w:rPr>
        <w:t>As evidence</w:t>
      </w:r>
      <w:r w:rsidR="00771508">
        <w:rPr>
          <w:rFonts w:ascii="Calibri" w:hAnsi="Calibri"/>
          <w:color w:val="000000"/>
          <w:sz w:val="22"/>
          <w:szCs w:val="22"/>
        </w:rPr>
        <w:t>, m</w:t>
      </w:r>
      <w:r w:rsidR="007E4D2D">
        <w:rPr>
          <w:rFonts w:ascii="Calibri" w:hAnsi="Calibri"/>
          <w:color w:val="000000"/>
          <w:sz w:val="22"/>
          <w:szCs w:val="22"/>
        </w:rPr>
        <w:t xml:space="preserve">any older industrial cities today </w:t>
      </w:r>
      <w:r w:rsidR="00763613">
        <w:rPr>
          <w:rFonts w:ascii="Calibri" w:hAnsi="Calibri"/>
          <w:color w:val="000000"/>
          <w:sz w:val="22"/>
          <w:szCs w:val="22"/>
        </w:rPr>
        <w:t>exhibit</w:t>
      </w:r>
      <w:r w:rsidR="00771508">
        <w:rPr>
          <w:rFonts w:ascii="Calibri" w:hAnsi="Calibri"/>
          <w:color w:val="000000"/>
          <w:sz w:val="22"/>
          <w:szCs w:val="22"/>
        </w:rPr>
        <w:t xml:space="preserve"> </w:t>
      </w:r>
      <w:r w:rsidR="00763613">
        <w:rPr>
          <w:rFonts w:ascii="Calibri" w:hAnsi="Calibri"/>
          <w:color w:val="000000"/>
          <w:sz w:val="22"/>
          <w:szCs w:val="22"/>
        </w:rPr>
        <w:t xml:space="preserve">important </w:t>
      </w:r>
      <w:r w:rsidR="00771508">
        <w:rPr>
          <w:rFonts w:ascii="Calibri" w:hAnsi="Calibri"/>
          <w:color w:val="000000"/>
          <w:sz w:val="22"/>
          <w:szCs w:val="22"/>
        </w:rPr>
        <w:t xml:space="preserve">signs </w:t>
      </w:r>
      <w:r w:rsidR="007E4D2D">
        <w:rPr>
          <w:rFonts w:ascii="Calibri" w:hAnsi="Calibri"/>
          <w:color w:val="000000"/>
          <w:sz w:val="22"/>
          <w:szCs w:val="22"/>
        </w:rPr>
        <w:t>of ec</w:t>
      </w:r>
      <w:r w:rsidR="001340D9">
        <w:rPr>
          <w:rFonts w:ascii="Calibri" w:hAnsi="Calibri"/>
          <w:color w:val="000000"/>
          <w:sz w:val="22"/>
          <w:szCs w:val="22"/>
        </w:rPr>
        <w:t>onomic and demographic momentum</w:t>
      </w:r>
      <w:r w:rsidR="00763613">
        <w:rPr>
          <w:rFonts w:ascii="Calibri" w:hAnsi="Calibri"/>
          <w:color w:val="000000"/>
          <w:sz w:val="22"/>
          <w:szCs w:val="22"/>
        </w:rPr>
        <w:t>, visible in increased investment, growing industries, and burgeoning residential activity</w:t>
      </w:r>
      <w:r w:rsidR="001340D9">
        <w:rPr>
          <w:rFonts w:ascii="Calibri" w:hAnsi="Calibri"/>
          <w:color w:val="000000"/>
          <w:sz w:val="22"/>
          <w:szCs w:val="22"/>
        </w:rPr>
        <w:t xml:space="preserve">. Like </w:t>
      </w:r>
      <w:r>
        <w:rPr>
          <w:rFonts w:ascii="Calibri" w:hAnsi="Calibri"/>
          <w:color w:val="000000"/>
          <w:sz w:val="22"/>
          <w:szCs w:val="22"/>
        </w:rPr>
        <w:t xml:space="preserve">many </w:t>
      </w:r>
      <w:r w:rsidR="001340D9">
        <w:rPr>
          <w:rFonts w:ascii="Calibri" w:hAnsi="Calibri"/>
          <w:color w:val="000000"/>
          <w:sz w:val="22"/>
          <w:szCs w:val="22"/>
        </w:rPr>
        <w:t xml:space="preserve">places, </w:t>
      </w:r>
      <w:r w:rsidR="00763613">
        <w:rPr>
          <w:rFonts w:ascii="Calibri" w:hAnsi="Calibri"/>
          <w:color w:val="000000"/>
          <w:sz w:val="22"/>
          <w:szCs w:val="22"/>
        </w:rPr>
        <w:t xml:space="preserve">these cities </w:t>
      </w:r>
      <w:r w:rsidR="001340D9">
        <w:rPr>
          <w:rFonts w:ascii="Calibri" w:hAnsi="Calibri"/>
          <w:color w:val="000000"/>
          <w:sz w:val="22"/>
          <w:szCs w:val="22"/>
        </w:rPr>
        <w:t xml:space="preserve">will </w:t>
      </w:r>
      <w:r w:rsidR="00771508">
        <w:rPr>
          <w:rFonts w:ascii="Calibri" w:hAnsi="Calibri"/>
          <w:color w:val="000000"/>
          <w:sz w:val="22"/>
          <w:szCs w:val="22"/>
        </w:rPr>
        <w:t>undoubtedly confront serious challenges in the years and decades</w:t>
      </w:r>
      <w:r w:rsidR="00D76EEC">
        <w:rPr>
          <w:rFonts w:ascii="Calibri" w:hAnsi="Calibri"/>
          <w:color w:val="000000"/>
          <w:sz w:val="22"/>
          <w:szCs w:val="22"/>
        </w:rPr>
        <w:t xml:space="preserve"> ahead that result from technological change, increasing urbanization, and the demographic transformation of American society</w:t>
      </w:r>
      <w:r w:rsidR="00771508">
        <w:rPr>
          <w:rFonts w:ascii="Calibri" w:hAnsi="Calibri"/>
          <w:color w:val="000000"/>
          <w:sz w:val="22"/>
          <w:szCs w:val="22"/>
        </w:rPr>
        <w:t xml:space="preserve">. </w:t>
      </w:r>
      <w:r>
        <w:rPr>
          <w:rFonts w:ascii="Calibri" w:hAnsi="Calibri"/>
          <w:color w:val="000000"/>
          <w:sz w:val="22"/>
          <w:szCs w:val="22"/>
        </w:rPr>
        <w:t xml:space="preserve">Indeed, older industrial cities have been grappling with </w:t>
      </w:r>
      <w:r w:rsidR="00E530B8">
        <w:rPr>
          <w:rFonts w:ascii="Calibri" w:hAnsi="Calibri"/>
          <w:color w:val="000000"/>
          <w:sz w:val="22"/>
          <w:szCs w:val="22"/>
        </w:rPr>
        <w:t xml:space="preserve">those emergent forces </w:t>
      </w:r>
      <w:r>
        <w:rPr>
          <w:rFonts w:ascii="Calibri" w:hAnsi="Calibri"/>
          <w:color w:val="000000"/>
          <w:sz w:val="22"/>
          <w:szCs w:val="22"/>
        </w:rPr>
        <w:t xml:space="preserve">for </w:t>
      </w:r>
      <w:r w:rsidR="00523DCE">
        <w:rPr>
          <w:rFonts w:ascii="Calibri" w:hAnsi="Calibri"/>
          <w:color w:val="000000"/>
          <w:sz w:val="22"/>
          <w:szCs w:val="22"/>
        </w:rPr>
        <w:t>decades</w:t>
      </w:r>
      <w:r>
        <w:rPr>
          <w:rFonts w:ascii="Calibri" w:hAnsi="Calibri"/>
          <w:color w:val="000000"/>
          <w:sz w:val="22"/>
          <w:szCs w:val="22"/>
        </w:rPr>
        <w:t xml:space="preserve"> now. Yet t</w:t>
      </w:r>
      <w:r w:rsidR="00771508">
        <w:rPr>
          <w:rFonts w:ascii="Calibri" w:hAnsi="Calibri"/>
          <w:color w:val="000000"/>
          <w:sz w:val="22"/>
          <w:szCs w:val="22"/>
        </w:rPr>
        <w:t xml:space="preserve">he </w:t>
      </w:r>
      <w:r>
        <w:rPr>
          <w:rFonts w:ascii="Calibri" w:hAnsi="Calibri"/>
          <w:color w:val="000000"/>
          <w:sz w:val="22"/>
          <w:szCs w:val="22"/>
        </w:rPr>
        <w:t xml:space="preserve">underlying </w:t>
      </w:r>
      <w:r w:rsidR="00771508">
        <w:rPr>
          <w:rFonts w:ascii="Calibri" w:hAnsi="Calibri"/>
          <w:color w:val="000000"/>
          <w:sz w:val="22"/>
          <w:szCs w:val="22"/>
        </w:rPr>
        <w:t>assets that our older industrial centers possess</w:t>
      </w:r>
      <w:r w:rsidR="00744F85">
        <w:rPr>
          <w:rFonts w:ascii="Calibri" w:hAnsi="Calibri"/>
          <w:color w:val="000000"/>
          <w:sz w:val="22"/>
          <w:szCs w:val="22"/>
        </w:rPr>
        <w:t>—their innovative companies, knowledgeable workers, valuable infrastructure, and civic commitment—</w:t>
      </w:r>
      <w:r w:rsidR="00771508">
        <w:rPr>
          <w:rFonts w:ascii="Calibri" w:hAnsi="Calibri"/>
          <w:color w:val="000000"/>
          <w:sz w:val="22"/>
          <w:szCs w:val="22"/>
        </w:rPr>
        <w:t>could be essential contributors to our collective ability to tackle those challenges.</w:t>
      </w:r>
      <w:r w:rsidR="000B722A">
        <w:rPr>
          <w:rFonts w:ascii="Calibri" w:hAnsi="Calibri"/>
          <w:color w:val="000000"/>
          <w:sz w:val="22"/>
          <w:szCs w:val="22"/>
        </w:rPr>
        <w:t xml:space="preserve"> </w:t>
      </w:r>
    </w:p>
    <w:p w14:paraId="3ACB3ECB" w14:textId="1B3C4796" w:rsidR="000026F6" w:rsidRDefault="000026F6" w:rsidP="000A0847">
      <w:pPr>
        <w:pStyle w:val="NormalWeb"/>
        <w:rPr>
          <w:rFonts w:ascii="Calibri" w:hAnsi="Calibri"/>
          <w:color w:val="000000"/>
          <w:sz w:val="22"/>
          <w:szCs w:val="22"/>
        </w:rPr>
      </w:pPr>
    </w:p>
    <w:p w14:paraId="7293004F" w14:textId="6FC30D01" w:rsidR="000026F6" w:rsidRDefault="000026F6" w:rsidP="000A0847">
      <w:pPr>
        <w:pStyle w:val="NormalWeb"/>
        <w:rPr>
          <w:rFonts w:ascii="Calibri" w:hAnsi="Calibri"/>
          <w:color w:val="000000"/>
          <w:sz w:val="22"/>
          <w:szCs w:val="22"/>
        </w:rPr>
      </w:pPr>
      <w:r>
        <w:rPr>
          <w:rFonts w:ascii="Calibri" w:hAnsi="Calibri"/>
          <w:color w:val="000000"/>
          <w:sz w:val="22"/>
          <w:szCs w:val="22"/>
        </w:rPr>
        <w:t xml:space="preserve">What is more, our older industrial cities </w:t>
      </w:r>
      <w:r w:rsidR="00B316B8">
        <w:rPr>
          <w:rFonts w:ascii="Calibri" w:hAnsi="Calibri"/>
          <w:color w:val="000000"/>
          <w:sz w:val="22"/>
          <w:szCs w:val="22"/>
        </w:rPr>
        <w:t xml:space="preserve">could </w:t>
      </w:r>
      <w:r>
        <w:rPr>
          <w:rFonts w:ascii="Calibri" w:hAnsi="Calibri"/>
          <w:color w:val="000000"/>
          <w:sz w:val="22"/>
          <w:szCs w:val="22"/>
        </w:rPr>
        <w:t xml:space="preserve">be critical </w:t>
      </w:r>
      <w:r w:rsidR="00B316B8">
        <w:rPr>
          <w:rFonts w:ascii="Calibri" w:hAnsi="Calibri"/>
          <w:color w:val="000000"/>
          <w:sz w:val="22"/>
          <w:szCs w:val="22"/>
        </w:rPr>
        <w:t xml:space="preserve">focal points </w:t>
      </w:r>
      <w:r>
        <w:rPr>
          <w:rFonts w:ascii="Calibri" w:hAnsi="Calibri"/>
          <w:color w:val="000000"/>
          <w:sz w:val="22"/>
          <w:szCs w:val="22"/>
        </w:rPr>
        <w:t xml:space="preserve">for narrowing our country’s growing societal and political divides. These cities anchor wider regions of the country where prosperity has lagged. </w:t>
      </w:r>
      <w:r w:rsidR="00FB1AAA">
        <w:rPr>
          <w:rFonts w:ascii="Calibri" w:hAnsi="Calibri"/>
          <w:color w:val="000000"/>
          <w:sz w:val="22"/>
          <w:szCs w:val="22"/>
        </w:rPr>
        <w:t xml:space="preserve">Resulting increases in geographic </w:t>
      </w:r>
      <w:r>
        <w:rPr>
          <w:rFonts w:ascii="Calibri" w:hAnsi="Calibri"/>
          <w:color w:val="000000"/>
          <w:sz w:val="22"/>
          <w:szCs w:val="22"/>
        </w:rPr>
        <w:t xml:space="preserve">inequality </w:t>
      </w:r>
      <w:r w:rsidR="00FB1AAA">
        <w:rPr>
          <w:rFonts w:ascii="Calibri" w:hAnsi="Calibri"/>
          <w:color w:val="000000"/>
          <w:sz w:val="22"/>
          <w:szCs w:val="22"/>
        </w:rPr>
        <w:t>have fueled growing partisanship in federal and state politics, accelerating divisions in media and the public realm, and declining confidence in the American experiment. Although the nation’s most distressed small towns and rural communities have recently attracted understandable public concern, the assets contained within the Heartland’s major cities and urban areas make them a stronger bet for efforts to extend economic well-being more broadly.</w:t>
      </w:r>
      <w:r w:rsidR="008667E7">
        <w:rPr>
          <w:rFonts w:ascii="Calibri" w:hAnsi="Calibri"/>
          <w:color w:val="000000"/>
          <w:sz w:val="22"/>
          <w:szCs w:val="22"/>
        </w:rPr>
        <w:t xml:space="preserve"> Helping to more fully realize the potential of these cities </w:t>
      </w:r>
      <w:r w:rsidR="00763613">
        <w:rPr>
          <w:rFonts w:ascii="Calibri" w:hAnsi="Calibri"/>
          <w:color w:val="000000"/>
          <w:sz w:val="22"/>
          <w:szCs w:val="22"/>
        </w:rPr>
        <w:t>w</w:t>
      </w:r>
      <w:r w:rsidR="008667E7">
        <w:rPr>
          <w:rFonts w:ascii="Calibri" w:hAnsi="Calibri"/>
          <w:color w:val="000000"/>
          <w:sz w:val="22"/>
          <w:szCs w:val="22"/>
        </w:rPr>
        <w:t xml:space="preserve">ould yield </w:t>
      </w:r>
      <w:r w:rsidR="00763613">
        <w:rPr>
          <w:rFonts w:ascii="Calibri" w:hAnsi="Calibri"/>
          <w:color w:val="000000"/>
          <w:sz w:val="22"/>
          <w:szCs w:val="22"/>
        </w:rPr>
        <w:t>not only economic benefits for our nation, but also close the “trust gap” that threatens its continued social progress.</w:t>
      </w:r>
    </w:p>
    <w:p w14:paraId="139EA59F" w14:textId="77777777" w:rsidR="00771508" w:rsidRDefault="00771508" w:rsidP="000A0847">
      <w:pPr>
        <w:pStyle w:val="NormalWeb"/>
        <w:rPr>
          <w:rFonts w:ascii="Calibri" w:hAnsi="Calibri"/>
          <w:color w:val="000000"/>
          <w:sz w:val="22"/>
          <w:szCs w:val="22"/>
        </w:rPr>
      </w:pPr>
    </w:p>
    <w:p w14:paraId="484482BA" w14:textId="787D8C9E" w:rsidR="000B0E28" w:rsidRDefault="00C82325" w:rsidP="000A0847">
      <w:pPr>
        <w:pStyle w:val="NormalWeb"/>
        <w:rPr>
          <w:rFonts w:ascii="Calibri" w:hAnsi="Calibri"/>
          <w:color w:val="000000"/>
          <w:sz w:val="22"/>
          <w:szCs w:val="22"/>
        </w:rPr>
      </w:pPr>
      <w:r>
        <w:rPr>
          <w:rFonts w:ascii="Calibri" w:hAnsi="Calibri"/>
          <w:color w:val="000000"/>
          <w:sz w:val="22"/>
          <w:szCs w:val="22"/>
        </w:rPr>
        <w:t>T</w:t>
      </w:r>
      <w:r w:rsidR="000B722A">
        <w:rPr>
          <w:rFonts w:ascii="Calibri" w:hAnsi="Calibri"/>
          <w:color w:val="000000"/>
          <w:sz w:val="22"/>
          <w:szCs w:val="22"/>
        </w:rPr>
        <w:t xml:space="preserve">his </w:t>
      </w:r>
      <w:r w:rsidR="000B0E28">
        <w:rPr>
          <w:rFonts w:ascii="Calibri" w:hAnsi="Calibri"/>
          <w:color w:val="000000"/>
          <w:sz w:val="22"/>
          <w:szCs w:val="22"/>
        </w:rPr>
        <w:t xml:space="preserve">is not the first time Brookings </w:t>
      </w:r>
      <w:r w:rsidR="00FB1AAA">
        <w:rPr>
          <w:rFonts w:ascii="Calibri" w:hAnsi="Calibri"/>
          <w:color w:val="000000"/>
          <w:sz w:val="22"/>
          <w:szCs w:val="22"/>
        </w:rPr>
        <w:t xml:space="preserve">Metro </w:t>
      </w:r>
      <w:r w:rsidR="000B0E28">
        <w:rPr>
          <w:rFonts w:ascii="Calibri" w:hAnsi="Calibri"/>
          <w:color w:val="000000"/>
          <w:sz w:val="22"/>
          <w:szCs w:val="22"/>
        </w:rPr>
        <w:t>has examined the state of America’s older industrial cities and their prospects for the future. A little more than a decade ago, we published an assessment of these cities and the case for state investment in their assets.</w:t>
      </w:r>
      <w:r w:rsidR="00731424">
        <w:rPr>
          <w:rStyle w:val="EndnoteReference"/>
          <w:rFonts w:ascii="Calibri" w:hAnsi="Calibri"/>
          <w:color w:val="000000"/>
          <w:sz w:val="22"/>
          <w:szCs w:val="22"/>
        </w:rPr>
        <w:endnoteReference w:id="3"/>
      </w:r>
      <w:r w:rsidR="000B0E28">
        <w:rPr>
          <w:rFonts w:ascii="Calibri" w:hAnsi="Calibri"/>
          <w:color w:val="000000"/>
          <w:sz w:val="22"/>
          <w:szCs w:val="22"/>
        </w:rPr>
        <w:t xml:space="preserve"> Many of that report’s themes echo throughout this one, because these cities are still grappling with many of the same issues it identified. Yet the past 10 years have also included momentous economic and societal changes: the Great Recession followed by a record-long economic expansion; the advent of the </w:t>
      </w:r>
      <w:r w:rsidR="0012086B">
        <w:rPr>
          <w:rFonts w:ascii="Calibri" w:hAnsi="Calibri"/>
          <w:color w:val="000000"/>
          <w:sz w:val="22"/>
          <w:szCs w:val="22"/>
        </w:rPr>
        <w:t xml:space="preserve">smartphone </w:t>
      </w:r>
      <w:r w:rsidR="000B0E28">
        <w:rPr>
          <w:rFonts w:ascii="Calibri" w:hAnsi="Calibri"/>
          <w:color w:val="000000"/>
          <w:sz w:val="22"/>
          <w:szCs w:val="22"/>
        </w:rPr>
        <w:t xml:space="preserve">and massive advances in technological capabilities; and </w:t>
      </w:r>
      <w:r w:rsidR="0028795D">
        <w:rPr>
          <w:rFonts w:ascii="Calibri" w:hAnsi="Calibri"/>
          <w:color w:val="000000"/>
          <w:sz w:val="22"/>
          <w:szCs w:val="22"/>
        </w:rPr>
        <w:t>tectonic</w:t>
      </w:r>
      <w:r w:rsidR="000B0E28">
        <w:rPr>
          <w:rFonts w:ascii="Calibri" w:hAnsi="Calibri"/>
          <w:color w:val="000000"/>
          <w:sz w:val="22"/>
          <w:szCs w:val="22"/>
        </w:rPr>
        <w:t xml:space="preserve"> political shifts at the national level across two presidential administrations. As this analysis argues, those changes and others justify a fresh look at the status and prospects of our older </w:t>
      </w:r>
      <w:r w:rsidR="0028795D">
        <w:rPr>
          <w:rFonts w:ascii="Calibri" w:hAnsi="Calibri"/>
          <w:color w:val="000000"/>
          <w:sz w:val="22"/>
          <w:szCs w:val="22"/>
        </w:rPr>
        <w:t>industrial cities</w:t>
      </w:r>
      <w:r w:rsidR="000B0E28">
        <w:rPr>
          <w:rFonts w:ascii="Calibri" w:hAnsi="Calibri"/>
          <w:color w:val="000000"/>
          <w:sz w:val="22"/>
          <w:szCs w:val="22"/>
        </w:rPr>
        <w:t>.</w:t>
      </w:r>
    </w:p>
    <w:p w14:paraId="0757FBBB" w14:textId="77777777" w:rsidR="000B0E28" w:rsidRDefault="000B0E28" w:rsidP="000A0847">
      <w:pPr>
        <w:pStyle w:val="NormalWeb"/>
        <w:rPr>
          <w:rFonts w:ascii="Calibri" w:hAnsi="Calibri"/>
          <w:color w:val="000000"/>
          <w:sz w:val="22"/>
          <w:szCs w:val="22"/>
        </w:rPr>
      </w:pPr>
    </w:p>
    <w:p w14:paraId="5560E676" w14:textId="2506080A" w:rsidR="00771508" w:rsidRDefault="000B0E28" w:rsidP="000A0847">
      <w:pPr>
        <w:pStyle w:val="NormalWeb"/>
        <w:rPr>
          <w:rFonts w:ascii="Calibri" w:hAnsi="Calibri"/>
          <w:color w:val="000000"/>
          <w:sz w:val="22"/>
          <w:szCs w:val="22"/>
        </w:rPr>
      </w:pPr>
      <w:r>
        <w:rPr>
          <w:rFonts w:ascii="Calibri" w:hAnsi="Calibri"/>
          <w:color w:val="000000"/>
          <w:sz w:val="22"/>
          <w:szCs w:val="22"/>
        </w:rPr>
        <w:t xml:space="preserve">This </w:t>
      </w:r>
      <w:r w:rsidR="000B722A">
        <w:rPr>
          <w:rFonts w:ascii="Calibri" w:hAnsi="Calibri"/>
          <w:color w:val="000000"/>
          <w:sz w:val="22"/>
          <w:szCs w:val="22"/>
        </w:rPr>
        <w:t xml:space="preserve">report </w:t>
      </w:r>
      <w:r>
        <w:rPr>
          <w:rFonts w:ascii="Calibri" w:hAnsi="Calibri"/>
          <w:color w:val="000000"/>
          <w:sz w:val="22"/>
          <w:szCs w:val="22"/>
        </w:rPr>
        <w:t xml:space="preserve">aims to </w:t>
      </w:r>
      <w:r w:rsidR="0028795D">
        <w:rPr>
          <w:rFonts w:ascii="Calibri" w:hAnsi="Calibri"/>
          <w:color w:val="000000"/>
          <w:sz w:val="22"/>
          <w:szCs w:val="22"/>
        </w:rPr>
        <w:t>refresh and improve our understanding</w:t>
      </w:r>
      <w:r>
        <w:rPr>
          <w:rFonts w:ascii="Calibri" w:hAnsi="Calibri"/>
          <w:color w:val="000000"/>
          <w:sz w:val="22"/>
          <w:szCs w:val="22"/>
        </w:rPr>
        <w:t xml:space="preserve"> </w:t>
      </w:r>
      <w:r w:rsidR="0028795D">
        <w:rPr>
          <w:rFonts w:ascii="Calibri" w:hAnsi="Calibri"/>
          <w:color w:val="000000"/>
          <w:sz w:val="22"/>
          <w:szCs w:val="22"/>
        </w:rPr>
        <w:t xml:space="preserve">of </w:t>
      </w:r>
      <w:r w:rsidR="00C82325">
        <w:rPr>
          <w:rFonts w:ascii="Calibri" w:hAnsi="Calibri"/>
          <w:color w:val="000000"/>
          <w:sz w:val="22"/>
          <w:szCs w:val="22"/>
        </w:rPr>
        <w:t>older industrial cities</w:t>
      </w:r>
      <w:r w:rsidR="0028795D">
        <w:rPr>
          <w:rFonts w:ascii="Calibri" w:hAnsi="Calibri"/>
          <w:color w:val="000000"/>
          <w:sz w:val="22"/>
          <w:szCs w:val="22"/>
        </w:rPr>
        <w:t>’ position</w:t>
      </w:r>
      <w:r w:rsidR="00C82325">
        <w:rPr>
          <w:rFonts w:ascii="Calibri" w:hAnsi="Calibri"/>
          <w:color w:val="000000"/>
          <w:sz w:val="22"/>
          <w:szCs w:val="22"/>
        </w:rPr>
        <w:t xml:space="preserve"> in our modern economy</w:t>
      </w:r>
      <w:r w:rsidR="0028795D">
        <w:rPr>
          <w:rFonts w:ascii="Calibri" w:hAnsi="Calibri"/>
          <w:color w:val="000000"/>
          <w:sz w:val="22"/>
          <w:szCs w:val="22"/>
        </w:rPr>
        <w:t xml:space="preserve">, </w:t>
      </w:r>
      <w:r w:rsidR="00C82325">
        <w:rPr>
          <w:rFonts w:ascii="Calibri" w:hAnsi="Calibri"/>
          <w:color w:val="000000"/>
          <w:sz w:val="22"/>
          <w:szCs w:val="22"/>
        </w:rPr>
        <w:t>both collectively and individually</w:t>
      </w:r>
      <w:r w:rsidR="0028795D">
        <w:rPr>
          <w:rFonts w:ascii="Calibri" w:hAnsi="Calibri"/>
          <w:color w:val="000000"/>
          <w:sz w:val="22"/>
          <w:szCs w:val="22"/>
        </w:rPr>
        <w:t>.</w:t>
      </w:r>
      <w:r w:rsidR="00C82325">
        <w:rPr>
          <w:rFonts w:ascii="Calibri" w:hAnsi="Calibri"/>
          <w:color w:val="000000"/>
          <w:sz w:val="22"/>
          <w:szCs w:val="22"/>
        </w:rPr>
        <w:t xml:space="preserve"> </w:t>
      </w:r>
      <w:r w:rsidR="0028795D">
        <w:rPr>
          <w:rFonts w:ascii="Calibri" w:hAnsi="Calibri"/>
          <w:color w:val="000000"/>
          <w:sz w:val="22"/>
          <w:szCs w:val="22"/>
        </w:rPr>
        <w:t xml:space="preserve">It also </w:t>
      </w:r>
      <w:r w:rsidR="00C82325">
        <w:rPr>
          <w:rFonts w:ascii="Calibri" w:hAnsi="Calibri"/>
          <w:color w:val="000000"/>
          <w:sz w:val="22"/>
          <w:szCs w:val="22"/>
        </w:rPr>
        <w:t>suggest</w:t>
      </w:r>
      <w:r w:rsidR="0028795D">
        <w:rPr>
          <w:rFonts w:ascii="Calibri" w:hAnsi="Calibri"/>
          <w:color w:val="000000"/>
          <w:sz w:val="22"/>
          <w:szCs w:val="22"/>
        </w:rPr>
        <w:t>s</w:t>
      </w:r>
      <w:r w:rsidR="00C82325">
        <w:rPr>
          <w:rFonts w:ascii="Calibri" w:hAnsi="Calibri"/>
          <w:color w:val="000000"/>
          <w:sz w:val="22"/>
          <w:szCs w:val="22"/>
        </w:rPr>
        <w:t xml:space="preserve"> ways in which these places might better leverage their advantages, and address their disadvantages, to achieve improved economic growth, prosperity, and inclusion for all. </w:t>
      </w:r>
      <w:r w:rsidR="00FB1AAA">
        <w:rPr>
          <w:rFonts w:ascii="Calibri" w:hAnsi="Calibri"/>
          <w:color w:val="000000"/>
          <w:sz w:val="22"/>
          <w:szCs w:val="22"/>
        </w:rPr>
        <w:t xml:space="preserve">Ultimately, </w:t>
      </w:r>
      <w:r w:rsidR="00161FC9">
        <w:rPr>
          <w:rFonts w:ascii="Calibri" w:hAnsi="Calibri"/>
          <w:color w:val="000000"/>
          <w:sz w:val="22"/>
          <w:szCs w:val="22"/>
        </w:rPr>
        <w:t xml:space="preserve">this report seeks not only </w:t>
      </w:r>
      <w:r w:rsidR="00C82325">
        <w:rPr>
          <w:rFonts w:ascii="Calibri" w:hAnsi="Calibri"/>
          <w:color w:val="000000"/>
          <w:sz w:val="22"/>
          <w:szCs w:val="22"/>
        </w:rPr>
        <w:t xml:space="preserve">to </w:t>
      </w:r>
      <w:r w:rsidR="00737018">
        <w:rPr>
          <w:rFonts w:ascii="Calibri" w:hAnsi="Calibri"/>
          <w:color w:val="000000"/>
          <w:sz w:val="22"/>
          <w:szCs w:val="22"/>
        </w:rPr>
        <w:t xml:space="preserve">inform </w:t>
      </w:r>
      <w:r w:rsidR="00FB1AAA">
        <w:rPr>
          <w:rFonts w:ascii="Calibri" w:hAnsi="Calibri"/>
          <w:color w:val="000000"/>
          <w:sz w:val="22"/>
          <w:szCs w:val="22"/>
        </w:rPr>
        <w:t xml:space="preserve">and inspire </w:t>
      </w:r>
      <w:r w:rsidR="00C82325">
        <w:rPr>
          <w:rFonts w:ascii="Calibri" w:hAnsi="Calibri"/>
          <w:color w:val="000000"/>
          <w:sz w:val="22"/>
          <w:szCs w:val="22"/>
        </w:rPr>
        <w:t xml:space="preserve">leaders in these older industrial places, but also to </w:t>
      </w:r>
      <w:r w:rsidR="00737018">
        <w:rPr>
          <w:rFonts w:ascii="Calibri" w:hAnsi="Calibri"/>
          <w:color w:val="000000"/>
          <w:sz w:val="22"/>
          <w:szCs w:val="22"/>
        </w:rPr>
        <w:t xml:space="preserve">speak to </w:t>
      </w:r>
      <w:r w:rsidR="00B316B8">
        <w:rPr>
          <w:rFonts w:ascii="Calibri" w:hAnsi="Calibri"/>
          <w:color w:val="000000"/>
          <w:sz w:val="22"/>
          <w:szCs w:val="22"/>
        </w:rPr>
        <w:t xml:space="preserve">all </w:t>
      </w:r>
      <w:r w:rsidR="00C82325">
        <w:rPr>
          <w:rFonts w:ascii="Calibri" w:hAnsi="Calibri"/>
          <w:color w:val="000000"/>
          <w:sz w:val="22"/>
          <w:szCs w:val="22"/>
        </w:rPr>
        <w:t xml:space="preserve">Americans </w:t>
      </w:r>
      <w:r w:rsidR="00FB1AAA">
        <w:rPr>
          <w:rFonts w:ascii="Calibri" w:hAnsi="Calibri"/>
          <w:color w:val="000000"/>
          <w:sz w:val="22"/>
          <w:szCs w:val="22"/>
        </w:rPr>
        <w:t>committed to</w:t>
      </w:r>
      <w:r w:rsidR="00C82325">
        <w:rPr>
          <w:rFonts w:ascii="Calibri" w:hAnsi="Calibri"/>
          <w:color w:val="000000"/>
          <w:sz w:val="22"/>
          <w:szCs w:val="22"/>
        </w:rPr>
        <w:t xml:space="preserve"> the interwoven </w:t>
      </w:r>
      <w:r w:rsidR="00E87955">
        <w:rPr>
          <w:rFonts w:ascii="Calibri" w:hAnsi="Calibri"/>
          <w:color w:val="000000"/>
          <w:sz w:val="22"/>
          <w:szCs w:val="22"/>
        </w:rPr>
        <w:t xml:space="preserve">health </w:t>
      </w:r>
      <w:r w:rsidR="00C82325">
        <w:rPr>
          <w:rFonts w:ascii="Calibri" w:hAnsi="Calibri"/>
          <w:color w:val="000000"/>
          <w:sz w:val="22"/>
          <w:szCs w:val="22"/>
        </w:rPr>
        <w:t>of our economy, society, and democracy.</w:t>
      </w:r>
    </w:p>
    <w:p w14:paraId="06C340E9" w14:textId="78F50548" w:rsidR="00E87955" w:rsidRPr="009A7EF2" w:rsidRDefault="00E87955" w:rsidP="009A7EF2">
      <w:pPr>
        <w:pStyle w:val="ListParagraph"/>
        <w:numPr>
          <w:ilvl w:val="0"/>
          <w:numId w:val="26"/>
        </w:numPr>
        <w:spacing w:after="0" w:line="240" w:lineRule="auto"/>
        <w:rPr>
          <w:rFonts w:ascii="Calibri" w:hAnsi="Calibri"/>
          <w:b/>
          <w:color w:val="000000"/>
          <w:sz w:val="28"/>
        </w:rPr>
      </w:pPr>
      <w:r w:rsidRPr="009A7EF2">
        <w:rPr>
          <w:rFonts w:ascii="Calibri" w:hAnsi="Calibri"/>
          <w:color w:val="000000"/>
        </w:rPr>
        <w:br w:type="page"/>
      </w:r>
      <w:r w:rsidR="00444210" w:rsidRPr="009A7EF2">
        <w:rPr>
          <w:rFonts w:ascii="Calibri" w:hAnsi="Calibri"/>
          <w:b/>
          <w:color w:val="000000"/>
          <w:sz w:val="28"/>
        </w:rPr>
        <w:t>Context: The case for older industrial cities</w:t>
      </w:r>
    </w:p>
    <w:p w14:paraId="638A04CD" w14:textId="77777777" w:rsidR="00E87955" w:rsidRPr="00E87955" w:rsidRDefault="00E87955" w:rsidP="000A0847">
      <w:pPr>
        <w:pStyle w:val="NormalWeb"/>
        <w:rPr>
          <w:rFonts w:ascii="Calibri" w:hAnsi="Calibri"/>
          <w:b/>
          <w:color w:val="000000"/>
          <w:szCs w:val="22"/>
        </w:rPr>
      </w:pPr>
    </w:p>
    <w:p w14:paraId="2AB0CB29" w14:textId="77777777" w:rsidR="00C82325" w:rsidRPr="00161FC9" w:rsidRDefault="00C82325" w:rsidP="000A0847">
      <w:pPr>
        <w:pStyle w:val="NormalWeb"/>
        <w:numPr>
          <w:ilvl w:val="0"/>
          <w:numId w:val="1"/>
        </w:numPr>
        <w:rPr>
          <w:rFonts w:ascii="Calibri" w:hAnsi="Calibri"/>
          <w:b/>
          <w:color w:val="000000"/>
          <w:szCs w:val="22"/>
        </w:rPr>
      </w:pPr>
      <w:r w:rsidRPr="00161FC9">
        <w:rPr>
          <w:rFonts w:ascii="Calibri" w:hAnsi="Calibri"/>
          <w:b/>
          <w:color w:val="000000"/>
          <w:szCs w:val="22"/>
        </w:rPr>
        <w:t>The American economy is growing unevenly</w:t>
      </w:r>
    </w:p>
    <w:p w14:paraId="5B6EA861" w14:textId="77777777" w:rsidR="00C82325" w:rsidRPr="00C82325" w:rsidRDefault="00C82325" w:rsidP="000A0847">
      <w:pPr>
        <w:pStyle w:val="NormalWeb"/>
        <w:ind w:left="720"/>
        <w:rPr>
          <w:rFonts w:ascii="Calibri" w:hAnsi="Calibri"/>
          <w:b/>
          <w:color w:val="000000"/>
          <w:sz w:val="22"/>
          <w:szCs w:val="22"/>
        </w:rPr>
      </w:pPr>
    </w:p>
    <w:p w14:paraId="3F3E7754" w14:textId="77777777" w:rsidR="00263F59" w:rsidRDefault="00737018" w:rsidP="000A0847">
      <w:pPr>
        <w:pStyle w:val="NormalWeb"/>
        <w:rPr>
          <w:rFonts w:ascii="Calibri" w:hAnsi="Calibri"/>
          <w:color w:val="000000"/>
          <w:sz w:val="22"/>
          <w:szCs w:val="22"/>
        </w:rPr>
      </w:pPr>
      <w:r>
        <w:rPr>
          <w:rFonts w:ascii="Calibri" w:hAnsi="Calibri"/>
          <w:color w:val="000000"/>
          <w:sz w:val="22"/>
          <w:szCs w:val="22"/>
        </w:rPr>
        <w:t>T</w:t>
      </w:r>
      <w:r w:rsidR="006F74F6">
        <w:rPr>
          <w:rFonts w:ascii="Calibri" w:hAnsi="Calibri"/>
          <w:color w:val="000000"/>
          <w:sz w:val="22"/>
          <w:szCs w:val="22"/>
        </w:rPr>
        <w:t xml:space="preserve">his may seem an odd time to focus on economic woes. By </w:t>
      </w:r>
      <w:r>
        <w:rPr>
          <w:rFonts w:ascii="Calibri" w:hAnsi="Calibri"/>
          <w:color w:val="000000"/>
          <w:sz w:val="22"/>
          <w:szCs w:val="22"/>
        </w:rPr>
        <w:t>a number of</w:t>
      </w:r>
      <w:r w:rsidR="006F74F6">
        <w:rPr>
          <w:rFonts w:ascii="Calibri" w:hAnsi="Calibri"/>
          <w:color w:val="000000"/>
          <w:sz w:val="22"/>
          <w:szCs w:val="22"/>
        </w:rPr>
        <w:t xml:space="preserve"> measures, the United States is riding the wave of once-in-a-generation growth. While t</w:t>
      </w:r>
      <w:r w:rsidR="00263F59">
        <w:rPr>
          <w:rFonts w:ascii="Calibri" w:hAnsi="Calibri"/>
          <w:color w:val="000000"/>
          <w:sz w:val="22"/>
          <w:szCs w:val="22"/>
        </w:rPr>
        <w:t>he U.S. economy endured a long recovery from the global financial crisis of 2007-2009</w:t>
      </w:r>
      <w:r w:rsidR="006F74F6">
        <w:rPr>
          <w:rFonts w:ascii="Calibri" w:hAnsi="Calibri"/>
          <w:color w:val="000000"/>
          <w:sz w:val="22"/>
          <w:szCs w:val="22"/>
        </w:rPr>
        <w:t xml:space="preserve">, </w:t>
      </w:r>
      <w:r w:rsidR="00263F59">
        <w:rPr>
          <w:rFonts w:ascii="Calibri" w:hAnsi="Calibri"/>
          <w:color w:val="000000"/>
          <w:sz w:val="22"/>
          <w:szCs w:val="22"/>
        </w:rPr>
        <w:t>as of mid-2017, it had finally erased the employment gap caused by the recession and population growth.</w:t>
      </w:r>
      <w:r w:rsidR="00731424">
        <w:rPr>
          <w:rStyle w:val="EndnoteReference"/>
          <w:rFonts w:ascii="Calibri" w:hAnsi="Calibri"/>
          <w:color w:val="000000"/>
          <w:sz w:val="22"/>
          <w:szCs w:val="22"/>
        </w:rPr>
        <w:endnoteReference w:id="4"/>
      </w:r>
      <w:r w:rsidR="00263F59">
        <w:rPr>
          <w:rFonts w:ascii="Calibri" w:hAnsi="Calibri"/>
          <w:color w:val="000000"/>
          <w:sz w:val="22"/>
          <w:szCs w:val="22"/>
        </w:rPr>
        <w:t xml:space="preserve"> At the time of this report’s publication in early 2018, the U.S. unemployment rate has reached its pre-recession low at around 4 percent, and the U.S. economy has added jobs each month for more than seven years running</w:t>
      </w:r>
      <w:r>
        <w:rPr>
          <w:rFonts w:ascii="Calibri" w:hAnsi="Calibri"/>
          <w:color w:val="000000"/>
          <w:sz w:val="22"/>
          <w:szCs w:val="22"/>
        </w:rPr>
        <w:t>—a postwar record</w:t>
      </w:r>
      <w:r w:rsidR="00263F59">
        <w:rPr>
          <w:rFonts w:ascii="Calibri" w:hAnsi="Calibri"/>
          <w:color w:val="000000"/>
          <w:sz w:val="22"/>
          <w:szCs w:val="22"/>
        </w:rPr>
        <w:t>.</w:t>
      </w:r>
    </w:p>
    <w:p w14:paraId="5A74AAD4" w14:textId="77777777" w:rsidR="00263F59" w:rsidRDefault="00263F59" w:rsidP="000A0847">
      <w:pPr>
        <w:pStyle w:val="NormalWeb"/>
        <w:rPr>
          <w:rFonts w:ascii="Calibri" w:hAnsi="Calibri"/>
          <w:color w:val="000000"/>
          <w:sz w:val="22"/>
          <w:szCs w:val="22"/>
        </w:rPr>
      </w:pPr>
      <w:r>
        <w:rPr>
          <w:rFonts w:ascii="Calibri" w:hAnsi="Calibri"/>
          <w:color w:val="000000"/>
          <w:sz w:val="22"/>
          <w:szCs w:val="22"/>
        </w:rPr>
        <w:t> </w:t>
      </w:r>
    </w:p>
    <w:p w14:paraId="48CA74A3" w14:textId="77777777" w:rsidR="00263F59" w:rsidRDefault="00263F59" w:rsidP="000A0847">
      <w:pPr>
        <w:pStyle w:val="NormalWeb"/>
        <w:rPr>
          <w:rFonts w:ascii="Calibri" w:hAnsi="Calibri"/>
          <w:color w:val="000000"/>
          <w:sz w:val="22"/>
          <w:szCs w:val="22"/>
        </w:rPr>
      </w:pPr>
      <w:r>
        <w:rPr>
          <w:rFonts w:ascii="Calibri" w:hAnsi="Calibri"/>
          <w:color w:val="000000"/>
          <w:sz w:val="22"/>
          <w:szCs w:val="22"/>
        </w:rPr>
        <w:t>Headline statistics, moreover, paint a picture of economic momentum broadly shared across the national landscape. Unemployment rates are more similar across metropolitan areas today than they were at similar points during the last two economic expansions.</w:t>
      </w:r>
      <w:r w:rsidR="00731424">
        <w:rPr>
          <w:rStyle w:val="EndnoteReference"/>
          <w:rFonts w:ascii="Calibri" w:hAnsi="Calibri"/>
          <w:color w:val="000000"/>
          <w:sz w:val="22"/>
          <w:szCs w:val="22"/>
        </w:rPr>
        <w:endnoteReference w:id="5"/>
      </w:r>
      <w:r w:rsidR="002972AB">
        <w:rPr>
          <w:rFonts w:ascii="Calibri" w:hAnsi="Calibri"/>
          <w:color w:val="000000"/>
          <w:sz w:val="22"/>
          <w:szCs w:val="22"/>
        </w:rPr>
        <w:t xml:space="preserve"> Adjusted for inflation, 90 of the 100 largest U.S. metropolitan areas had a larger regional economy in 2016 than in 2010.</w:t>
      </w:r>
      <w:r w:rsidR="00B20A19">
        <w:rPr>
          <w:rStyle w:val="EndnoteReference"/>
          <w:rFonts w:ascii="Calibri" w:hAnsi="Calibri"/>
          <w:color w:val="000000"/>
          <w:sz w:val="22"/>
          <w:szCs w:val="22"/>
        </w:rPr>
        <w:endnoteReference w:id="6"/>
      </w:r>
      <w:r w:rsidR="002972AB">
        <w:rPr>
          <w:rFonts w:ascii="Calibri" w:hAnsi="Calibri"/>
          <w:color w:val="000000"/>
          <w:sz w:val="22"/>
          <w:szCs w:val="22"/>
        </w:rPr>
        <w:t xml:space="preserve"> </w:t>
      </w:r>
    </w:p>
    <w:p w14:paraId="19E96117" w14:textId="77777777" w:rsidR="00263F59" w:rsidRDefault="00263F59" w:rsidP="000A0847">
      <w:pPr>
        <w:pStyle w:val="NormalWeb"/>
        <w:rPr>
          <w:rFonts w:ascii="Calibri" w:hAnsi="Calibri"/>
          <w:color w:val="000000"/>
          <w:sz w:val="22"/>
          <w:szCs w:val="22"/>
        </w:rPr>
      </w:pPr>
    </w:p>
    <w:p w14:paraId="293E7AF6" w14:textId="3E5A40B7" w:rsidR="00263F59" w:rsidRDefault="00263F59" w:rsidP="000A0847">
      <w:pPr>
        <w:pStyle w:val="NormalWeb"/>
        <w:rPr>
          <w:rFonts w:ascii="Calibri" w:hAnsi="Calibri"/>
          <w:color w:val="000000"/>
          <w:sz w:val="22"/>
          <w:szCs w:val="22"/>
        </w:rPr>
      </w:pPr>
      <w:r>
        <w:rPr>
          <w:rFonts w:ascii="Calibri" w:hAnsi="Calibri"/>
          <w:color w:val="000000"/>
          <w:sz w:val="22"/>
          <w:szCs w:val="22"/>
        </w:rPr>
        <w:t>Yet the</w:t>
      </w:r>
      <w:r w:rsidR="002972AB">
        <w:rPr>
          <w:rFonts w:ascii="Calibri" w:hAnsi="Calibri"/>
          <w:color w:val="000000"/>
          <w:sz w:val="22"/>
          <w:szCs w:val="22"/>
        </w:rPr>
        <w:t xml:space="preserve">se </w:t>
      </w:r>
      <w:r w:rsidR="00BF21B5">
        <w:rPr>
          <w:rFonts w:ascii="Calibri" w:hAnsi="Calibri"/>
          <w:color w:val="000000"/>
          <w:sz w:val="22"/>
          <w:szCs w:val="22"/>
        </w:rPr>
        <w:t>positive trends</w:t>
      </w:r>
      <w:r>
        <w:rPr>
          <w:rFonts w:ascii="Calibri" w:hAnsi="Calibri"/>
          <w:color w:val="000000"/>
          <w:sz w:val="22"/>
          <w:szCs w:val="22"/>
        </w:rPr>
        <w:t xml:space="preserve"> obsc</w:t>
      </w:r>
      <w:r w:rsidR="002972AB">
        <w:rPr>
          <w:rFonts w:ascii="Calibri" w:hAnsi="Calibri"/>
          <w:color w:val="000000"/>
          <w:sz w:val="22"/>
          <w:szCs w:val="22"/>
        </w:rPr>
        <w:t>ure</w:t>
      </w:r>
      <w:r>
        <w:rPr>
          <w:rFonts w:ascii="Calibri" w:hAnsi="Calibri"/>
          <w:color w:val="000000"/>
          <w:sz w:val="22"/>
          <w:szCs w:val="22"/>
        </w:rPr>
        <w:t xml:space="preserve"> deep</w:t>
      </w:r>
      <w:r w:rsidR="00523DCE">
        <w:rPr>
          <w:rFonts w:ascii="Calibri" w:hAnsi="Calibri"/>
          <w:color w:val="000000"/>
          <w:sz w:val="22"/>
          <w:szCs w:val="22"/>
        </w:rPr>
        <w:t>er</w:t>
      </w:r>
      <w:r>
        <w:rPr>
          <w:rFonts w:ascii="Calibri" w:hAnsi="Calibri"/>
          <w:color w:val="000000"/>
          <w:sz w:val="22"/>
          <w:szCs w:val="22"/>
        </w:rPr>
        <w:t xml:space="preserve"> divides within </w:t>
      </w:r>
      <w:r w:rsidR="006F74F6">
        <w:rPr>
          <w:rFonts w:ascii="Calibri" w:hAnsi="Calibri"/>
          <w:color w:val="000000"/>
          <w:sz w:val="22"/>
          <w:szCs w:val="22"/>
        </w:rPr>
        <w:t>America’s economic</w:t>
      </w:r>
      <w:r>
        <w:rPr>
          <w:rFonts w:ascii="Calibri" w:hAnsi="Calibri"/>
          <w:color w:val="000000"/>
          <w:sz w:val="22"/>
          <w:szCs w:val="22"/>
        </w:rPr>
        <w:t xml:space="preserve"> landscape</w:t>
      </w:r>
      <w:r w:rsidR="00B57952">
        <w:rPr>
          <w:rFonts w:ascii="Calibri" w:hAnsi="Calibri"/>
          <w:color w:val="000000"/>
          <w:sz w:val="22"/>
          <w:szCs w:val="22"/>
        </w:rPr>
        <w:t>.</w:t>
      </w:r>
    </w:p>
    <w:p w14:paraId="5CFFED68" w14:textId="77777777" w:rsidR="00B57952" w:rsidRDefault="00B57952" w:rsidP="000A0847">
      <w:pPr>
        <w:pStyle w:val="NormalWeb"/>
        <w:rPr>
          <w:rFonts w:ascii="Calibri" w:hAnsi="Calibri"/>
          <w:color w:val="000000"/>
          <w:sz w:val="22"/>
          <w:szCs w:val="22"/>
        </w:rPr>
      </w:pPr>
    </w:p>
    <w:p w14:paraId="614397E7" w14:textId="12DC222F" w:rsidR="00FB6B66" w:rsidRDefault="00B57952" w:rsidP="000A0847">
      <w:pPr>
        <w:pStyle w:val="NormalWeb"/>
        <w:rPr>
          <w:rFonts w:ascii="Calibri" w:hAnsi="Calibri"/>
          <w:color w:val="000000"/>
          <w:sz w:val="22"/>
          <w:szCs w:val="22"/>
        </w:rPr>
      </w:pPr>
      <w:r>
        <w:rPr>
          <w:rFonts w:ascii="Calibri" w:hAnsi="Calibri"/>
          <w:color w:val="000000"/>
          <w:sz w:val="22"/>
          <w:szCs w:val="22"/>
        </w:rPr>
        <w:t xml:space="preserve">A longer view of the U.S. economy, for instance, reveals </w:t>
      </w:r>
      <w:r w:rsidR="00BF21B5">
        <w:rPr>
          <w:rFonts w:ascii="Calibri" w:hAnsi="Calibri"/>
          <w:color w:val="000000"/>
          <w:sz w:val="22"/>
          <w:szCs w:val="22"/>
        </w:rPr>
        <w:t xml:space="preserve">much </w:t>
      </w:r>
      <w:r>
        <w:rPr>
          <w:rFonts w:ascii="Calibri" w:hAnsi="Calibri"/>
          <w:color w:val="000000"/>
          <w:sz w:val="22"/>
          <w:szCs w:val="22"/>
        </w:rPr>
        <w:t>less progress overall</w:t>
      </w:r>
      <w:r w:rsidR="00E66AA9">
        <w:rPr>
          <w:rFonts w:ascii="Calibri" w:hAnsi="Calibri"/>
          <w:color w:val="000000"/>
          <w:sz w:val="22"/>
          <w:szCs w:val="22"/>
        </w:rPr>
        <w:t xml:space="preserve">. For instance, only in 2016 did </w:t>
      </w:r>
      <w:r w:rsidR="006F74F6">
        <w:rPr>
          <w:rFonts w:ascii="Calibri" w:hAnsi="Calibri"/>
          <w:color w:val="000000"/>
          <w:sz w:val="22"/>
          <w:szCs w:val="22"/>
        </w:rPr>
        <w:t xml:space="preserve">real </w:t>
      </w:r>
      <w:r w:rsidR="00E66AA9">
        <w:rPr>
          <w:rFonts w:ascii="Calibri" w:hAnsi="Calibri"/>
          <w:color w:val="000000"/>
          <w:sz w:val="22"/>
          <w:szCs w:val="22"/>
        </w:rPr>
        <w:t xml:space="preserve">median household income finally </w:t>
      </w:r>
      <w:r w:rsidR="00FB6B66">
        <w:rPr>
          <w:rFonts w:ascii="Calibri" w:hAnsi="Calibri"/>
          <w:color w:val="000000"/>
          <w:sz w:val="22"/>
          <w:szCs w:val="22"/>
        </w:rPr>
        <w:t>reach</w:t>
      </w:r>
      <w:r w:rsidR="00E66AA9">
        <w:rPr>
          <w:rFonts w:ascii="Calibri" w:hAnsi="Calibri"/>
          <w:color w:val="000000"/>
          <w:sz w:val="22"/>
          <w:szCs w:val="22"/>
        </w:rPr>
        <w:t xml:space="preserve"> its </w:t>
      </w:r>
      <w:r w:rsidR="006F74F6">
        <w:rPr>
          <w:rFonts w:ascii="Calibri" w:hAnsi="Calibri"/>
          <w:color w:val="000000"/>
          <w:sz w:val="22"/>
          <w:szCs w:val="22"/>
        </w:rPr>
        <w:t xml:space="preserve">previous high from </w:t>
      </w:r>
      <w:r w:rsidR="00BF21B5">
        <w:rPr>
          <w:rFonts w:ascii="Calibri" w:hAnsi="Calibri"/>
          <w:color w:val="000000"/>
          <w:sz w:val="22"/>
          <w:szCs w:val="22"/>
        </w:rPr>
        <w:t>1999</w:t>
      </w:r>
      <w:r w:rsidR="006F74F6">
        <w:rPr>
          <w:rFonts w:ascii="Calibri" w:hAnsi="Calibri"/>
          <w:color w:val="000000"/>
          <w:sz w:val="22"/>
          <w:szCs w:val="22"/>
        </w:rPr>
        <w:t>.</w:t>
      </w:r>
      <w:r w:rsidR="00731424">
        <w:rPr>
          <w:rStyle w:val="EndnoteReference"/>
          <w:rFonts w:ascii="Calibri" w:hAnsi="Calibri"/>
          <w:color w:val="000000"/>
          <w:sz w:val="22"/>
          <w:szCs w:val="22"/>
        </w:rPr>
        <w:endnoteReference w:id="7"/>
      </w:r>
      <w:r w:rsidR="006F74F6">
        <w:rPr>
          <w:rFonts w:ascii="Calibri" w:hAnsi="Calibri"/>
          <w:color w:val="000000"/>
          <w:sz w:val="22"/>
          <w:szCs w:val="22"/>
        </w:rPr>
        <w:t xml:space="preserve"> In other words, the typical middle-class U.S. household did not experience an increase in its standard of living over the course of nearly two decades.</w:t>
      </w:r>
      <w:r w:rsidR="00FB6B66">
        <w:rPr>
          <w:rFonts w:ascii="Calibri" w:hAnsi="Calibri"/>
          <w:color w:val="000000"/>
          <w:sz w:val="22"/>
          <w:szCs w:val="22"/>
        </w:rPr>
        <w:t xml:space="preserve"> Researchers point to factors including trade, technological change, </w:t>
      </w:r>
      <w:r w:rsidR="00B20A19">
        <w:rPr>
          <w:rFonts w:ascii="Calibri" w:hAnsi="Calibri"/>
          <w:color w:val="000000"/>
          <w:sz w:val="22"/>
          <w:szCs w:val="22"/>
        </w:rPr>
        <w:t>slower</w:t>
      </w:r>
      <w:r w:rsidR="001B38AF">
        <w:rPr>
          <w:rFonts w:ascii="Calibri" w:hAnsi="Calibri"/>
          <w:color w:val="000000"/>
          <w:sz w:val="22"/>
          <w:szCs w:val="22"/>
        </w:rPr>
        <w:t xml:space="preserve"> productivity growth, </w:t>
      </w:r>
      <w:r w:rsidR="00FB6B66">
        <w:rPr>
          <w:rFonts w:ascii="Calibri" w:hAnsi="Calibri"/>
          <w:color w:val="000000"/>
          <w:sz w:val="22"/>
          <w:szCs w:val="22"/>
        </w:rPr>
        <w:t xml:space="preserve">reductions in worker bargaining power, </w:t>
      </w:r>
      <w:r w:rsidR="00D12ABC">
        <w:rPr>
          <w:rFonts w:ascii="Calibri" w:hAnsi="Calibri"/>
          <w:color w:val="000000"/>
          <w:sz w:val="22"/>
          <w:szCs w:val="22"/>
        </w:rPr>
        <w:t xml:space="preserve">reduced labor mobility, </w:t>
      </w:r>
      <w:r w:rsidR="00FB6B66">
        <w:rPr>
          <w:rFonts w:ascii="Calibri" w:hAnsi="Calibri"/>
          <w:color w:val="000000"/>
          <w:sz w:val="22"/>
          <w:szCs w:val="22"/>
        </w:rPr>
        <w:t xml:space="preserve">and a lower real minimum wage as contributing to </w:t>
      </w:r>
      <w:r w:rsidR="00BF21B5">
        <w:rPr>
          <w:rFonts w:ascii="Calibri" w:hAnsi="Calibri"/>
          <w:color w:val="000000"/>
          <w:sz w:val="22"/>
          <w:szCs w:val="22"/>
        </w:rPr>
        <w:t>a</w:t>
      </w:r>
      <w:r w:rsidR="00FB6B66">
        <w:rPr>
          <w:rFonts w:ascii="Calibri" w:hAnsi="Calibri"/>
          <w:color w:val="000000"/>
          <w:sz w:val="22"/>
          <w:szCs w:val="22"/>
        </w:rPr>
        <w:t xml:space="preserve"> lack of long-run </w:t>
      </w:r>
      <w:r w:rsidR="00BF21B5">
        <w:rPr>
          <w:rFonts w:ascii="Calibri" w:hAnsi="Calibri"/>
          <w:color w:val="000000"/>
          <w:sz w:val="22"/>
          <w:szCs w:val="22"/>
        </w:rPr>
        <w:t xml:space="preserve">earnings </w:t>
      </w:r>
      <w:r w:rsidR="00FB6B66">
        <w:rPr>
          <w:rFonts w:ascii="Calibri" w:hAnsi="Calibri"/>
          <w:color w:val="000000"/>
          <w:sz w:val="22"/>
          <w:szCs w:val="22"/>
        </w:rPr>
        <w:t>progress for most U.S. households.</w:t>
      </w:r>
      <w:r w:rsidR="00D12ABC">
        <w:rPr>
          <w:rStyle w:val="EndnoteReference"/>
          <w:rFonts w:ascii="Calibri" w:hAnsi="Calibri"/>
          <w:color w:val="000000"/>
          <w:sz w:val="22"/>
          <w:szCs w:val="22"/>
        </w:rPr>
        <w:endnoteReference w:id="8"/>
      </w:r>
    </w:p>
    <w:p w14:paraId="7927730C" w14:textId="77777777" w:rsidR="00FB6B66" w:rsidRDefault="00FB6B66" w:rsidP="000A0847">
      <w:pPr>
        <w:pStyle w:val="NormalWeb"/>
        <w:rPr>
          <w:rFonts w:ascii="Calibri" w:hAnsi="Calibri"/>
          <w:color w:val="000000"/>
          <w:sz w:val="22"/>
          <w:szCs w:val="22"/>
        </w:rPr>
      </w:pPr>
    </w:p>
    <w:p w14:paraId="79759668" w14:textId="77777777" w:rsidR="00B57952" w:rsidRDefault="00FB6B66" w:rsidP="000A0847">
      <w:pPr>
        <w:pStyle w:val="NormalWeb"/>
        <w:rPr>
          <w:rFonts w:ascii="Calibri" w:hAnsi="Calibri"/>
          <w:color w:val="000000"/>
          <w:sz w:val="22"/>
          <w:szCs w:val="22"/>
        </w:rPr>
      </w:pPr>
      <w:r>
        <w:rPr>
          <w:rFonts w:ascii="Calibri" w:hAnsi="Calibri"/>
          <w:color w:val="000000"/>
          <w:sz w:val="22"/>
          <w:szCs w:val="22"/>
        </w:rPr>
        <w:t xml:space="preserve">Viewed geographically, economic progress is more dramatically uneven. In most U.S. urban areas, median household income is lower today than in 1999. </w:t>
      </w:r>
      <w:r w:rsidR="00887FB8">
        <w:rPr>
          <w:rFonts w:ascii="Calibri" w:hAnsi="Calibri"/>
          <w:color w:val="000000"/>
          <w:sz w:val="22"/>
          <w:szCs w:val="22"/>
        </w:rPr>
        <w:t xml:space="preserve">A number of large, predominantly coastal metropolitan areas, together with a handful of small urban areas that sit on shale oil or gas, have managed to meet or exceed those previous highs. Yet there are more than 200 large and small urban areas, </w:t>
      </w:r>
      <w:r w:rsidR="001B38AF">
        <w:rPr>
          <w:rFonts w:ascii="Calibri" w:hAnsi="Calibri"/>
          <w:color w:val="000000"/>
          <w:sz w:val="22"/>
          <w:szCs w:val="22"/>
        </w:rPr>
        <w:t xml:space="preserve">many of them </w:t>
      </w:r>
      <w:r w:rsidR="00887FB8">
        <w:rPr>
          <w:rFonts w:ascii="Calibri" w:hAnsi="Calibri"/>
          <w:color w:val="000000"/>
          <w:sz w:val="22"/>
          <w:szCs w:val="22"/>
        </w:rPr>
        <w:t xml:space="preserve">in the Midwest and Southeast, where incomes are at least 5 percent lower, and in a number of cases at least 15 percent lower, than in 1999. </w:t>
      </w:r>
    </w:p>
    <w:p w14:paraId="2F180825" w14:textId="6C62AC1E" w:rsidR="00887FB8" w:rsidRDefault="00887FB8" w:rsidP="000A0847">
      <w:pPr>
        <w:pStyle w:val="NormalWeb"/>
        <w:rPr>
          <w:rFonts w:ascii="Calibri" w:hAnsi="Calibri"/>
          <w:color w:val="000000"/>
          <w:sz w:val="22"/>
          <w:szCs w:val="22"/>
        </w:rPr>
      </w:pPr>
    </w:p>
    <w:p w14:paraId="2071F0FD" w14:textId="0785E3CD" w:rsidR="00DC1651" w:rsidRDefault="00DC1651" w:rsidP="000A0847">
      <w:pPr>
        <w:pStyle w:val="NormalWeb"/>
        <w:rPr>
          <w:rFonts w:ascii="Calibri" w:hAnsi="Calibri"/>
          <w:color w:val="000000"/>
          <w:sz w:val="22"/>
          <w:szCs w:val="22"/>
        </w:rPr>
      </w:pPr>
      <w:r>
        <w:rPr>
          <w:rFonts w:ascii="Calibri" w:hAnsi="Calibri"/>
          <w:color w:val="000000"/>
          <w:sz w:val="22"/>
          <w:szCs w:val="22"/>
        </w:rPr>
        <w:t>[Figure 2.1—Many places are short of their previous peaks for middle-class income]</w:t>
      </w:r>
    </w:p>
    <w:p w14:paraId="47FD50BA" w14:textId="6892DBEF" w:rsidR="00263F59" w:rsidRDefault="00263F59" w:rsidP="000A0847">
      <w:pPr>
        <w:pStyle w:val="NormalWeb"/>
        <w:rPr>
          <w:rFonts w:ascii="Calibri" w:hAnsi="Calibri"/>
          <w:color w:val="000000"/>
          <w:sz w:val="22"/>
          <w:szCs w:val="22"/>
        </w:rPr>
      </w:pPr>
      <w:r>
        <w:rPr>
          <w:rFonts w:ascii="Calibri" w:hAnsi="Calibri"/>
          <w:color w:val="000000"/>
          <w:sz w:val="22"/>
          <w:szCs w:val="22"/>
        </w:rPr>
        <w:t> </w:t>
      </w:r>
    </w:p>
    <w:p w14:paraId="5C0ECEE1" w14:textId="59650C49" w:rsidR="00465F22" w:rsidRDefault="00887FB8" w:rsidP="000A0847">
      <w:pPr>
        <w:pStyle w:val="NormalWeb"/>
        <w:rPr>
          <w:rFonts w:ascii="Calibri" w:hAnsi="Calibri"/>
          <w:bCs/>
          <w:color w:val="000000"/>
          <w:sz w:val="22"/>
          <w:szCs w:val="22"/>
        </w:rPr>
      </w:pPr>
      <w:r>
        <w:rPr>
          <w:rFonts w:ascii="Calibri" w:hAnsi="Calibri"/>
          <w:bCs/>
          <w:color w:val="000000"/>
          <w:sz w:val="22"/>
          <w:szCs w:val="22"/>
        </w:rPr>
        <w:t xml:space="preserve">These income patterns reflect, on the one hand, the geographically concentrated decline of manufacturing </w:t>
      </w:r>
      <w:r w:rsidR="00D12ABC">
        <w:rPr>
          <w:rFonts w:ascii="Calibri" w:hAnsi="Calibri"/>
          <w:bCs/>
          <w:color w:val="000000"/>
          <w:sz w:val="22"/>
          <w:szCs w:val="22"/>
        </w:rPr>
        <w:t xml:space="preserve">employment </w:t>
      </w:r>
      <w:r>
        <w:rPr>
          <w:rFonts w:ascii="Calibri" w:hAnsi="Calibri"/>
          <w:bCs/>
          <w:color w:val="000000"/>
          <w:sz w:val="22"/>
          <w:szCs w:val="22"/>
        </w:rPr>
        <w:t xml:space="preserve">over the past 20 years, </w:t>
      </w:r>
      <w:r w:rsidR="00465F22">
        <w:rPr>
          <w:rFonts w:ascii="Calibri" w:hAnsi="Calibri"/>
          <w:bCs/>
          <w:color w:val="000000"/>
          <w:sz w:val="22"/>
          <w:szCs w:val="22"/>
        </w:rPr>
        <w:t xml:space="preserve">a diverse set of sectors that together </w:t>
      </w:r>
      <w:r>
        <w:rPr>
          <w:rFonts w:ascii="Calibri" w:hAnsi="Calibri"/>
          <w:bCs/>
          <w:color w:val="000000"/>
          <w:sz w:val="22"/>
          <w:szCs w:val="22"/>
        </w:rPr>
        <w:t xml:space="preserve">supported </w:t>
      </w:r>
      <w:r w:rsidR="00465F22">
        <w:rPr>
          <w:rFonts w:ascii="Calibri" w:hAnsi="Calibri"/>
          <w:bCs/>
          <w:color w:val="000000"/>
          <w:sz w:val="22"/>
          <w:szCs w:val="22"/>
        </w:rPr>
        <w:t xml:space="preserve">considerable </w:t>
      </w:r>
      <w:r>
        <w:rPr>
          <w:rFonts w:ascii="Calibri" w:hAnsi="Calibri"/>
          <w:bCs/>
          <w:color w:val="000000"/>
          <w:sz w:val="22"/>
          <w:szCs w:val="22"/>
        </w:rPr>
        <w:t>numbers of middle-class jobs. After losing about 1.5 million manufacturing jobs during the 2000-01 recession, the United States continued shedding jobs in that sector—about 2 million in all—during the subsequent economic expansion to 2007</w:t>
      </w:r>
      <w:r w:rsidR="00465F22">
        <w:rPr>
          <w:rFonts w:ascii="Calibri" w:hAnsi="Calibri"/>
          <w:bCs/>
          <w:color w:val="000000"/>
          <w:sz w:val="22"/>
          <w:szCs w:val="22"/>
        </w:rPr>
        <w:t>.</w:t>
      </w:r>
      <w:r w:rsidR="00D12ABC">
        <w:rPr>
          <w:rStyle w:val="EndnoteReference"/>
          <w:rFonts w:ascii="Calibri" w:hAnsi="Calibri"/>
          <w:bCs/>
          <w:color w:val="000000"/>
          <w:sz w:val="22"/>
          <w:szCs w:val="22"/>
        </w:rPr>
        <w:endnoteReference w:id="9"/>
      </w:r>
      <w:r w:rsidR="00465F22">
        <w:rPr>
          <w:rFonts w:ascii="Calibri" w:hAnsi="Calibri"/>
          <w:bCs/>
          <w:color w:val="000000"/>
          <w:sz w:val="22"/>
          <w:szCs w:val="22"/>
        </w:rPr>
        <w:t xml:space="preserve"> The Great Recession destroyed another 2.3 million manufacturing jobs in 2008 and 2009, only about 1 million of which the United State</w:t>
      </w:r>
      <w:r w:rsidR="00D12ABC">
        <w:rPr>
          <w:rFonts w:ascii="Calibri" w:hAnsi="Calibri"/>
          <w:bCs/>
          <w:color w:val="000000"/>
          <w:sz w:val="22"/>
          <w:szCs w:val="22"/>
        </w:rPr>
        <w:t>s</w:t>
      </w:r>
      <w:r w:rsidR="00465F22">
        <w:rPr>
          <w:rFonts w:ascii="Calibri" w:hAnsi="Calibri"/>
          <w:bCs/>
          <w:color w:val="000000"/>
          <w:sz w:val="22"/>
          <w:szCs w:val="22"/>
        </w:rPr>
        <w:t xml:space="preserve"> recovered in the eight years </w:t>
      </w:r>
      <w:r w:rsidR="00D12ABC">
        <w:rPr>
          <w:rFonts w:ascii="Calibri" w:hAnsi="Calibri"/>
          <w:bCs/>
          <w:color w:val="000000"/>
          <w:sz w:val="22"/>
          <w:szCs w:val="22"/>
        </w:rPr>
        <w:t>thereafter</w:t>
      </w:r>
      <w:r w:rsidR="00465F22">
        <w:rPr>
          <w:rFonts w:ascii="Calibri" w:hAnsi="Calibri"/>
          <w:bCs/>
          <w:color w:val="000000"/>
          <w:sz w:val="22"/>
          <w:szCs w:val="22"/>
        </w:rPr>
        <w:t>.</w:t>
      </w:r>
      <w:r>
        <w:rPr>
          <w:rFonts w:ascii="Calibri" w:hAnsi="Calibri"/>
          <w:bCs/>
          <w:color w:val="000000"/>
          <w:sz w:val="22"/>
          <w:szCs w:val="22"/>
        </w:rPr>
        <w:t xml:space="preserve"> </w:t>
      </w:r>
      <w:r w:rsidR="00465F22">
        <w:rPr>
          <w:rFonts w:ascii="Calibri" w:hAnsi="Calibri"/>
          <w:bCs/>
          <w:color w:val="000000"/>
          <w:sz w:val="22"/>
          <w:szCs w:val="22"/>
        </w:rPr>
        <w:t xml:space="preserve">David </w:t>
      </w:r>
      <w:proofErr w:type="spellStart"/>
      <w:r w:rsidR="00465F22">
        <w:rPr>
          <w:rFonts w:ascii="Calibri" w:hAnsi="Calibri"/>
          <w:bCs/>
          <w:color w:val="000000"/>
          <w:sz w:val="22"/>
          <w:szCs w:val="22"/>
        </w:rPr>
        <w:t>Autor</w:t>
      </w:r>
      <w:proofErr w:type="spellEnd"/>
      <w:r w:rsidR="00465F22">
        <w:rPr>
          <w:rFonts w:ascii="Calibri" w:hAnsi="Calibri"/>
          <w:bCs/>
          <w:color w:val="000000"/>
          <w:sz w:val="22"/>
          <w:szCs w:val="22"/>
        </w:rPr>
        <w:t xml:space="preserve"> and his colleagues show how the rise of Chinese imports contributed to manufacturing decline in precisely the areas of the country that exhibited the largest declines in median income.</w:t>
      </w:r>
      <w:r w:rsidR="00731424">
        <w:rPr>
          <w:rStyle w:val="EndnoteReference"/>
          <w:rFonts w:ascii="Calibri" w:hAnsi="Calibri"/>
          <w:bCs/>
          <w:color w:val="000000"/>
          <w:sz w:val="22"/>
          <w:szCs w:val="22"/>
        </w:rPr>
        <w:endnoteReference w:id="10"/>
      </w:r>
      <w:r w:rsidR="00465F22">
        <w:rPr>
          <w:rFonts w:ascii="Calibri" w:hAnsi="Calibri"/>
          <w:bCs/>
          <w:color w:val="000000"/>
          <w:sz w:val="22"/>
          <w:szCs w:val="22"/>
        </w:rPr>
        <w:t xml:space="preserve"> </w:t>
      </w:r>
    </w:p>
    <w:p w14:paraId="3F236960" w14:textId="77777777" w:rsidR="00465F22" w:rsidRDefault="00465F22" w:rsidP="000A0847">
      <w:pPr>
        <w:pStyle w:val="NormalWeb"/>
        <w:rPr>
          <w:rFonts w:ascii="Calibri" w:hAnsi="Calibri"/>
          <w:bCs/>
          <w:color w:val="000000"/>
          <w:sz w:val="22"/>
          <w:szCs w:val="22"/>
        </w:rPr>
      </w:pPr>
    </w:p>
    <w:p w14:paraId="4C8E6755" w14:textId="77777777" w:rsidR="00B57952" w:rsidRDefault="00465F22" w:rsidP="000A0847">
      <w:pPr>
        <w:pStyle w:val="NormalWeb"/>
        <w:rPr>
          <w:rFonts w:ascii="Calibri" w:hAnsi="Calibri"/>
          <w:color w:val="000000"/>
          <w:sz w:val="22"/>
          <w:szCs w:val="22"/>
        </w:rPr>
      </w:pPr>
      <w:r>
        <w:rPr>
          <w:rFonts w:ascii="Calibri" w:hAnsi="Calibri"/>
          <w:bCs/>
          <w:color w:val="000000"/>
          <w:sz w:val="22"/>
          <w:szCs w:val="22"/>
        </w:rPr>
        <w:t xml:space="preserve">On the other hand, the patterns point to an increasing </w:t>
      </w:r>
      <w:r w:rsidR="002972AB">
        <w:rPr>
          <w:rFonts w:ascii="Calibri" w:hAnsi="Calibri"/>
          <w:color w:val="000000"/>
          <w:sz w:val="22"/>
          <w:szCs w:val="22"/>
        </w:rPr>
        <w:t xml:space="preserve">economic divide between the “coasts” and the “Heartland” </w:t>
      </w:r>
      <w:r>
        <w:rPr>
          <w:rFonts w:ascii="Calibri" w:hAnsi="Calibri"/>
          <w:color w:val="000000"/>
          <w:sz w:val="22"/>
          <w:szCs w:val="22"/>
        </w:rPr>
        <w:t>in some of the more dynamic industries driving U.S. economic growth.</w:t>
      </w:r>
      <w:r w:rsidR="00D12ABC">
        <w:rPr>
          <w:rStyle w:val="EndnoteReference"/>
          <w:rFonts w:ascii="Calibri" w:hAnsi="Calibri"/>
          <w:color w:val="000000"/>
          <w:sz w:val="22"/>
          <w:szCs w:val="22"/>
        </w:rPr>
        <w:endnoteReference w:id="11"/>
      </w:r>
      <w:r>
        <w:rPr>
          <w:rFonts w:ascii="Calibri" w:hAnsi="Calibri"/>
          <w:color w:val="000000"/>
          <w:sz w:val="22"/>
          <w:szCs w:val="22"/>
        </w:rPr>
        <w:t xml:space="preserve"> High-tech jobs provide</w:t>
      </w:r>
      <w:r w:rsidR="00B57952">
        <w:rPr>
          <w:rFonts w:ascii="Calibri" w:hAnsi="Calibri"/>
          <w:color w:val="000000"/>
          <w:sz w:val="22"/>
          <w:szCs w:val="22"/>
        </w:rPr>
        <w:t xml:space="preserve"> one powerful example of this emerging divide. These jobs</w:t>
      </w:r>
      <w:r w:rsidR="00263F59">
        <w:rPr>
          <w:rFonts w:ascii="Calibri" w:hAnsi="Calibri"/>
          <w:color w:val="000000"/>
          <w:sz w:val="22"/>
          <w:szCs w:val="22"/>
        </w:rPr>
        <w:t xml:space="preserve">, </w:t>
      </w:r>
      <w:r w:rsidR="00B57952">
        <w:rPr>
          <w:rFonts w:ascii="Calibri" w:hAnsi="Calibri"/>
          <w:color w:val="000000"/>
          <w:sz w:val="22"/>
          <w:szCs w:val="22"/>
        </w:rPr>
        <w:t xml:space="preserve">typically associated with other important </w:t>
      </w:r>
      <w:r w:rsidR="00BF21B5">
        <w:rPr>
          <w:rFonts w:ascii="Calibri" w:hAnsi="Calibri"/>
          <w:color w:val="000000"/>
          <w:sz w:val="22"/>
          <w:szCs w:val="22"/>
        </w:rPr>
        <w:t xml:space="preserve">contributors to </w:t>
      </w:r>
      <w:r w:rsidR="00B57952">
        <w:rPr>
          <w:rFonts w:ascii="Calibri" w:hAnsi="Calibri"/>
          <w:color w:val="000000"/>
          <w:sz w:val="22"/>
          <w:szCs w:val="22"/>
        </w:rPr>
        <w:t xml:space="preserve">economic dynamism like entrepreneurialism and venture capital, </w:t>
      </w:r>
      <w:r w:rsidR="002972AB">
        <w:rPr>
          <w:rFonts w:ascii="Calibri" w:hAnsi="Calibri"/>
          <w:color w:val="000000"/>
          <w:sz w:val="22"/>
          <w:szCs w:val="22"/>
        </w:rPr>
        <w:t xml:space="preserve">have been </w:t>
      </w:r>
      <w:r w:rsidR="00263F59">
        <w:rPr>
          <w:rFonts w:ascii="Calibri" w:hAnsi="Calibri"/>
          <w:color w:val="000000"/>
          <w:sz w:val="22"/>
          <w:szCs w:val="22"/>
        </w:rPr>
        <w:t xml:space="preserve">amassing in a handful of </w:t>
      </w:r>
      <w:r w:rsidR="002972AB">
        <w:rPr>
          <w:rFonts w:ascii="Calibri" w:hAnsi="Calibri"/>
          <w:color w:val="000000"/>
          <w:sz w:val="22"/>
          <w:szCs w:val="22"/>
        </w:rPr>
        <w:t>large metropolitan areas, mostly on the east and west coasts</w:t>
      </w:r>
      <w:r w:rsidR="00263F59">
        <w:rPr>
          <w:rFonts w:ascii="Calibri" w:hAnsi="Calibri"/>
          <w:color w:val="000000"/>
          <w:sz w:val="22"/>
          <w:szCs w:val="22"/>
        </w:rPr>
        <w:t>.</w:t>
      </w:r>
      <w:r w:rsidR="00731424">
        <w:rPr>
          <w:rStyle w:val="EndnoteReference"/>
          <w:rFonts w:ascii="Calibri" w:hAnsi="Calibri"/>
          <w:color w:val="000000"/>
          <w:sz w:val="22"/>
          <w:szCs w:val="22"/>
        </w:rPr>
        <w:endnoteReference w:id="12"/>
      </w:r>
      <w:r w:rsidR="00263F59">
        <w:rPr>
          <w:rFonts w:ascii="Calibri" w:hAnsi="Calibri"/>
          <w:color w:val="000000"/>
          <w:sz w:val="22"/>
          <w:szCs w:val="22"/>
        </w:rPr>
        <w:t xml:space="preserve"> From 2010 to 2016, just </w:t>
      </w:r>
      <w:r w:rsidR="002972AB">
        <w:rPr>
          <w:rFonts w:ascii="Calibri" w:hAnsi="Calibri"/>
          <w:color w:val="000000"/>
          <w:sz w:val="22"/>
          <w:szCs w:val="22"/>
        </w:rPr>
        <w:t>eight of these metro areas—San Francisco</w:t>
      </w:r>
      <w:r w:rsidR="00263F59">
        <w:rPr>
          <w:rFonts w:ascii="Calibri" w:hAnsi="Calibri"/>
          <w:color w:val="000000"/>
          <w:sz w:val="22"/>
          <w:szCs w:val="22"/>
        </w:rPr>
        <w:t>, New York,</w:t>
      </w:r>
      <w:r w:rsidR="002972AB">
        <w:rPr>
          <w:rFonts w:ascii="Calibri" w:hAnsi="Calibri"/>
          <w:color w:val="000000"/>
          <w:sz w:val="22"/>
          <w:szCs w:val="22"/>
        </w:rPr>
        <w:t xml:space="preserve"> San Jose,</w:t>
      </w:r>
      <w:r w:rsidR="00263F59">
        <w:rPr>
          <w:rFonts w:ascii="Calibri" w:hAnsi="Calibri"/>
          <w:color w:val="000000"/>
          <w:sz w:val="22"/>
          <w:szCs w:val="22"/>
        </w:rPr>
        <w:t xml:space="preserve"> Seattle, </w:t>
      </w:r>
      <w:r w:rsidR="002972AB">
        <w:rPr>
          <w:rFonts w:ascii="Calibri" w:hAnsi="Calibri"/>
          <w:color w:val="000000"/>
          <w:sz w:val="22"/>
          <w:szCs w:val="22"/>
        </w:rPr>
        <w:t xml:space="preserve">Dallas, </w:t>
      </w:r>
      <w:r w:rsidR="00263F59">
        <w:rPr>
          <w:rFonts w:ascii="Calibri" w:hAnsi="Calibri"/>
          <w:color w:val="000000"/>
          <w:sz w:val="22"/>
          <w:szCs w:val="22"/>
        </w:rPr>
        <w:t>Boston, Chicago</w:t>
      </w:r>
      <w:r w:rsidR="002972AB">
        <w:rPr>
          <w:rFonts w:ascii="Calibri" w:hAnsi="Calibri"/>
          <w:color w:val="000000"/>
          <w:sz w:val="22"/>
          <w:szCs w:val="22"/>
        </w:rPr>
        <w:t>, and Los Angeles</w:t>
      </w:r>
      <w:r w:rsidR="00263F59">
        <w:rPr>
          <w:rFonts w:ascii="Calibri" w:hAnsi="Calibri"/>
          <w:color w:val="000000"/>
          <w:sz w:val="22"/>
          <w:szCs w:val="22"/>
        </w:rPr>
        <w:t>)</w:t>
      </w:r>
      <w:r w:rsidR="002972AB">
        <w:rPr>
          <w:rFonts w:ascii="Calibri" w:hAnsi="Calibri"/>
          <w:color w:val="000000"/>
          <w:sz w:val="22"/>
          <w:szCs w:val="22"/>
        </w:rPr>
        <w:t>—</w:t>
      </w:r>
      <w:r w:rsidR="00263F59">
        <w:rPr>
          <w:rFonts w:ascii="Calibri" w:hAnsi="Calibri"/>
          <w:color w:val="000000"/>
          <w:sz w:val="22"/>
          <w:szCs w:val="22"/>
        </w:rPr>
        <w:t xml:space="preserve">accounted for </w:t>
      </w:r>
      <w:r w:rsidR="002972AB">
        <w:rPr>
          <w:rFonts w:ascii="Calibri" w:hAnsi="Calibri"/>
          <w:color w:val="000000"/>
          <w:sz w:val="22"/>
          <w:szCs w:val="22"/>
        </w:rPr>
        <w:t xml:space="preserve">roughly half </w:t>
      </w:r>
      <w:r w:rsidR="00263F59">
        <w:rPr>
          <w:rFonts w:ascii="Calibri" w:hAnsi="Calibri"/>
          <w:color w:val="000000"/>
          <w:sz w:val="22"/>
          <w:szCs w:val="22"/>
        </w:rPr>
        <w:t xml:space="preserve">of net tech job growth nationwide. </w:t>
      </w:r>
    </w:p>
    <w:p w14:paraId="0E1F1175" w14:textId="5085D125" w:rsidR="00B57952" w:rsidRDefault="00B57952" w:rsidP="000A0847">
      <w:pPr>
        <w:pStyle w:val="NormalWeb"/>
        <w:rPr>
          <w:rFonts w:ascii="Calibri" w:hAnsi="Calibri"/>
          <w:color w:val="000000"/>
          <w:sz w:val="22"/>
          <w:szCs w:val="22"/>
        </w:rPr>
      </w:pPr>
    </w:p>
    <w:p w14:paraId="38B54DDC" w14:textId="5FB07834" w:rsidR="00DC1651" w:rsidRDefault="00DC1651" w:rsidP="000A0847">
      <w:pPr>
        <w:pStyle w:val="NormalWeb"/>
        <w:rPr>
          <w:rFonts w:ascii="Calibri" w:hAnsi="Calibri"/>
          <w:color w:val="000000"/>
          <w:sz w:val="22"/>
          <w:szCs w:val="22"/>
        </w:rPr>
      </w:pPr>
      <w:r>
        <w:rPr>
          <w:rFonts w:ascii="Calibri" w:hAnsi="Calibri"/>
          <w:color w:val="000000"/>
          <w:sz w:val="22"/>
          <w:szCs w:val="22"/>
        </w:rPr>
        <w:t>[Figure 2.2—Tech job growth is highly concentrated in a few metro areas]</w:t>
      </w:r>
    </w:p>
    <w:p w14:paraId="1B4A29A3" w14:textId="77777777" w:rsidR="00DC1651" w:rsidRDefault="00DC1651" w:rsidP="000A0847">
      <w:pPr>
        <w:pStyle w:val="NormalWeb"/>
        <w:rPr>
          <w:rFonts w:ascii="Calibri" w:hAnsi="Calibri"/>
          <w:color w:val="000000"/>
          <w:sz w:val="22"/>
          <w:szCs w:val="22"/>
        </w:rPr>
      </w:pPr>
    </w:p>
    <w:p w14:paraId="1561CEC7" w14:textId="5FC79A05" w:rsidR="00BF21B5" w:rsidRDefault="00BD254E" w:rsidP="000A0847">
      <w:pPr>
        <w:pStyle w:val="NormalWeb"/>
        <w:rPr>
          <w:rFonts w:ascii="Calibri" w:hAnsi="Calibri"/>
          <w:color w:val="000000"/>
          <w:sz w:val="22"/>
          <w:szCs w:val="22"/>
        </w:rPr>
      </w:pPr>
      <w:r>
        <w:rPr>
          <w:rFonts w:ascii="Calibri" w:hAnsi="Calibri"/>
          <w:color w:val="000000"/>
          <w:sz w:val="22"/>
          <w:szCs w:val="22"/>
        </w:rPr>
        <w:t xml:space="preserve">High-tech </w:t>
      </w:r>
      <w:r w:rsidR="00523DCE">
        <w:rPr>
          <w:rFonts w:ascii="Calibri" w:hAnsi="Calibri"/>
          <w:color w:val="000000"/>
          <w:sz w:val="22"/>
          <w:szCs w:val="22"/>
        </w:rPr>
        <w:t xml:space="preserve">employment </w:t>
      </w:r>
      <w:r>
        <w:rPr>
          <w:rFonts w:ascii="Calibri" w:hAnsi="Calibri"/>
          <w:color w:val="000000"/>
          <w:sz w:val="22"/>
          <w:szCs w:val="22"/>
        </w:rPr>
        <w:t xml:space="preserve">is </w:t>
      </w:r>
      <w:r w:rsidR="00523DCE">
        <w:rPr>
          <w:rFonts w:ascii="Calibri" w:hAnsi="Calibri"/>
          <w:color w:val="000000"/>
          <w:sz w:val="22"/>
          <w:szCs w:val="22"/>
        </w:rPr>
        <w:t xml:space="preserve">but </w:t>
      </w:r>
      <w:r>
        <w:rPr>
          <w:rFonts w:ascii="Calibri" w:hAnsi="Calibri"/>
          <w:color w:val="000000"/>
          <w:sz w:val="22"/>
          <w:szCs w:val="22"/>
        </w:rPr>
        <w:t>one example of a broader phenomenon in which dynamism is concentrating in a smaller number of larger places in the United States. Analysi</w:t>
      </w:r>
      <w:r w:rsidR="0006121D">
        <w:rPr>
          <w:rFonts w:ascii="Calibri" w:hAnsi="Calibri"/>
          <w:color w:val="000000"/>
          <w:sz w:val="22"/>
          <w:szCs w:val="22"/>
        </w:rPr>
        <w:t>s from the Economic Innovation G</w:t>
      </w:r>
      <w:r>
        <w:rPr>
          <w:rFonts w:ascii="Calibri" w:hAnsi="Calibri"/>
          <w:color w:val="000000"/>
          <w:sz w:val="22"/>
          <w:szCs w:val="22"/>
        </w:rPr>
        <w:t>roup shows that during the 1990s, new business creation was occurring in places of all sizes.</w:t>
      </w:r>
      <w:r w:rsidR="00731424">
        <w:rPr>
          <w:rStyle w:val="EndnoteReference"/>
          <w:rFonts w:ascii="Calibri" w:hAnsi="Calibri"/>
          <w:color w:val="000000"/>
          <w:sz w:val="22"/>
          <w:szCs w:val="22"/>
        </w:rPr>
        <w:endnoteReference w:id="13"/>
      </w:r>
      <w:r>
        <w:rPr>
          <w:rFonts w:ascii="Calibri" w:hAnsi="Calibri"/>
          <w:color w:val="000000"/>
          <w:sz w:val="22"/>
          <w:szCs w:val="22"/>
        </w:rPr>
        <w:t xml:space="preserve"> This was still true during the 2000s, although activity was shifting somewhat more in the direction of larger counties. In the first several years of the current decade, however, counties with populations of at least 1 million accounted for nearly 60 percent of net new businesses created nationwide.</w:t>
      </w:r>
      <w:r w:rsidR="00BF21B5">
        <w:rPr>
          <w:rFonts w:ascii="Calibri" w:hAnsi="Calibri"/>
          <w:color w:val="000000"/>
          <w:sz w:val="22"/>
          <w:szCs w:val="22"/>
        </w:rPr>
        <w:t xml:space="preserve"> Counties with populations under 100,000, by contrast, created no new businesses on net during that time.</w:t>
      </w:r>
      <w:r w:rsidR="00EA3994">
        <w:rPr>
          <w:rFonts w:ascii="Calibri" w:hAnsi="Calibri"/>
          <w:color w:val="000000"/>
          <w:sz w:val="22"/>
          <w:szCs w:val="22"/>
        </w:rPr>
        <w:t xml:space="preserve"> Others have</w:t>
      </w:r>
      <w:r w:rsidR="00DC2834">
        <w:rPr>
          <w:rFonts w:ascii="Calibri" w:hAnsi="Calibri"/>
          <w:color w:val="000000"/>
          <w:sz w:val="22"/>
          <w:szCs w:val="22"/>
        </w:rPr>
        <w:t xml:space="preserve"> observed this</w:t>
      </w:r>
      <w:r w:rsidR="00EA3994">
        <w:rPr>
          <w:rFonts w:ascii="Calibri" w:hAnsi="Calibri"/>
          <w:color w:val="000000"/>
          <w:sz w:val="22"/>
          <w:szCs w:val="22"/>
        </w:rPr>
        <w:t xml:space="preserve"> growing relationship between market size and economic vitality in the wake of the Great Recession.</w:t>
      </w:r>
      <w:r w:rsidR="00731424">
        <w:rPr>
          <w:rStyle w:val="EndnoteReference"/>
          <w:rFonts w:ascii="Calibri" w:hAnsi="Calibri"/>
          <w:color w:val="000000"/>
          <w:sz w:val="22"/>
          <w:szCs w:val="22"/>
        </w:rPr>
        <w:endnoteReference w:id="14"/>
      </w:r>
    </w:p>
    <w:p w14:paraId="64466967" w14:textId="7E8BA29A" w:rsidR="00EA3994" w:rsidRDefault="00EA3994" w:rsidP="000A0847">
      <w:pPr>
        <w:pStyle w:val="NormalWeb"/>
        <w:rPr>
          <w:rFonts w:ascii="Calibri" w:hAnsi="Calibri"/>
          <w:color w:val="000000"/>
          <w:sz w:val="22"/>
          <w:szCs w:val="22"/>
        </w:rPr>
      </w:pPr>
    </w:p>
    <w:p w14:paraId="4DE9E754" w14:textId="1CB4D932" w:rsidR="00DC1651" w:rsidRDefault="00DC1651" w:rsidP="000A0847">
      <w:pPr>
        <w:pStyle w:val="NormalWeb"/>
        <w:rPr>
          <w:rFonts w:ascii="Calibri" w:hAnsi="Calibri"/>
          <w:color w:val="000000"/>
          <w:sz w:val="22"/>
          <w:szCs w:val="22"/>
        </w:rPr>
      </w:pPr>
      <w:r>
        <w:rPr>
          <w:rFonts w:ascii="Calibri" w:hAnsi="Calibri"/>
          <w:color w:val="000000"/>
          <w:sz w:val="22"/>
          <w:szCs w:val="22"/>
        </w:rPr>
        <w:t>[Figure 2.3—Business dynamism is concentrating in a smaller number of larger places]</w:t>
      </w:r>
    </w:p>
    <w:p w14:paraId="4CB07B3D" w14:textId="77777777" w:rsidR="00DC1651" w:rsidRDefault="00DC1651" w:rsidP="000A0847">
      <w:pPr>
        <w:pStyle w:val="NormalWeb"/>
        <w:rPr>
          <w:rFonts w:ascii="Calibri" w:hAnsi="Calibri"/>
          <w:color w:val="000000"/>
          <w:sz w:val="22"/>
          <w:szCs w:val="22"/>
        </w:rPr>
      </w:pPr>
    </w:p>
    <w:p w14:paraId="7ADEF36C" w14:textId="52BD2991" w:rsidR="00A85E40" w:rsidRPr="00161FC9" w:rsidRDefault="006B5FC0" w:rsidP="000A0847">
      <w:pPr>
        <w:pStyle w:val="NormalWeb"/>
        <w:numPr>
          <w:ilvl w:val="0"/>
          <w:numId w:val="2"/>
        </w:numPr>
        <w:rPr>
          <w:rFonts w:ascii="Calibri" w:hAnsi="Calibri"/>
          <w:b/>
          <w:color w:val="000000"/>
          <w:szCs w:val="22"/>
        </w:rPr>
      </w:pPr>
      <w:r w:rsidRPr="00161FC9">
        <w:rPr>
          <w:rFonts w:ascii="Calibri" w:hAnsi="Calibri"/>
          <w:b/>
          <w:color w:val="000000"/>
          <w:szCs w:val="22"/>
        </w:rPr>
        <w:t xml:space="preserve">Uneven growth </w:t>
      </w:r>
      <w:r w:rsidR="00195B4A">
        <w:rPr>
          <w:rFonts w:ascii="Calibri" w:hAnsi="Calibri"/>
          <w:b/>
          <w:color w:val="000000"/>
          <w:szCs w:val="22"/>
        </w:rPr>
        <w:t>holds back collective prosperity</w:t>
      </w:r>
    </w:p>
    <w:p w14:paraId="562D7A8F" w14:textId="77777777" w:rsidR="00EA3994" w:rsidRDefault="00EA3994" w:rsidP="000A0847">
      <w:pPr>
        <w:pStyle w:val="NormalWeb"/>
        <w:rPr>
          <w:rFonts w:ascii="Calibri" w:hAnsi="Calibri"/>
          <w:color w:val="000000"/>
          <w:sz w:val="22"/>
          <w:szCs w:val="22"/>
        </w:rPr>
      </w:pPr>
    </w:p>
    <w:p w14:paraId="29C39166" w14:textId="550B9794" w:rsidR="00EA3994" w:rsidRDefault="00955CE8" w:rsidP="000A0847">
      <w:pPr>
        <w:pStyle w:val="NormalWeb"/>
        <w:rPr>
          <w:rFonts w:ascii="Calibri" w:hAnsi="Calibri"/>
          <w:color w:val="000000"/>
          <w:sz w:val="22"/>
          <w:szCs w:val="22"/>
        </w:rPr>
      </w:pPr>
      <w:r>
        <w:rPr>
          <w:rFonts w:ascii="Calibri" w:hAnsi="Calibri"/>
          <w:color w:val="000000"/>
          <w:sz w:val="22"/>
          <w:szCs w:val="22"/>
        </w:rPr>
        <w:t>The simplest</w:t>
      </w:r>
      <w:r w:rsidR="00EA3994">
        <w:rPr>
          <w:rFonts w:ascii="Calibri" w:hAnsi="Calibri"/>
          <w:color w:val="000000"/>
          <w:sz w:val="22"/>
          <w:szCs w:val="22"/>
        </w:rPr>
        <w:t xml:space="preserve"> theories of economic geography suggest that </w:t>
      </w:r>
      <w:r w:rsidR="00DC2834">
        <w:rPr>
          <w:rFonts w:ascii="Calibri" w:hAnsi="Calibri"/>
          <w:color w:val="000000"/>
          <w:sz w:val="22"/>
          <w:szCs w:val="22"/>
        </w:rPr>
        <w:t>uneven growth</w:t>
      </w:r>
      <w:r w:rsidR="00F961B2">
        <w:rPr>
          <w:rFonts w:ascii="Calibri" w:hAnsi="Calibri"/>
          <w:color w:val="000000"/>
          <w:sz w:val="22"/>
          <w:szCs w:val="22"/>
        </w:rPr>
        <w:t xml:space="preserve"> do</w:t>
      </w:r>
      <w:r w:rsidR="00DC2834">
        <w:rPr>
          <w:rFonts w:ascii="Calibri" w:hAnsi="Calibri"/>
          <w:color w:val="000000"/>
          <w:sz w:val="22"/>
          <w:szCs w:val="22"/>
        </w:rPr>
        <w:t>es</w:t>
      </w:r>
      <w:r w:rsidR="00F961B2">
        <w:rPr>
          <w:rFonts w:ascii="Calibri" w:hAnsi="Calibri"/>
          <w:color w:val="000000"/>
          <w:sz w:val="22"/>
          <w:szCs w:val="22"/>
        </w:rPr>
        <w:t xml:space="preserve"> not persist over time. As wages and home prices and </w:t>
      </w:r>
      <w:r w:rsidR="00523DCE">
        <w:rPr>
          <w:rFonts w:ascii="Calibri" w:hAnsi="Calibri"/>
          <w:color w:val="000000"/>
          <w:sz w:val="22"/>
          <w:szCs w:val="22"/>
        </w:rPr>
        <w:t xml:space="preserve">traffic </w:t>
      </w:r>
      <w:r w:rsidR="00F961B2">
        <w:rPr>
          <w:rFonts w:ascii="Calibri" w:hAnsi="Calibri"/>
          <w:color w:val="000000"/>
          <w:sz w:val="22"/>
          <w:szCs w:val="22"/>
        </w:rPr>
        <w:t xml:space="preserve">congestion become too high in successful places, employers and workers </w:t>
      </w:r>
      <w:r w:rsidR="001B38AF">
        <w:rPr>
          <w:rFonts w:ascii="Calibri" w:hAnsi="Calibri"/>
          <w:color w:val="000000"/>
          <w:sz w:val="22"/>
          <w:szCs w:val="22"/>
        </w:rPr>
        <w:t xml:space="preserve">should </w:t>
      </w:r>
      <w:r w:rsidR="00523DCE">
        <w:rPr>
          <w:rFonts w:ascii="Calibri" w:hAnsi="Calibri"/>
          <w:color w:val="000000"/>
          <w:sz w:val="22"/>
          <w:szCs w:val="22"/>
        </w:rPr>
        <w:t>migrate to lower-cost places, thus</w:t>
      </w:r>
      <w:r w:rsidR="00D0446C">
        <w:rPr>
          <w:rFonts w:ascii="Calibri" w:hAnsi="Calibri"/>
          <w:color w:val="000000"/>
          <w:sz w:val="22"/>
          <w:szCs w:val="22"/>
        </w:rPr>
        <w:t xml:space="preserve"> making regional economies more similar</w:t>
      </w:r>
      <w:r w:rsidR="00F961B2">
        <w:rPr>
          <w:rFonts w:ascii="Calibri" w:hAnsi="Calibri"/>
          <w:color w:val="000000"/>
          <w:sz w:val="22"/>
          <w:szCs w:val="22"/>
        </w:rPr>
        <w:t xml:space="preserve">. This happened in twentieth-century America, as underdeveloped Southern states—aided by innovations like </w:t>
      </w:r>
      <w:r w:rsidR="00064CFD">
        <w:rPr>
          <w:rFonts w:ascii="Calibri" w:hAnsi="Calibri"/>
          <w:color w:val="000000"/>
          <w:sz w:val="22"/>
          <w:szCs w:val="22"/>
        </w:rPr>
        <w:t>modern air conditioning</w:t>
      </w:r>
      <w:r w:rsidR="00DC2834">
        <w:rPr>
          <w:rFonts w:ascii="Calibri" w:hAnsi="Calibri"/>
          <w:color w:val="000000"/>
          <w:sz w:val="22"/>
          <w:szCs w:val="22"/>
        </w:rPr>
        <w:t xml:space="preserve"> and local economic development incentives</w:t>
      </w:r>
      <w:r w:rsidR="00064CFD">
        <w:rPr>
          <w:rFonts w:ascii="Calibri" w:hAnsi="Calibri"/>
          <w:color w:val="000000"/>
          <w:sz w:val="22"/>
          <w:szCs w:val="22"/>
        </w:rPr>
        <w:t>—</w:t>
      </w:r>
      <w:r w:rsidR="00F961B2">
        <w:rPr>
          <w:rFonts w:ascii="Calibri" w:hAnsi="Calibri"/>
          <w:color w:val="000000"/>
          <w:sz w:val="22"/>
          <w:szCs w:val="22"/>
        </w:rPr>
        <w:t xml:space="preserve">caught up with northern states on </w:t>
      </w:r>
      <w:r w:rsidR="00064CFD">
        <w:rPr>
          <w:rFonts w:ascii="Calibri" w:hAnsi="Calibri"/>
          <w:color w:val="000000"/>
          <w:sz w:val="22"/>
          <w:szCs w:val="22"/>
        </w:rPr>
        <w:t>measures like per capita income.</w:t>
      </w:r>
      <w:r w:rsidR="00DC2834">
        <w:rPr>
          <w:rStyle w:val="EndnoteReference"/>
          <w:rFonts w:ascii="Calibri" w:hAnsi="Calibri"/>
          <w:color w:val="000000"/>
          <w:sz w:val="22"/>
          <w:szCs w:val="22"/>
        </w:rPr>
        <w:endnoteReference w:id="15"/>
      </w:r>
    </w:p>
    <w:p w14:paraId="4EADBA8A" w14:textId="77777777" w:rsidR="00064CFD" w:rsidRDefault="00064CFD" w:rsidP="000A0847">
      <w:pPr>
        <w:pStyle w:val="NormalWeb"/>
        <w:rPr>
          <w:rFonts w:ascii="Calibri" w:hAnsi="Calibri"/>
          <w:color w:val="000000"/>
          <w:sz w:val="22"/>
          <w:szCs w:val="22"/>
        </w:rPr>
      </w:pPr>
    </w:p>
    <w:p w14:paraId="79DA1AB8" w14:textId="1D6EBB12" w:rsidR="00064CFD" w:rsidRDefault="008A1099" w:rsidP="000A0847">
      <w:pPr>
        <w:pStyle w:val="NormalWeb"/>
        <w:rPr>
          <w:rFonts w:ascii="Calibri" w:hAnsi="Calibri"/>
          <w:color w:val="000000"/>
          <w:sz w:val="22"/>
          <w:szCs w:val="22"/>
        </w:rPr>
      </w:pPr>
      <w:r>
        <w:rPr>
          <w:rFonts w:ascii="Calibri" w:hAnsi="Calibri"/>
          <w:color w:val="000000"/>
          <w:sz w:val="22"/>
          <w:szCs w:val="22"/>
        </w:rPr>
        <w:t>However, t</w:t>
      </w:r>
      <w:r w:rsidR="00064CFD">
        <w:rPr>
          <w:rFonts w:ascii="Calibri" w:hAnsi="Calibri"/>
          <w:color w:val="000000"/>
          <w:sz w:val="22"/>
          <w:szCs w:val="22"/>
        </w:rPr>
        <w:t xml:space="preserve">here </w:t>
      </w:r>
      <w:r w:rsidR="005901E9">
        <w:rPr>
          <w:rFonts w:ascii="Calibri" w:hAnsi="Calibri"/>
          <w:color w:val="000000"/>
          <w:sz w:val="22"/>
          <w:szCs w:val="22"/>
        </w:rPr>
        <w:t xml:space="preserve">are economic </w:t>
      </w:r>
      <w:r w:rsidR="00064CFD">
        <w:rPr>
          <w:rFonts w:ascii="Calibri" w:hAnsi="Calibri"/>
          <w:color w:val="000000"/>
          <w:sz w:val="22"/>
          <w:szCs w:val="22"/>
        </w:rPr>
        <w:t xml:space="preserve">advantages to </w:t>
      </w:r>
      <w:r w:rsidR="005901E9">
        <w:rPr>
          <w:rFonts w:ascii="Calibri" w:hAnsi="Calibri"/>
          <w:color w:val="000000"/>
          <w:sz w:val="22"/>
          <w:szCs w:val="22"/>
        </w:rPr>
        <w:t>unevenness</w:t>
      </w:r>
      <w:r w:rsidR="00064CFD">
        <w:rPr>
          <w:rFonts w:ascii="Calibri" w:hAnsi="Calibri"/>
          <w:color w:val="000000"/>
          <w:sz w:val="22"/>
          <w:szCs w:val="22"/>
        </w:rPr>
        <w:t>. Economist Alfred Marshall first described how the agglomeration of economic activity in a place can yield positive outcomes including reduced transportation costs, more efficient matching between workers and employers, and productive sharing of knowledge between firms.</w:t>
      </w:r>
      <w:r w:rsidR="00731424">
        <w:rPr>
          <w:rStyle w:val="EndnoteReference"/>
          <w:rFonts w:ascii="Calibri" w:hAnsi="Calibri"/>
          <w:color w:val="000000"/>
          <w:sz w:val="22"/>
          <w:szCs w:val="22"/>
        </w:rPr>
        <w:endnoteReference w:id="16"/>
      </w:r>
      <w:r w:rsidR="00064CFD">
        <w:rPr>
          <w:rFonts w:ascii="Calibri" w:hAnsi="Calibri"/>
          <w:color w:val="000000"/>
          <w:sz w:val="22"/>
          <w:szCs w:val="22"/>
        </w:rPr>
        <w:t xml:space="preserve"> To the extent </w:t>
      </w:r>
      <w:r w:rsidR="00551D55">
        <w:rPr>
          <w:rFonts w:ascii="Calibri" w:hAnsi="Calibri"/>
          <w:color w:val="000000"/>
          <w:sz w:val="22"/>
          <w:szCs w:val="22"/>
        </w:rPr>
        <w:t xml:space="preserve">that </w:t>
      </w:r>
      <w:r w:rsidR="00064CFD">
        <w:rPr>
          <w:rFonts w:ascii="Calibri" w:hAnsi="Calibri"/>
          <w:color w:val="000000"/>
          <w:sz w:val="22"/>
          <w:szCs w:val="22"/>
        </w:rPr>
        <w:t>these sorts of advantages outweigh the benefits that could be derived from relocating those activities, regions could diverge in their economic success over time.</w:t>
      </w:r>
    </w:p>
    <w:p w14:paraId="3F3FF5D6" w14:textId="77777777" w:rsidR="00064CFD" w:rsidRDefault="00064CFD" w:rsidP="000A0847">
      <w:pPr>
        <w:pStyle w:val="NormalWeb"/>
        <w:rPr>
          <w:rFonts w:ascii="Calibri" w:hAnsi="Calibri"/>
          <w:color w:val="000000"/>
          <w:sz w:val="22"/>
          <w:szCs w:val="22"/>
        </w:rPr>
      </w:pPr>
    </w:p>
    <w:p w14:paraId="13C6E94A" w14:textId="688CBA54" w:rsidR="00064CFD" w:rsidRDefault="005F1D4E" w:rsidP="000A0847">
      <w:pPr>
        <w:pStyle w:val="NormalWeb"/>
        <w:rPr>
          <w:rFonts w:ascii="Calibri" w:hAnsi="Calibri"/>
          <w:color w:val="000000"/>
          <w:sz w:val="22"/>
          <w:szCs w:val="22"/>
        </w:rPr>
      </w:pPr>
      <w:r>
        <w:rPr>
          <w:rFonts w:ascii="Calibri" w:hAnsi="Calibri"/>
          <w:color w:val="000000"/>
          <w:sz w:val="22"/>
          <w:szCs w:val="22"/>
        </w:rPr>
        <w:t xml:space="preserve">Mounting evidence, in addition to the patterns observed above, </w:t>
      </w:r>
      <w:r w:rsidR="00DC2834">
        <w:rPr>
          <w:rFonts w:ascii="Calibri" w:hAnsi="Calibri"/>
          <w:color w:val="000000"/>
          <w:sz w:val="22"/>
          <w:szCs w:val="22"/>
        </w:rPr>
        <w:t>demonstrates</w:t>
      </w:r>
      <w:r>
        <w:rPr>
          <w:rFonts w:ascii="Calibri" w:hAnsi="Calibri"/>
          <w:color w:val="000000"/>
          <w:sz w:val="22"/>
          <w:szCs w:val="22"/>
        </w:rPr>
        <w:t xml:space="preserve"> that </w:t>
      </w:r>
      <w:r w:rsidR="005901E9">
        <w:rPr>
          <w:rFonts w:ascii="Calibri" w:hAnsi="Calibri"/>
          <w:color w:val="000000"/>
          <w:sz w:val="22"/>
          <w:szCs w:val="22"/>
        </w:rPr>
        <w:t>U.S. regions are increasingly diverging</w:t>
      </w:r>
      <w:r>
        <w:rPr>
          <w:rFonts w:ascii="Calibri" w:hAnsi="Calibri"/>
          <w:color w:val="000000"/>
          <w:sz w:val="22"/>
          <w:szCs w:val="22"/>
        </w:rPr>
        <w:t xml:space="preserve"> </w:t>
      </w:r>
      <w:r w:rsidR="005901E9">
        <w:rPr>
          <w:rFonts w:ascii="Calibri" w:hAnsi="Calibri"/>
          <w:color w:val="000000"/>
          <w:sz w:val="22"/>
          <w:szCs w:val="22"/>
        </w:rPr>
        <w:t>in their economic outcomes</w:t>
      </w:r>
      <w:r>
        <w:rPr>
          <w:rFonts w:ascii="Calibri" w:hAnsi="Calibri"/>
          <w:color w:val="000000"/>
          <w:sz w:val="22"/>
          <w:szCs w:val="22"/>
        </w:rPr>
        <w:t xml:space="preserve">. Economist Elise </w:t>
      </w:r>
      <w:proofErr w:type="spellStart"/>
      <w:r>
        <w:rPr>
          <w:rFonts w:ascii="Calibri" w:hAnsi="Calibri"/>
          <w:color w:val="000000"/>
          <w:sz w:val="22"/>
          <w:szCs w:val="22"/>
        </w:rPr>
        <w:t>Giannone</w:t>
      </w:r>
      <w:proofErr w:type="spellEnd"/>
      <w:r>
        <w:rPr>
          <w:rFonts w:ascii="Calibri" w:hAnsi="Calibri"/>
          <w:color w:val="000000"/>
          <w:sz w:val="22"/>
          <w:szCs w:val="22"/>
        </w:rPr>
        <w:t xml:space="preserve"> shows that the wage gap between richer and poorer U.S. metro areas shrank from 1940 to 1980, </w:t>
      </w:r>
      <w:r w:rsidR="004B0BEA">
        <w:rPr>
          <w:rFonts w:ascii="Calibri" w:hAnsi="Calibri"/>
          <w:color w:val="000000"/>
          <w:sz w:val="22"/>
          <w:szCs w:val="22"/>
        </w:rPr>
        <w:t xml:space="preserve">but has grown since then, specifically for more educated workers. She concludes that this </w:t>
      </w:r>
      <w:r w:rsidR="00D001F8">
        <w:rPr>
          <w:rFonts w:ascii="Calibri" w:hAnsi="Calibri"/>
          <w:color w:val="000000"/>
          <w:sz w:val="22"/>
          <w:szCs w:val="22"/>
        </w:rPr>
        <w:t xml:space="preserve">reversal </w:t>
      </w:r>
      <w:r w:rsidR="004B0BEA">
        <w:rPr>
          <w:rFonts w:ascii="Calibri" w:hAnsi="Calibri"/>
          <w:color w:val="000000"/>
          <w:sz w:val="22"/>
          <w:szCs w:val="22"/>
        </w:rPr>
        <w:t>reflects a mix of technology’s increased rewards to highly skilled tech workers and local industry clustering.</w:t>
      </w:r>
      <w:r w:rsidR="00731424">
        <w:rPr>
          <w:rStyle w:val="EndnoteReference"/>
          <w:rFonts w:ascii="Calibri" w:hAnsi="Calibri"/>
          <w:color w:val="000000"/>
          <w:sz w:val="22"/>
          <w:szCs w:val="22"/>
        </w:rPr>
        <w:endnoteReference w:id="17"/>
      </w:r>
    </w:p>
    <w:p w14:paraId="79D50AAB" w14:textId="014C9D25" w:rsidR="00BA2395" w:rsidRDefault="00BA2395" w:rsidP="000A0847">
      <w:pPr>
        <w:pStyle w:val="NormalWeb"/>
        <w:rPr>
          <w:rFonts w:ascii="Calibri" w:hAnsi="Calibri"/>
          <w:color w:val="000000"/>
          <w:sz w:val="22"/>
          <w:szCs w:val="22"/>
        </w:rPr>
      </w:pPr>
    </w:p>
    <w:p w14:paraId="3DF7BB82" w14:textId="4F4F2982" w:rsidR="00BA2395" w:rsidRDefault="00BA2395" w:rsidP="000A0847">
      <w:pPr>
        <w:pStyle w:val="NormalWeb"/>
        <w:rPr>
          <w:rFonts w:ascii="Calibri" w:hAnsi="Calibri"/>
          <w:color w:val="000000"/>
          <w:sz w:val="22"/>
          <w:szCs w:val="22"/>
        </w:rPr>
      </w:pPr>
      <w:r>
        <w:rPr>
          <w:rFonts w:ascii="Calibri" w:hAnsi="Calibri"/>
          <w:color w:val="000000"/>
          <w:sz w:val="22"/>
          <w:szCs w:val="22"/>
        </w:rPr>
        <w:t xml:space="preserve">These dynamics </w:t>
      </w:r>
      <w:r w:rsidR="00B71BCB">
        <w:rPr>
          <w:rFonts w:ascii="Calibri" w:hAnsi="Calibri"/>
          <w:color w:val="000000"/>
          <w:sz w:val="22"/>
          <w:szCs w:val="22"/>
        </w:rPr>
        <w:t>have</w:t>
      </w:r>
      <w:r>
        <w:rPr>
          <w:rFonts w:ascii="Calibri" w:hAnsi="Calibri"/>
          <w:color w:val="000000"/>
          <w:sz w:val="22"/>
          <w:szCs w:val="22"/>
        </w:rPr>
        <w:t xml:space="preserve"> tend</w:t>
      </w:r>
      <w:r w:rsidR="00B71BCB">
        <w:rPr>
          <w:rFonts w:ascii="Calibri" w:hAnsi="Calibri"/>
          <w:color w:val="000000"/>
          <w:sz w:val="22"/>
          <w:szCs w:val="22"/>
        </w:rPr>
        <w:t>ed</w:t>
      </w:r>
      <w:r>
        <w:rPr>
          <w:rFonts w:ascii="Calibri" w:hAnsi="Calibri"/>
          <w:color w:val="000000"/>
          <w:sz w:val="22"/>
          <w:szCs w:val="22"/>
        </w:rPr>
        <w:t xml:space="preserve"> to disadvantage America’s manufacturing regions</w:t>
      </w:r>
      <w:r w:rsidR="00955CE8">
        <w:rPr>
          <w:rFonts w:ascii="Calibri" w:hAnsi="Calibri"/>
          <w:color w:val="000000"/>
          <w:sz w:val="22"/>
          <w:szCs w:val="22"/>
        </w:rPr>
        <w:t>, which are characterized by a distinctive economic geography</w:t>
      </w:r>
      <w:r>
        <w:rPr>
          <w:rFonts w:ascii="Calibri" w:hAnsi="Calibri"/>
          <w:color w:val="000000"/>
          <w:sz w:val="22"/>
          <w:szCs w:val="22"/>
        </w:rPr>
        <w:t xml:space="preserve">. </w:t>
      </w:r>
      <w:r w:rsidR="008A1099">
        <w:rPr>
          <w:rFonts w:ascii="Calibri" w:hAnsi="Calibri"/>
          <w:color w:val="000000"/>
          <w:sz w:val="22"/>
          <w:szCs w:val="22"/>
        </w:rPr>
        <w:t>In these regions, f</w:t>
      </w:r>
      <w:r>
        <w:rPr>
          <w:rFonts w:ascii="Calibri" w:hAnsi="Calibri"/>
          <w:color w:val="000000"/>
          <w:sz w:val="22"/>
          <w:szCs w:val="22"/>
        </w:rPr>
        <w:t xml:space="preserve">actories grew not only in cities but also in smaller towns throughout the surrounding countryside that provided easy access to raw materials and transportation routes like rivers and railroads. </w:t>
      </w:r>
      <w:r w:rsidR="00955CE8">
        <w:rPr>
          <w:rFonts w:ascii="Calibri" w:hAnsi="Calibri"/>
          <w:color w:val="000000"/>
          <w:sz w:val="22"/>
          <w:szCs w:val="22"/>
        </w:rPr>
        <w:t xml:space="preserve">The mill cities of Massachusetts, the </w:t>
      </w:r>
      <w:r w:rsidR="008A1099">
        <w:rPr>
          <w:rFonts w:ascii="Calibri" w:hAnsi="Calibri"/>
          <w:color w:val="000000"/>
          <w:sz w:val="22"/>
          <w:szCs w:val="22"/>
        </w:rPr>
        <w:t xml:space="preserve">mining and </w:t>
      </w:r>
      <w:r w:rsidR="00955CE8">
        <w:rPr>
          <w:rFonts w:ascii="Calibri" w:hAnsi="Calibri"/>
          <w:color w:val="000000"/>
          <w:sz w:val="22"/>
          <w:szCs w:val="22"/>
        </w:rPr>
        <w:t>steel towns of Western Pennsylvania, and the mid-sized cities of Michigan that formed around the auto supply chain all exemplify the distributed geography of 20</w:t>
      </w:r>
      <w:r w:rsidR="00955CE8" w:rsidRPr="00955CE8">
        <w:rPr>
          <w:rFonts w:ascii="Calibri" w:hAnsi="Calibri"/>
          <w:color w:val="000000"/>
          <w:sz w:val="22"/>
          <w:szCs w:val="22"/>
          <w:vertAlign w:val="superscript"/>
        </w:rPr>
        <w:t>th</w:t>
      </w:r>
      <w:r w:rsidR="00955CE8">
        <w:rPr>
          <w:rFonts w:ascii="Calibri" w:hAnsi="Calibri"/>
          <w:color w:val="000000"/>
          <w:sz w:val="22"/>
          <w:szCs w:val="22"/>
        </w:rPr>
        <w:t xml:space="preserve"> century industry. </w:t>
      </w:r>
      <w:r>
        <w:rPr>
          <w:rFonts w:ascii="Calibri" w:hAnsi="Calibri"/>
          <w:color w:val="000000"/>
          <w:sz w:val="22"/>
          <w:szCs w:val="22"/>
        </w:rPr>
        <w:t xml:space="preserve">These supply chains formed economic clusters that crossed municipal and county lines, and provided jobs close to where </w:t>
      </w:r>
      <w:r w:rsidR="00973B59">
        <w:rPr>
          <w:rFonts w:ascii="Calibri" w:hAnsi="Calibri"/>
          <w:color w:val="000000"/>
          <w:sz w:val="22"/>
          <w:szCs w:val="22"/>
        </w:rPr>
        <w:t>an increasingly suburbanized workforce</w:t>
      </w:r>
      <w:r>
        <w:rPr>
          <w:rFonts w:ascii="Calibri" w:hAnsi="Calibri"/>
          <w:color w:val="000000"/>
          <w:sz w:val="22"/>
          <w:szCs w:val="22"/>
        </w:rPr>
        <w:t xml:space="preserve"> lived. </w:t>
      </w:r>
      <w:r w:rsidR="00B71BCB">
        <w:rPr>
          <w:rFonts w:ascii="Calibri" w:hAnsi="Calibri"/>
          <w:color w:val="000000"/>
          <w:sz w:val="22"/>
          <w:szCs w:val="22"/>
        </w:rPr>
        <w:t>But a</w:t>
      </w:r>
      <w:r>
        <w:rPr>
          <w:rFonts w:ascii="Calibri" w:hAnsi="Calibri"/>
          <w:color w:val="000000"/>
          <w:sz w:val="22"/>
          <w:szCs w:val="22"/>
        </w:rPr>
        <w:t>s urban and small town factories shuttered in these regions,</w:t>
      </w:r>
      <w:r w:rsidR="00B71BCB">
        <w:rPr>
          <w:rFonts w:ascii="Calibri" w:hAnsi="Calibri"/>
          <w:color w:val="000000"/>
          <w:sz w:val="22"/>
          <w:szCs w:val="22"/>
        </w:rPr>
        <w:t xml:space="preserve"> they were left without the sorts of strong employment centers that characterized more diversified and knowledge-based economies like Boston, Chicago, and San Francisco, and that provided the basis for </w:t>
      </w:r>
      <w:r w:rsidR="00C941F7">
        <w:rPr>
          <w:rFonts w:ascii="Calibri" w:hAnsi="Calibri"/>
          <w:color w:val="000000"/>
          <w:sz w:val="22"/>
          <w:szCs w:val="22"/>
        </w:rPr>
        <w:t>even more concentrated</w:t>
      </w:r>
      <w:r w:rsidR="00B71BCB">
        <w:rPr>
          <w:rFonts w:ascii="Calibri" w:hAnsi="Calibri"/>
          <w:color w:val="000000"/>
          <w:sz w:val="22"/>
          <w:szCs w:val="22"/>
        </w:rPr>
        <w:t xml:space="preserve"> agglomerations of high-tech activity.</w:t>
      </w:r>
    </w:p>
    <w:p w14:paraId="50F0677E" w14:textId="77777777" w:rsidR="004B0BEA" w:rsidRDefault="004B0BEA" w:rsidP="000A0847">
      <w:pPr>
        <w:pStyle w:val="NormalWeb"/>
        <w:rPr>
          <w:rFonts w:ascii="Calibri" w:hAnsi="Calibri"/>
          <w:color w:val="000000"/>
          <w:sz w:val="22"/>
          <w:szCs w:val="22"/>
        </w:rPr>
      </w:pPr>
    </w:p>
    <w:p w14:paraId="31BF1BAD" w14:textId="1815D2EC" w:rsidR="00C9059E" w:rsidRDefault="004B0BEA" w:rsidP="000A0847">
      <w:pPr>
        <w:pStyle w:val="NormalWeb"/>
        <w:rPr>
          <w:rFonts w:ascii="Calibri" w:hAnsi="Calibri"/>
          <w:color w:val="000000"/>
          <w:sz w:val="22"/>
          <w:szCs w:val="22"/>
        </w:rPr>
      </w:pPr>
      <w:r>
        <w:rPr>
          <w:rFonts w:ascii="Calibri" w:hAnsi="Calibri"/>
          <w:color w:val="000000"/>
          <w:sz w:val="22"/>
          <w:szCs w:val="22"/>
        </w:rPr>
        <w:t xml:space="preserve">While </w:t>
      </w:r>
      <w:r w:rsidR="004F3D75">
        <w:rPr>
          <w:rFonts w:ascii="Calibri" w:hAnsi="Calibri"/>
          <w:color w:val="000000"/>
          <w:sz w:val="22"/>
          <w:szCs w:val="22"/>
        </w:rPr>
        <w:t xml:space="preserve">being on the wrong end of growing </w:t>
      </w:r>
      <w:r w:rsidR="003B5AC3">
        <w:rPr>
          <w:rFonts w:ascii="Calibri" w:hAnsi="Calibri"/>
          <w:color w:val="000000"/>
          <w:sz w:val="22"/>
          <w:szCs w:val="22"/>
        </w:rPr>
        <w:t>region</w:t>
      </w:r>
      <w:r w:rsidR="004F3D75">
        <w:rPr>
          <w:rFonts w:ascii="Calibri" w:hAnsi="Calibri"/>
          <w:color w:val="000000"/>
          <w:sz w:val="22"/>
          <w:szCs w:val="22"/>
        </w:rPr>
        <w:t xml:space="preserve">al inequality is certainly a problem for people who live in those places, it might not be a problem for </w:t>
      </w:r>
      <w:r w:rsidR="00C9059E">
        <w:rPr>
          <w:rFonts w:ascii="Calibri" w:hAnsi="Calibri"/>
          <w:color w:val="000000"/>
          <w:sz w:val="22"/>
          <w:szCs w:val="22"/>
        </w:rPr>
        <w:t xml:space="preserve">a </w:t>
      </w:r>
      <w:r w:rsidR="004F3D75">
        <w:rPr>
          <w:rFonts w:ascii="Calibri" w:hAnsi="Calibri"/>
          <w:color w:val="000000"/>
          <w:sz w:val="22"/>
          <w:szCs w:val="22"/>
        </w:rPr>
        <w:t>country’</w:t>
      </w:r>
      <w:r w:rsidR="00C9059E">
        <w:rPr>
          <w:rFonts w:ascii="Calibri" w:hAnsi="Calibri"/>
          <w:color w:val="000000"/>
          <w:sz w:val="22"/>
          <w:szCs w:val="22"/>
        </w:rPr>
        <w:t>s economy overall, if that inequality merely reflects the value of agglomeration.</w:t>
      </w:r>
      <w:r w:rsidR="00731424">
        <w:rPr>
          <w:rStyle w:val="EndnoteReference"/>
          <w:rFonts w:ascii="Calibri" w:hAnsi="Calibri"/>
          <w:color w:val="000000"/>
          <w:sz w:val="22"/>
          <w:szCs w:val="22"/>
        </w:rPr>
        <w:endnoteReference w:id="18"/>
      </w:r>
      <w:r w:rsidR="00C9059E">
        <w:rPr>
          <w:rFonts w:ascii="Calibri" w:hAnsi="Calibri"/>
          <w:color w:val="000000"/>
          <w:sz w:val="22"/>
          <w:szCs w:val="22"/>
        </w:rPr>
        <w:t xml:space="preserve"> </w:t>
      </w:r>
      <w:r w:rsidR="00701703">
        <w:rPr>
          <w:rFonts w:ascii="Calibri" w:hAnsi="Calibri"/>
          <w:color w:val="000000"/>
          <w:sz w:val="22"/>
          <w:szCs w:val="22"/>
        </w:rPr>
        <w:t>M</w:t>
      </w:r>
      <w:r w:rsidR="00C9059E">
        <w:rPr>
          <w:rFonts w:ascii="Calibri" w:hAnsi="Calibri"/>
          <w:color w:val="000000"/>
          <w:sz w:val="22"/>
          <w:szCs w:val="22"/>
        </w:rPr>
        <w:t xml:space="preserve">any economists have argued for U.S. policy changes at the local level that, by increasing housing supply and affordability, </w:t>
      </w:r>
      <w:r w:rsidR="00D0446C">
        <w:rPr>
          <w:rFonts w:ascii="Calibri" w:hAnsi="Calibri"/>
          <w:color w:val="000000"/>
          <w:sz w:val="22"/>
          <w:szCs w:val="22"/>
        </w:rPr>
        <w:t xml:space="preserve">could reinforce </w:t>
      </w:r>
      <w:r w:rsidR="00C9059E">
        <w:rPr>
          <w:rFonts w:ascii="Calibri" w:hAnsi="Calibri"/>
          <w:color w:val="000000"/>
          <w:sz w:val="22"/>
          <w:szCs w:val="22"/>
        </w:rPr>
        <w:t xml:space="preserve">agglomeration in our most successful metropolitan areas by providing </w:t>
      </w:r>
      <w:r w:rsidR="00D0446C">
        <w:rPr>
          <w:rFonts w:ascii="Calibri" w:hAnsi="Calibri"/>
          <w:color w:val="000000"/>
          <w:sz w:val="22"/>
          <w:szCs w:val="22"/>
        </w:rPr>
        <w:t>more</w:t>
      </w:r>
      <w:r w:rsidR="00C9059E">
        <w:rPr>
          <w:rFonts w:ascii="Calibri" w:hAnsi="Calibri"/>
          <w:color w:val="000000"/>
          <w:sz w:val="22"/>
          <w:szCs w:val="22"/>
        </w:rPr>
        <w:t xml:space="preserve"> opportunities for </w:t>
      </w:r>
      <w:r w:rsidR="00D0446C">
        <w:rPr>
          <w:rFonts w:ascii="Calibri" w:hAnsi="Calibri"/>
          <w:color w:val="000000"/>
          <w:sz w:val="22"/>
          <w:szCs w:val="22"/>
        </w:rPr>
        <w:t>people to migrate there</w:t>
      </w:r>
      <w:r w:rsidR="00C9059E">
        <w:rPr>
          <w:rFonts w:ascii="Calibri" w:hAnsi="Calibri"/>
          <w:color w:val="000000"/>
          <w:sz w:val="22"/>
          <w:szCs w:val="22"/>
        </w:rPr>
        <w:t xml:space="preserve"> from less successful regions.</w:t>
      </w:r>
      <w:r w:rsidR="00731424">
        <w:rPr>
          <w:rStyle w:val="EndnoteReference"/>
          <w:rFonts w:ascii="Calibri" w:hAnsi="Calibri"/>
          <w:color w:val="000000"/>
          <w:sz w:val="22"/>
          <w:szCs w:val="22"/>
        </w:rPr>
        <w:endnoteReference w:id="19"/>
      </w:r>
      <w:r w:rsidR="00C9059E">
        <w:rPr>
          <w:rFonts w:ascii="Calibri" w:hAnsi="Calibri"/>
          <w:color w:val="000000"/>
          <w:sz w:val="22"/>
          <w:szCs w:val="22"/>
        </w:rPr>
        <w:t xml:space="preserve"> Their models find that such changes could significantly raise aggregate economic growth. </w:t>
      </w:r>
      <w:r w:rsidR="00DC2834">
        <w:rPr>
          <w:rFonts w:ascii="Calibri" w:hAnsi="Calibri"/>
          <w:color w:val="000000"/>
          <w:sz w:val="22"/>
          <w:szCs w:val="22"/>
        </w:rPr>
        <w:t>N</w:t>
      </w:r>
      <w:r w:rsidR="00C9059E">
        <w:rPr>
          <w:rFonts w:ascii="Calibri" w:hAnsi="Calibri"/>
          <w:color w:val="000000"/>
          <w:sz w:val="22"/>
          <w:szCs w:val="22"/>
        </w:rPr>
        <w:t xml:space="preserve">ot surprisingly, those arguments resonate at a time when the median </w:t>
      </w:r>
      <w:r w:rsidR="007D4E32">
        <w:rPr>
          <w:rFonts w:ascii="Calibri" w:hAnsi="Calibri"/>
          <w:color w:val="000000"/>
          <w:sz w:val="22"/>
          <w:szCs w:val="22"/>
        </w:rPr>
        <w:t xml:space="preserve">single-family </w:t>
      </w:r>
      <w:r w:rsidR="00C9059E">
        <w:rPr>
          <w:rFonts w:ascii="Calibri" w:hAnsi="Calibri"/>
          <w:color w:val="000000"/>
          <w:sz w:val="22"/>
          <w:szCs w:val="22"/>
        </w:rPr>
        <w:t xml:space="preserve">home price in San Francisco </w:t>
      </w:r>
      <w:r w:rsidR="007D4E32">
        <w:rPr>
          <w:rFonts w:ascii="Calibri" w:hAnsi="Calibri"/>
          <w:color w:val="000000"/>
          <w:sz w:val="22"/>
          <w:szCs w:val="22"/>
        </w:rPr>
        <w:t xml:space="preserve">hovers around </w:t>
      </w:r>
      <w:r w:rsidR="00C9059E">
        <w:rPr>
          <w:rFonts w:ascii="Calibri" w:hAnsi="Calibri"/>
          <w:color w:val="000000"/>
          <w:sz w:val="22"/>
          <w:szCs w:val="22"/>
        </w:rPr>
        <w:t>$1</w:t>
      </w:r>
      <w:r w:rsidR="007D4E32">
        <w:rPr>
          <w:rFonts w:ascii="Calibri" w:hAnsi="Calibri"/>
          <w:color w:val="000000"/>
          <w:sz w:val="22"/>
          <w:szCs w:val="22"/>
        </w:rPr>
        <w:t>.5</w:t>
      </w:r>
      <w:r w:rsidR="00C9059E">
        <w:rPr>
          <w:rFonts w:ascii="Calibri" w:hAnsi="Calibri"/>
          <w:color w:val="000000"/>
          <w:sz w:val="22"/>
          <w:szCs w:val="22"/>
        </w:rPr>
        <w:t xml:space="preserve"> million.</w:t>
      </w:r>
      <w:r w:rsidR="00731424">
        <w:rPr>
          <w:rStyle w:val="EndnoteReference"/>
          <w:rFonts w:ascii="Calibri" w:hAnsi="Calibri"/>
          <w:color w:val="000000"/>
          <w:sz w:val="22"/>
          <w:szCs w:val="22"/>
        </w:rPr>
        <w:endnoteReference w:id="20"/>
      </w:r>
    </w:p>
    <w:p w14:paraId="0B957998" w14:textId="77777777" w:rsidR="007D4E32" w:rsidRDefault="007D4E32" w:rsidP="000A0847">
      <w:pPr>
        <w:pStyle w:val="NormalWeb"/>
        <w:rPr>
          <w:rFonts w:ascii="Calibri" w:hAnsi="Calibri"/>
          <w:color w:val="000000"/>
          <w:sz w:val="22"/>
          <w:szCs w:val="22"/>
        </w:rPr>
      </w:pPr>
    </w:p>
    <w:p w14:paraId="0066631C" w14:textId="441D51F6" w:rsidR="008554E7" w:rsidRDefault="00DC2834" w:rsidP="000A0847">
      <w:pPr>
        <w:pStyle w:val="NormalWeb"/>
        <w:rPr>
          <w:rFonts w:ascii="Calibri" w:hAnsi="Calibri"/>
          <w:color w:val="000000"/>
          <w:sz w:val="22"/>
          <w:szCs w:val="22"/>
        </w:rPr>
      </w:pPr>
      <w:r>
        <w:rPr>
          <w:rFonts w:ascii="Calibri" w:hAnsi="Calibri"/>
          <w:color w:val="000000"/>
          <w:sz w:val="22"/>
          <w:szCs w:val="22"/>
        </w:rPr>
        <w:t xml:space="preserve">Yet there </w:t>
      </w:r>
      <w:r w:rsidR="00232179">
        <w:rPr>
          <w:rFonts w:ascii="Calibri" w:hAnsi="Calibri"/>
          <w:color w:val="000000"/>
          <w:sz w:val="22"/>
          <w:szCs w:val="22"/>
        </w:rPr>
        <w:t xml:space="preserve">are several reasons why we should </w:t>
      </w:r>
      <w:r>
        <w:rPr>
          <w:rFonts w:ascii="Calibri" w:hAnsi="Calibri"/>
          <w:color w:val="000000"/>
          <w:sz w:val="22"/>
          <w:szCs w:val="22"/>
        </w:rPr>
        <w:t>also foc</w:t>
      </w:r>
      <w:r w:rsidR="00232179">
        <w:rPr>
          <w:rFonts w:ascii="Calibri" w:hAnsi="Calibri"/>
          <w:color w:val="000000"/>
          <w:sz w:val="22"/>
          <w:szCs w:val="22"/>
        </w:rPr>
        <w:t>us</w:t>
      </w:r>
      <w:r>
        <w:rPr>
          <w:rFonts w:ascii="Calibri" w:hAnsi="Calibri"/>
          <w:color w:val="000000"/>
          <w:sz w:val="22"/>
          <w:szCs w:val="22"/>
        </w:rPr>
        <w:t xml:space="preserve"> </w:t>
      </w:r>
      <w:r w:rsidR="007D4E32">
        <w:rPr>
          <w:rFonts w:ascii="Calibri" w:hAnsi="Calibri"/>
          <w:color w:val="000000"/>
          <w:sz w:val="22"/>
          <w:szCs w:val="22"/>
        </w:rPr>
        <w:t xml:space="preserve">on policies </w:t>
      </w:r>
      <w:r>
        <w:rPr>
          <w:rFonts w:ascii="Calibri" w:hAnsi="Calibri"/>
          <w:color w:val="000000"/>
          <w:sz w:val="22"/>
          <w:szCs w:val="22"/>
        </w:rPr>
        <w:t xml:space="preserve">to assist </w:t>
      </w:r>
      <w:r w:rsidR="007D4E32">
        <w:rPr>
          <w:rFonts w:ascii="Calibri" w:hAnsi="Calibri"/>
          <w:color w:val="000000"/>
          <w:sz w:val="22"/>
          <w:szCs w:val="22"/>
        </w:rPr>
        <w:t xml:space="preserve">the United States’ underperforming regions. </w:t>
      </w:r>
      <w:r w:rsidR="00232179">
        <w:rPr>
          <w:rFonts w:ascii="Calibri" w:hAnsi="Calibri"/>
          <w:color w:val="000000"/>
          <w:sz w:val="22"/>
          <w:szCs w:val="22"/>
        </w:rPr>
        <w:t>First</w:t>
      </w:r>
      <w:r w:rsidR="007D4E32">
        <w:rPr>
          <w:rFonts w:ascii="Calibri" w:hAnsi="Calibri"/>
          <w:color w:val="000000"/>
          <w:sz w:val="22"/>
          <w:szCs w:val="22"/>
        </w:rPr>
        <w:t>, long-distance migration is not what it used to be. Only 1.7 percent of Americans moved across state lines from 2016 to 2017, well below rates that exceeded 4 percent in the 1990s.</w:t>
      </w:r>
      <w:r w:rsidR="00731424">
        <w:rPr>
          <w:rStyle w:val="EndnoteReference"/>
          <w:rFonts w:ascii="Calibri" w:hAnsi="Calibri"/>
          <w:color w:val="000000"/>
          <w:sz w:val="22"/>
          <w:szCs w:val="22"/>
        </w:rPr>
        <w:endnoteReference w:id="21"/>
      </w:r>
      <w:r w:rsidR="007D4E32">
        <w:rPr>
          <w:rFonts w:ascii="Calibri" w:hAnsi="Calibri"/>
          <w:color w:val="000000"/>
          <w:sz w:val="22"/>
          <w:szCs w:val="22"/>
        </w:rPr>
        <w:t xml:space="preserve"> Public policies could </w:t>
      </w:r>
      <w:r w:rsidR="008554E7">
        <w:rPr>
          <w:rFonts w:ascii="Calibri" w:hAnsi="Calibri"/>
          <w:color w:val="000000"/>
          <w:sz w:val="22"/>
          <w:szCs w:val="22"/>
        </w:rPr>
        <w:t xml:space="preserve">certainly </w:t>
      </w:r>
      <w:r w:rsidR="007D4E32">
        <w:rPr>
          <w:rFonts w:ascii="Calibri" w:hAnsi="Calibri"/>
          <w:color w:val="000000"/>
          <w:sz w:val="22"/>
          <w:szCs w:val="22"/>
        </w:rPr>
        <w:t>do more to help resource-constrained w</w:t>
      </w:r>
      <w:r w:rsidR="008554E7">
        <w:rPr>
          <w:rFonts w:ascii="Calibri" w:hAnsi="Calibri"/>
          <w:color w:val="000000"/>
          <w:sz w:val="22"/>
          <w:szCs w:val="22"/>
        </w:rPr>
        <w:t>orkers and families to relocate.</w:t>
      </w:r>
      <w:r w:rsidR="00731424">
        <w:rPr>
          <w:rStyle w:val="EndnoteReference"/>
          <w:rFonts w:ascii="Calibri" w:hAnsi="Calibri"/>
          <w:color w:val="000000"/>
          <w:sz w:val="22"/>
          <w:szCs w:val="22"/>
        </w:rPr>
        <w:endnoteReference w:id="22"/>
      </w:r>
      <w:r w:rsidR="007D4E32">
        <w:rPr>
          <w:rFonts w:ascii="Calibri" w:hAnsi="Calibri"/>
          <w:color w:val="000000"/>
          <w:sz w:val="22"/>
          <w:szCs w:val="22"/>
        </w:rPr>
        <w:t xml:space="preserve"> </w:t>
      </w:r>
      <w:r>
        <w:rPr>
          <w:rFonts w:ascii="Calibri" w:hAnsi="Calibri"/>
          <w:color w:val="000000"/>
          <w:sz w:val="22"/>
          <w:szCs w:val="22"/>
        </w:rPr>
        <w:t xml:space="preserve">Even then, strong local social networks and deeply embedded cultural preferences will likely limit long-distance mobility. </w:t>
      </w:r>
      <w:r w:rsidR="00DB288B">
        <w:rPr>
          <w:rFonts w:ascii="Calibri" w:hAnsi="Calibri"/>
          <w:color w:val="000000"/>
          <w:sz w:val="22"/>
          <w:szCs w:val="22"/>
        </w:rPr>
        <w:t>As the next chapters document, our lagging regions remain home to tens of millions of people and substantial economic and social assets. A sensible approach to i</w:t>
      </w:r>
      <w:r>
        <w:rPr>
          <w:rFonts w:ascii="Calibri" w:hAnsi="Calibri"/>
          <w:color w:val="000000"/>
          <w:sz w:val="22"/>
          <w:szCs w:val="22"/>
        </w:rPr>
        <w:t xml:space="preserve">mproving access to economic opportunity </w:t>
      </w:r>
      <w:r w:rsidR="00DB288B">
        <w:rPr>
          <w:rFonts w:ascii="Calibri" w:hAnsi="Calibri"/>
          <w:color w:val="000000"/>
          <w:sz w:val="22"/>
          <w:szCs w:val="22"/>
        </w:rPr>
        <w:t xml:space="preserve">for their residents requires far </w:t>
      </w:r>
      <w:r>
        <w:rPr>
          <w:rFonts w:ascii="Calibri" w:hAnsi="Calibri"/>
          <w:color w:val="000000"/>
          <w:sz w:val="22"/>
          <w:szCs w:val="22"/>
        </w:rPr>
        <w:t xml:space="preserve">more than policies </w:t>
      </w:r>
      <w:r w:rsidR="008554E7">
        <w:rPr>
          <w:rFonts w:ascii="Calibri" w:hAnsi="Calibri"/>
          <w:color w:val="000000"/>
          <w:sz w:val="22"/>
          <w:szCs w:val="22"/>
        </w:rPr>
        <w:t xml:space="preserve">predicated on mass numbers of people moving </w:t>
      </w:r>
      <w:r w:rsidR="00DB288B">
        <w:rPr>
          <w:rFonts w:ascii="Calibri" w:hAnsi="Calibri"/>
          <w:color w:val="000000"/>
          <w:sz w:val="22"/>
          <w:szCs w:val="22"/>
        </w:rPr>
        <w:t xml:space="preserve">from the middle of the country </w:t>
      </w:r>
      <w:r w:rsidR="008554E7">
        <w:rPr>
          <w:rFonts w:ascii="Calibri" w:hAnsi="Calibri"/>
          <w:color w:val="000000"/>
          <w:sz w:val="22"/>
          <w:szCs w:val="22"/>
        </w:rPr>
        <w:t>to a few cities on the coasts</w:t>
      </w:r>
      <w:r w:rsidR="007D4E32">
        <w:rPr>
          <w:rFonts w:ascii="Calibri" w:hAnsi="Calibri"/>
          <w:color w:val="000000"/>
          <w:sz w:val="22"/>
          <w:szCs w:val="22"/>
        </w:rPr>
        <w:t>.</w:t>
      </w:r>
      <w:r w:rsidR="00731424">
        <w:rPr>
          <w:rStyle w:val="EndnoteReference"/>
          <w:rFonts w:ascii="Calibri" w:hAnsi="Calibri"/>
          <w:color w:val="000000"/>
          <w:sz w:val="22"/>
          <w:szCs w:val="22"/>
        </w:rPr>
        <w:endnoteReference w:id="23"/>
      </w:r>
    </w:p>
    <w:p w14:paraId="72F4E70F" w14:textId="77777777" w:rsidR="008554E7" w:rsidRDefault="008554E7" w:rsidP="000A0847">
      <w:pPr>
        <w:pStyle w:val="NormalWeb"/>
        <w:rPr>
          <w:rFonts w:ascii="Calibri" w:hAnsi="Calibri"/>
          <w:color w:val="000000"/>
          <w:sz w:val="22"/>
          <w:szCs w:val="22"/>
        </w:rPr>
      </w:pPr>
    </w:p>
    <w:p w14:paraId="38512C01" w14:textId="4227EC3E" w:rsidR="00F5324E" w:rsidRDefault="00232179" w:rsidP="000A0847">
      <w:pPr>
        <w:pStyle w:val="NormalWeb"/>
        <w:rPr>
          <w:rFonts w:ascii="Calibri" w:hAnsi="Calibri"/>
          <w:color w:val="000000"/>
          <w:sz w:val="22"/>
          <w:szCs w:val="22"/>
        </w:rPr>
      </w:pPr>
      <w:r>
        <w:rPr>
          <w:rFonts w:ascii="Calibri" w:hAnsi="Calibri"/>
          <w:color w:val="000000"/>
          <w:sz w:val="22"/>
          <w:szCs w:val="22"/>
        </w:rPr>
        <w:t xml:space="preserve">Second, </w:t>
      </w:r>
      <w:r w:rsidR="008554E7">
        <w:rPr>
          <w:rFonts w:ascii="Calibri" w:hAnsi="Calibri"/>
          <w:color w:val="000000"/>
          <w:sz w:val="22"/>
          <w:szCs w:val="22"/>
        </w:rPr>
        <w:t xml:space="preserve">stark regional inequalities </w:t>
      </w:r>
      <w:r w:rsidR="00701703">
        <w:rPr>
          <w:rFonts w:ascii="Calibri" w:hAnsi="Calibri"/>
          <w:color w:val="000000"/>
          <w:sz w:val="22"/>
          <w:szCs w:val="22"/>
        </w:rPr>
        <w:t>likely</w:t>
      </w:r>
      <w:r w:rsidR="008554E7">
        <w:rPr>
          <w:rFonts w:ascii="Calibri" w:hAnsi="Calibri"/>
          <w:color w:val="000000"/>
          <w:sz w:val="22"/>
          <w:szCs w:val="22"/>
        </w:rPr>
        <w:t xml:space="preserve"> </w:t>
      </w:r>
      <w:r w:rsidR="0068492F">
        <w:rPr>
          <w:rFonts w:ascii="Calibri" w:hAnsi="Calibri"/>
          <w:color w:val="000000"/>
          <w:sz w:val="22"/>
          <w:szCs w:val="22"/>
        </w:rPr>
        <w:t xml:space="preserve">reflect </w:t>
      </w:r>
      <w:r w:rsidR="00701703">
        <w:rPr>
          <w:rFonts w:ascii="Calibri" w:hAnsi="Calibri"/>
          <w:color w:val="000000"/>
          <w:sz w:val="22"/>
          <w:szCs w:val="22"/>
        </w:rPr>
        <w:t xml:space="preserve">more than </w:t>
      </w:r>
      <w:r w:rsidR="008554E7">
        <w:rPr>
          <w:rFonts w:ascii="Calibri" w:hAnsi="Calibri"/>
          <w:color w:val="000000"/>
          <w:sz w:val="22"/>
          <w:szCs w:val="22"/>
        </w:rPr>
        <w:t xml:space="preserve">market forces alone. </w:t>
      </w:r>
      <w:r w:rsidR="00C0042A">
        <w:rPr>
          <w:rFonts w:ascii="Calibri" w:hAnsi="Calibri"/>
          <w:color w:val="000000"/>
          <w:sz w:val="22"/>
          <w:szCs w:val="22"/>
        </w:rPr>
        <w:t>Institutions that shape a regional economy’s ability to use and develop its resources</w:t>
      </w:r>
      <w:r w:rsidR="00114800">
        <w:rPr>
          <w:rFonts w:ascii="Calibri" w:hAnsi="Calibri"/>
          <w:color w:val="000000"/>
          <w:sz w:val="22"/>
          <w:szCs w:val="22"/>
        </w:rPr>
        <w:t>—</w:t>
      </w:r>
      <w:r w:rsidR="00C0042A">
        <w:rPr>
          <w:rFonts w:ascii="Calibri" w:hAnsi="Calibri"/>
          <w:color w:val="000000"/>
          <w:sz w:val="22"/>
          <w:szCs w:val="22"/>
        </w:rPr>
        <w:t>governments, universities, civic organizations, banks, and the like—help determine its potential for growth. Over time, economically underperforming region</w:t>
      </w:r>
      <w:r w:rsidR="00114800">
        <w:rPr>
          <w:rFonts w:ascii="Calibri" w:hAnsi="Calibri"/>
          <w:color w:val="000000"/>
          <w:sz w:val="22"/>
          <w:szCs w:val="22"/>
        </w:rPr>
        <w:t>s</w:t>
      </w:r>
      <w:r w:rsidR="00C0042A">
        <w:rPr>
          <w:rFonts w:ascii="Calibri" w:hAnsi="Calibri"/>
          <w:color w:val="000000"/>
          <w:sz w:val="22"/>
          <w:szCs w:val="22"/>
        </w:rPr>
        <w:t xml:space="preserve"> can see the </w:t>
      </w:r>
      <w:r w:rsidR="00114800">
        <w:rPr>
          <w:rFonts w:ascii="Calibri" w:hAnsi="Calibri"/>
          <w:color w:val="000000"/>
          <w:sz w:val="22"/>
          <w:szCs w:val="22"/>
        </w:rPr>
        <w:t xml:space="preserve">quality of their institutions deteriorate, and thus experience what </w:t>
      </w:r>
      <w:r w:rsidR="00682AF7">
        <w:rPr>
          <w:rFonts w:ascii="Calibri" w:hAnsi="Calibri"/>
          <w:color w:val="000000"/>
          <w:sz w:val="22"/>
          <w:szCs w:val="22"/>
        </w:rPr>
        <w:t xml:space="preserve">economist </w:t>
      </w:r>
      <w:r w:rsidR="00114800">
        <w:rPr>
          <w:rFonts w:ascii="Calibri" w:hAnsi="Calibri"/>
          <w:color w:val="000000"/>
          <w:sz w:val="22"/>
          <w:szCs w:val="22"/>
        </w:rPr>
        <w:t xml:space="preserve">Thomas </w:t>
      </w:r>
      <w:proofErr w:type="spellStart"/>
      <w:r w:rsidR="00114800">
        <w:rPr>
          <w:rFonts w:ascii="Calibri" w:hAnsi="Calibri"/>
          <w:color w:val="000000"/>
          <w:sz w:val="22"/>
          <w:szCs w:val="22"/>
        </w:rPr>
        <w:t>Farole</w:t>
      </w:r>
      <w:proofErr w:type="spellEnd"/>
      <w:r w:rsidR="00114800">
        <w:rPr>
          <w:rFonts w:ascii="Calibri" w:hAnsi="Calibri"/>
          <w:color w:val="000000"/>
          <w:sz w:val="22"/>
          <w:szCs w:val="22"/>
        </w:rPr>
        <w:t xml:space="preserve"> and his colleagues term “durable underdevelopment.”</w:t>
      </w:r>
      <w:r w:rsidR="00731424">
        <w:rPr>
          <w:rStyle w:val="EndnoteReference"/>
          <w:rFonts w:ascii="Calibri" w:hAnsi="Calibri"/>
          <w:color w:val="000000"/>
          <w:sz w:val="22"/>
          <w:szCs w:val="22"/>
        </w:rPr>
        <w:endnoteReference w:id="24"/>
      </w:r>
      <w:r w:rsidR="00114800">
        <w:rPr>
          <w:rFonts w:ascii="Calibri" w:hAnsi="Calibri"/>
          <w:color w:val="000000"/>
          <w:sz w:val="22"/>
          <w:szCs w:val="22"/>
        </w:rPr>
        <w:t xml:space="preserve"> </w:t>
      </w:r>
      <w:r>
        <w:rPr>
          <w:rFonts w:ascii="Calibri" w:hAnsi="Calibri"/>
          <w:color w:val="000000"/>
          <w:sz w:val="22"/>
          <w:szCs w:val="22"/>
        </w:rPr>
        <w:t xml:space="preserve">Examining </w:t>
      </w:r>
      <w:r w:rsidR="00114800">
        <w:rPr>
          <w:rFonts w:ascii="Calibri" w:hAnsi="Calibri"/>
          <w:color w:val="000000"/>
          <w:sz w:val="22"/>
          <w:szCs w:val="22"/>
        </w:rPr>
        <w:t>the case of the European Union</w:t>
      </w:r>
      <w:r w:rsidR="0097572D">
        <w:rPr>
          <w:rFonts w:ascii="Calibri" w:hAnsi="Calibri"/>
          <w:color w:val="000000"/>
          <w:sz w:val="22"/>
          <w:szCs w:val="22"/>
        </w:rPr>
        <w:t xml:space="preserve"> (EU)</w:t>
      </w:r>
      <w:r w:rsidR="00114800">
        <w:rPr>
          <w:rFonts w:ascii="Calibri" w:hAnsi="Calibri"/>
          <w:color w:val="000000"/>
          <w:sz w:val="22"/>
          <w:szCs w:val="22"/>
        </w:rPr>
        <w:t xml:space="preserve">, </w:t>
      </w:r>
      <w:proofErr w:type="spellStart"/>
      <w:r>
        <w:rPr>
          <w:rFonts w:ascii="Calibri" w:hAnsi="Calibri"/>
          <w:color w:val="000000"/>
          <w:sz w:val="22"/>
          <w:szCs w:val="22"/>
        </w:rPr>
        <w:t>Farole</w:t>
      </w:r>
      <w:proofErr w:type="spellEnd"/>
      <w:r>
        <w:rPr>
          <w:rFonts w:ascii="Calibri" w:hAnsi="Calibri"/>
          <w:color w:val="000000"/>
          <w:sz w:val="22"/>
          <w:szCs w:val="22"/>
        </w:rPr>
        <w:t xml:space="preserve"> and co-authors </w:t>
      </w:r>
      <w:r w:rsidR="00114800">
        <w:rPr>
          <w:rFonts w:ascii="Calibri" w:hAnsi="Calibri"/>
          <w:color w:val="000000"/>
          <w:sz w:val="22"/>
          <w:szCs w:val="22"/>
        </w:rPr>
        <w:t xml:space="preserve">recommend interventions to improve capacities in </w:t>
      </w:r>
      <w:r w:rsidR="0097572D">
        <w:rPr>
          <w:rFonts w:ascii="Calibri" w:hAnsi="Calibri"/>
          <w:color w:val="000000"/>
          <w:sz w:val="22"/>
          <w:szCs w:val="22"/>
        </w:rPr>
        <w:t xml:space="preserve">lagging metropolitan </w:t>
      </w:r>
      <w:r w:rsidR="00114800">
        <w:rPr>
          <w:rFonts w:ascii="Calibri" w:hAnsi="Calibri"/>
          <w:color w:val="000000"/>
          <w:sz w:val="22"/>
          <w:szCs w:val="22"/>
        </w:rPr>
        <w:t xml:space="preserve">regions through policies that support innovation, connection to larger regions, institutional modernization, and even targeted sectors. </w:t>
      </w:r>
      <w:r w:rsidR="00701703">
        <w:rPr>
          <w:rFonts w:ascii="Calibri" w:hAnsi="Calibri"/>
          <w:color w:val="000000"/>
          <w:sz w:val="22"/>
          <w:szCs w:val="22"/>
        </w:rPr>
        <w:t>T</w:t>
      </w:r>
      <w:r w:rsidR="00114800">
        <w:rPr>
          <w:rFonts w:ascii="Calibri" w:hAnsi="Calibri"/>
          <w:color w:val="000000"/>
          <w:sz w:val="22"/>
          <w:szCs w:val="22"/>
        </w:rPr>
        <w:t xml:space="preserve">hey </w:t>
      </w:r>
      <w:r w:rsidR="0097572D">
        <w:rPr>
          <w:rFonts w:ascii="Calibri" w:hAnsi="Calibri"/>
          <w:color w:val="000000"/>
          <w:sz w:val="22"/>
          <w:szCs w:val="22"/>
        </w:rPr>
        <w:t xml:space="preserve">justify such interventions </w:t>
      </w:r>
      <w:r w:rsidR="0068492F">
        <w:rPr>
          <w:rFonts w:ascii="Calibri" w:hAnsi="Calibri"/>
          <w:color w:val="000000"/>
          <w:sz w:val="22"/>
          <w:szCs w:val="22"/>
        </w:rPr>
        <w:t xml:space="preserve">partly on the basis of </w:t>
      </w:r>
      <w:r w:rsidR="0097572D">
        <w:rPr>
          <w:rFonts w:ascii="Calibri" w:hAnsi="Calibri"/>
          <w:color w:val="000000"/>
          <w:sz w:val="22"/>
          <w:szCs w:val="22"/>
        </w:rPr>
        <w:t>the EU</w:t>
      </w:r>
      <w:r w:rsidR="0068492F">
        <w:rPr>
          <w:rFonts w:ascii="Calibri" w:hAnsi="Calibri"/>
          <w:color w:val="000000"/>
          <w:sz w:val="22"/>
          <w:szCs w:val="22"/>
        </w:rPr>
        <w:t>’s</w:t>
      </w:r>
      <w:r w:rsidR="0097572D">
        <w:rPr>
          <w:rFonts w:ascii="Calibri" w:hAnsi="Calibri"/>
          <w:color w:val="000000"/>
          <w:sz w:val="22"/>
          <w:szCs w:val="22"/>
        </w:rPr>
        <w:t xml:space="preserve"> relatively low degree of labor mobility, </w:t>
      </w:r>
      <w:r w:rsidR="00F5324E">
        <w:rPr>
          <w:rFonts w:ascii="Calibri" w:hAnsi="Calibri"/>
          <w:color w:val="000000"/>
          <w:sz w:val="22"/>
          <w:szCs w:val="22"/>
        </w:rPr>
        <w:t>which may inhibit the redistributio</w:t>
      </w:r>
      <w:r w:rsidR="00701703">
        <w:rPr>
          <w:rFonts w:ascii="Calibri" w:hAnsi="Calibri"/>
          <w:color w:val="000000"/>
          <w:sz w:val="22"/>
          <w:szCs w:val="22"/>
        </w:rPr>
        <w:t>n of these capacities over time. But</w:t>
      </w:r>
      <w:r w:rsidR="0068492F">
        <w:rPr>
          <w:rFonts w:ascii="Calibri" w:hAnsi="Calibri"/>
          <w:color w:val="000000"/>
          <w:sz w:val="22"/>
          <w:szCs w:val="22"/>
        </w:rPr>
        <w:t xml:space="preserve"> </w:t>
      </w:r>
      <w:r w:rsidR="00701703">
        <w:rPr>
          <w:rFonts w:ascii="Calibri" w:hAnsi="Calibri"/>
          <w:color w:val="000000"/>
          <w:sz w:val="22"/>
          <w:szCs w:val="22"/>
        </w:rPr>
        <w:t xml:space="preserve">similar </w:t>
      </w:r>
      <w:r w:rsidR="0068492F">
        <w:rPr>
          <w:rFonts w:ascii="Calibri" w:hAnsi="Calibri"/>
          <w:color w:val="000000"/>
          <w:sz w:val="22"/>
          <w:szCs w:val="22"/>
        </w:rPr>
        <w:t xml:space="preserve">place-based interventions </w:t>
      </w:r>
      <w:r w:rsidR="00973B59">
        <w:rPr>
          <w:rFonts w:ascii="Calibri" w:hAnsi="Calibri"/>
          <w:color w:val="000000"/>
          <w:sz w:val="22"/>
          <w:szCs w:val="22"/>
        </w:rPr>
        <w:t>arguably</w:t>
      </w:r>
      <w:r w:rsidR="0068492F">
        <w:rPr>
          <w:rFonts w:ascii="Calibri" w:hAnsi="Calibri"/>
          <w:color w:val="000000"/>
          <w:sz w:val="22"/>
          <w:szCs w:val="22"/>
        </w:rPr>
        <w:t xml:space="preserve"> make sense for a decreasingly mobile </w:t>
      </w:r>
      <w:r>
        <w:rPr>
          <w:rFonts w:ascii="Calibri" w:hAnsi="Calibri"/>
          <w:color w:val="000000"/>
          <w:sz w:val="22"/>
          <w:szCs w:val="22"/>
        </w:rPr>
        <w:t>U.S. population</w:t>
      </w:r>
      <w:r w:rsidR="0068492F">
        <w:rPr>
          <w:rFonts w:ascii="Calibri" w:hAnsi="Calibri"/>
          <w:color w:val="000000"/>
          <w:sz w:val="22"/>
          <w:szCs w:val="22"/>
        </w:rPr>
        <w:t xml:space="preserve"> as well.</w:t>
      </w:r>
    </w:p>
    <w:p w14:paraId="1D11E67A" w14:textId="77777777" w:rsidR="0068492F" w:rsidRDefault="0068492F" w:rsidP="000A0847">
      <w:pPr>
        <w:pStyle w:val="NormalWeb"/>
        <w:rPr>
          <w:rFonts w:ascii="Calibri" w:hAnsi="Calibri"/>
          <w:color w:val="000000"/>
          <w:sz w:val="22"/>
          <w:szCs w:val="22"/>
        </w:rPr>
      </w:pPr>
    </w:p>
    <w:p w14:paraId="52C38E11" w14:textId="2F06E33D" w:rsidR="00F5324E" w:rsidRDefault="00F5324E" w:rsidP="000A0847">
      <w:pPr>
        <w:pStyle w:val="NormalWeb"/>
        <w:rPr>
          <w:rFonts w:ascii="Calibri" w:hAnsi="Calibri"/>
          <w:color w:val="000000"/>
          <w:sz w:val="22"/>
          <w:szCs w:val="22"/>
        </w:rPr>
      </w:pPr>
      <w:r>
        <w:rPr>
          <w:rFonts w:ascii="Calibri" w:hAnsi="Calibri"/>
          <w:color w:val="000000"/>
          <w:sz w:val="22"/>
          <w:szCs w:val="22"/>
        </w:rPr>
        <w:t xml:space="preserve">Third, </w:t>
      </w:r>
      <w:r w:rsidR="00232179">
        <w:rPr>
          <w:rFonts w:ascii="Calibri" w:hAnsi="Calibri"/>
          <w:color w:val="000000"/>
          <w:sz w:val="22"/>
          <w:szCs w:val="22"/>
        </w:rPr>
        <w:t>a growing body of evidence indicates that economic growth can occur in parallel with reductions in regional inequality. A</w:t>
      </w:r>
      <w:r>
        <w:rPr>
          <w:rFonts w:ascii="Calibri" w:hAnsi="Calibri"/>
          <w:color w:val="000000"/>
          <w:sz w:val="22"/>
          <w:szCs w:val="22"/>
        </w:rPr>
        <w:t xml:space="preserve">lthough some </w:t>
      </w:r>
      <w:r w:rsidR="00232179">
        <w:rPr>
          <w:rFonts w:ascii="Calibri" w:hAnsi="Calibri"/>
          <w:color w:val="000000"/>
          <w:sz w:val="22"/>
          <w:szCs w:val="22"/>
        </w:rPr>
        <w:t xml:space="preserve">models of </w:t>
      </w:r>
      <w:r>
        <w:rPr>
          <w:rFonts w:ascii="Calibri" w:hAnsi="Calibri"/>
          <w:color w:val="000000"/>
          <w:sz w:val="22"/>
          <w:szCs w:val="22"/>
        </w:rPr>
        <w:t xml:space="preserve">economic growth imply a trade-off between addressing regional inequalities and aggregate economic growth, </w:t>
      </w:r>
      <w:r w:rsidR="00232179">
        <w:rPr>
          <w:rFonts w:ascii="Calibri" w:hAnsi="Calibri"/>
          <w:color w:val="000000"/>
          <w:sz w:val="22"/>
          <w:szCs w:val="22"/>
        </w:rPr>
        <w:t>r</w:t>
      </w:r>
      <w:r>
        <w:rPr>
          <w:rFonts w:ascii="Calibri" w:hAnsi="Calibri"/>
          <w:color w:val="000000"/>
          <w:sz w:val="22"/>
          <w:szCs w:val="22"/>
        </w:rPr>
        <w:t>ecent research shows no relationship between the share of population in very large citi</w:t>
      </w:r>
      <w:r w:rsidR="009620DF">
        <w:rPr>
          <w:rFonts w:ascii="Calibri" w:hAnsi="Calibri"/>
          <w:color w:val="000000"/>
          <w:sz w:val="22"/>
          <w:szCs w:val="22"/>
        </w:rPr>
        <w:t xml:space="preserve">es and overall economic growth in high-income OECD countries, particularly </w:t>
      </w:r>
      <w:r w:rsidR="00973B59">
        <w:rPr>
          <w:rFonts w:ascii="Calibri" w:hAnsi="Calibri"/>
          <w:color w:val="000000"/>
          <w:sz w:val="22"/>
          <w:szCs w:val="22"/>
        </w:rPr>
        <w:t xml:space="preserve">in </w:t>
      </w:r>
      <w:r w:rsidR="009620DF">
        <w:rPr>
          <w:rFonts w:ascii="Calibri" w:hAnsi="Calibri"/>
          <w:color w:val="000000"/>
          <w:sz w:val="22"/>
          <w:szCs w:val="22"/>
        </w:rPr>
        <w:t xml:space="preserve">those </w:t>
      </w:r>
      <w:r w:rsidR="00973B59">
        <w:rPr>
          <w:rFonts w:ascii="Calibri" w:hAnsi="Calibri"/>
          <w:color w:val="000000"/>
          <w:sz w:val="22"/>
          <w:szCs w:val="22"/>
        </w:rPr>
        <w:t xml:space="preserve">countries like the United States </w:t>
      </w:r>
      <w:r w:rsidR="009620DF">
        <w:rPr>
          <w:rFonts w:ascii="Calibri" w:hAnsi="Calibri"/>
          <w:color w:val="000000"/>
          <w:sz w:val="22"/>
          <w:szCs w:val="22"/>
        </w:rPr>
        <w:t>that also exhibit high income inequality.</w:t>
      </w:r>
      <w:r w:rsidR="00731424">
        <w:rPr>
          <w:rStyle w:val="EndnoteReference"/>
          <w:rFonts w:ascii="Calibri" w:hAnsi="Calibri"/>
          <w:color w:val="000000"/>
          <w:sz w:val="22"/>
          <w:szCs w:val="22"/>
        </w:rPr>
        <w:endnoteReference w:id="25"/>
      </w:r>
      <w:r w:rsidR="009620DF">
        <w:rPr>
          <w:rFonts w:ascii="Calibri" w:hAnsi="Calibri"/>
          <w:color w:val="000000"/>
          <w:sz w:val="22"/>
          <w:szCs w:val="22"/>
        </w:rPr>
        <w:t xml:space="preserve"> </w:t>
      </w:r>
      <w:r w:rsidR="00973B59">
        <w:rPr>
          <w:rFonts w:ascii="Calibri" w:hAnsi="Calibri"/>
          <w:color w:val="000000"/>
          <w:sz w:val="22"/>
          <w:szCs w:val="22"/>
        </w:rPr>
        <w:t>M</w:t>
      </w:r>
      <w:r w:rsidR="005A3B09">
        <w:rPr>
          <w:rFonts w:ascii="Calibri" w:hAnsi="Calibri"/>
          <w:color w:val="000000"/>
          <w:sz w:val="22"/>
          <w:szCs w:val="22"/>
        </w:rPr>
        <w:t xml:space="preserve">ajor </w:t>
      </w:r>
      <w:r w:rsidR="0068492F">
        <w:rPr>
          <w:rFonts w:ascii="Calibri" w:hAnsi="Calibri"/>
          <w:color w:val="000000"/>
          <w:sz w:val="22"/>
          <w:szCs w:val="22"/>
        </w:rPr>
        <w:t xml:space="preserve">public </w:t>
      </w:r>
      <w:r w:rsidR="005A3B09">
        <w:rPr>
          <w:rFonts w:ascii="Calibri" w:hAnsi="Calibri"/>
          <w:color w:val="000000"/>
          <w:sz w:val="22"/>
          <w:szCs w:val="22"/>
        </w:rPr>
        <w:t xml:space="preserve">interventions like the advent of the Tennessee Valley Authority, the </w:t>
      </w:r>
      <w:r w:rsidR="00D0446C">
        <w:rPr>
          <w:rFonts w:ascii="Calibri" w:hAnsi="Calibri"/>
          <w:color w:val="000000"/>
          <w:sz w:val="22"/>
          <w:szCs w:val="22"/>
        </w:rPr>
        <w:t>siting</w:t>
      </w:r>
      <w:r w:rsidR="005A3B09">
        <w:rPr>
          <w:rFonts w:ascii="Calibri" w:hAnsi="Calibri"/>
          <w:color w:val="000000"/>
          <w:sz w:val="22"/>
          <w:szCs w:val="22"/>
        </w:rPr>
        <w:t xml:space="preserve"> of the Centers for Disease Control in Atlanta, and the creation of Research Triangle Park in Raleigh-Durham </w:t>
      </w:r>
      <w:r w:rsidR="00973B59">
        <w:rPr>
          <w:rFonts w:ascii="Calibri" w:hAnsi="Calibri"/>
          <w:color w:val="000000"/>
          <w:sz w:val="22"/>
          <w:szCs w:val="22"/>
        </w:rPr>
        <w:t>contributed significantly</w:t>
      </w:r>
      <w:r w:rsidR="005A3B09">
        <w:rPr>
          <w:rFonts w:ascii="Calibri" w:hAnsi="Calibri"/>
          <w:color w:val="000000"/>
          <w:sz w:val="22"/>
          <w:szCs w:val="22"/>
        </w:rPr>
        <w:t xml:space="preserve"> to the </w:t>
      </w:r>
      <w:r w:rsidR="00973B59">
        <w:rPr>
          <w:rFonts w:ascii="Calibri" w:hAnsi="Calibri"/>
          <w:color w:val="000000"/>
          <w:sz w:val="22"/>
          <w:szCs w:val="22"/>
        </w:rPr>
        <w:t xml:space="preserve">South’s </w:t>
      </w:r>
      <w:r w:rsidR="005A3B09">
        <w:rPr>
          <w:rFonts w:ascii="Calibri" w:hAnsi="Calibri"/>
          <w:color w:val="000000"/>
          <w:sz w:val="22"/>
          <w:szCs w:val="22"/>
        </w:rPr>
        <w:t xml:space="preserve">catch-up in living standards </w:t>
      </w:r>
      <w:r w:rsidR="00973B59">
        <w:rPr>
          <w:rFonts w:ascii="Calibri" w:hAnsi="Calibri"/>
          <w:color w:val="000000"/>
          <w:sz w:val="22"/>
          <w:szCs w:val="22"/>
        </w:rPr>
        <w:t xml:space="preserve">during a period of robust national economic growth in </w:t>
      </w:r>
      <w:r w:rsidR="005A3B09">
        <w:rPr>
          <w:rFonts w:ascii="Calibri" w:hAnsi="Calibri"/>
          <w:color w:val="000000"/>
          <w:sz w:val="22"/>
          <w:szCs w:val="22"/>
        </w:rPr>
        <w:t>the twentieth century.</w:t>
      </w:r>
    </w:p>
    <w:p w14:paraId="332E0169" w14:textId="77777777" w:rsidR="009620DF" w:rsidRDefault="009620DF" w:rsidP="000A0847">
      <w:pPr>
        <w:pStyle w:val="NormalWeb"/>
        <w:rPr>
          <w:rFonts w:ascii="Calibri" w:hAnsi="Calibri"/>
          <w:color w:val="000000"/>
          <w:sz w:val="22"/>
          <w:szCs w:val="22"/>
        </w:rPr>
      </w:pPr>
    </w:p>
    <w:p w14:paraId="06F8EDD1" w14:textId="6B6D7E20" w:rsidR="009620DF" w:rsidRDefault="00232179" w:rsidP="000A0847">
      <w:pPr>
        <w:pStyle w:val="NormalWeb"/>
        <w:rPr>
          <w:rFonts w:ascii="Calibri" w:hAnsi="Calibri"/>
          <w:color w:val="000000"/>
          <w:sz w:val="22"/>
          <w:szCs w:val="22"/>
        </w:rPr>
      </w:pPr>
      <w:r>
        <w:rPr>
          <w:rFonts w:ascii="Calibri" w:hAnsi="Calibri"/>
          <w:color w:val="000000"/>
          <w:sz w:val="22"/>
          <w:szCs w:val="22"/>
        </w:rPr>
        <w:t>Fourth</w:t>
      </w:r>
      <w:r w:rsidR="009620DF">
        <w:rPr>
          <w:rFonts w:ascii="Calibri" w:hAnsi="Calibri"/>
          <w:color w:val="000000"/>
          <w:sz w:val="22"/>
          <w:szCs w:val="22"/>
        </w:rPr>
        <w:t xml:space="preserve">, regional inequalities in the United States today </w:t>
      </w:r>
      <w:r w:rsidR="009A7DA9">
        <w:rPr>
          <w:rFonts w:ascii="Calibri" w:hAnsi="Calibri"/>
          <w:color w:val="000000"/>
          <w:sz w:val="22"/>
          <w:szCs w:val="22"/>
        </w:rPr>
        <w:t xml:space="preserve">have undoubtedly </w:t>
      </w:r>
      <w:r w:rsidR="00B25DEB">
        <w:rPr>
          <w:rFonts w:ascii="Calibri" w:hAnsi="Calibri"/>
          <w:color w:val="000000"/>
          <w:sz w:val="22"/>
          <w:szCs w:val="22"/>
        </w:rPr>
        <w:t xml:space="preserve">deepened </w:t>
      </w:r>
      <w:r w:rsidR="009A7DA9">
        <w:rPr>
          <w:rFonts w:ascii="Calibri" w:hAnsi="Calibri"/>
          <w:color w:val="000000"/>
          <w:sz w:val="22"/>
          <w:szCs w:val="22"/>
        </w:rPr>
        <w:t xml:space="preserve">political </w:t>
      </w:r>
      <w:r>
        <w:rPr>
          <w:rFonts w:ascii="Calibri" w:hAnsi="Calibri"/>
          <w:color w:val="000000"/>
          <w:sz w:val="22"/>
          <w:szCs w:val="22"/>
        </w:rPr>
        <w:t>divisions that threaten</w:t>
      </w:r>
      <w:r w:rsidR="009A7DA9">
        <w:rPr>
          <w:rFonts w:ascii="Calibri" w:hAnsi="Calibri"/>
          <w:color w:val="000000"/>
          <w:sz w:val="22"/>
          <w:szCs w:val="22"/>
        </w:rPr>
        <w:t xml:space="preserve"> </w:t>
      </w:r>
      <w:r w:rsidR="00B25DEB">
        <w:rPr>
          <w:rFonts w:ascii="Calibri" w:hAnsi="Calibri"/>
          <w:color w:val="000000"/>
          <w:sz w:val="22"/>
          <w:szCs w:val="22"/>
        </w:rPr>
        <w:t>America’s social cohesion and democratic institutions</w:t>
      </w:r>
      <w:r w:rsidR="009A7DA9">
        <w:rPr>
          <w:rFonts w:ascii="Calibri" w:hAnsi="Calibri"/>
          <w:color w:val="000000"/>
          <w:sz w:val="22"/>
          <w:szCs w:val="22"/>
        </w:rPr>
        <w:t xml:space="preserve">. As </w:t>
      </w:r>
      <w:r w:rsidR="00682AF7">
        <w:rPr>
          <w:rFonts w:ascii="Calibri" w:hAnsi="Calibri"/>
          <w:color w:val="000000"/>
          <w:sz w:val="22"/>
          <w:szCs w:val="22"/>
        </w:rPr>
        <w:t xml:space="preserve">economist </w:t>
      </w:r>
      <w:r w:rsidR="009A7DA9">
        <w:rPr>
          <w:rFonts w:ascii="Calibri" w:hAnsi="Calibri"/>
          <w:color w:val="000000"/>
          <w:sz w:val="22"/>
          <w:szCs w:val="22"/>
        </w:rPr>
        <w:t>Benjamin Friedman observes, the moments in modern history when growth was not widely shared were precisely those times when political and social progress stalled.</w:t>
      </w:r>
      <w:r w:rsidR="00682AF7">
        <w:rPr>
          <w:rStyle w:val="EndnoteReference"/>
          <w:rFonts w:ascii="Calibri" w:hAnsi="Calibri"/>
          <w:color w:val="000000"/>
          <w:sz w:val="22"/>
          <w:szCs w:val="22"/>
        </w:rPr>
        <w:endnoteReference w:id="26"/>
      </w:r>
      <w:r w:rsidR="009A7DA9">
        <w:rPr>
          <w:rFonts w:ascii="Calibri" w:hAnsi="Calibri"/>
          <w:color w:val="000000"/>
          <w:sz w:val="22"/>
          <w:szCs w:val="22"/>
        </w:rPr>
        <w:t xml:space="preserve"> </w:t>
      </w:r>
      <w:r w:rsidR="00241307">
        <w:rPr>
          <w:rFonts w:ascii="Calibri" w:hAnsi="Calibri"/>
          <w:color w:val="000000"/>
          <w:sz w:val="22"/>
          <w:szCs w:val="22"/>
        </w:rPr>
        <w:t>Growing inequality and a</w:t>
      </w:r>
      <w:r w:rsidR="009A7DA9">
        <w:rPr>
          <w:rFonts w:ascii="Calibri" w:hAnsi="Calibri"/>
          <w:color w:val="000000"/>
          <w:sz w:val="22"/>
          <w:szCs w:val="22"/>
        </w:rPr>
        <w:t xml:space="preserve"> lack of overarching economic possibility and opportu</w:t>
      </w:r>
      <w:r>
        <w:rPr>
          <w:rFonts w:ascii="Calibri" w:hAnsi="Calibri"/>
          <w:color w:val="000000"/>
          <w:sz w:val="22"/>
          <w:szCs w:val="22"/>
        </w:rPr>
        <w:t xml:space="preserve">nity in many of our communities has provided fertile ground for growing resentment across racial, </w:t>
      </w:r>
      <w:r w:rsidR="00241307">
        <w:rPr>
          <w:rFonts w:ascii="Calibri" w:hAnsi="Calibri"/>
          <w:color w:val="000000"/>
          <w:sz w:val="22"/>
          <w:szCs w:val="22"/>
        </w:rPr>
        <w:t>ethnic, class, and geographic lines</w:t>
      </w:r>
      <w:r w:rsidR="009A7DA9">
        <w:rPr>
          <w:rFonts w:ascii="Calibri" w:hAnsi="Calibri"/>
          <w:color w:val="000000"/>
          <w:sz w:val="22"/>
          <w:szCs w:val="22"/>
        </w:rPr>
        <w:t>.</w:t>
      </w:r>
      <w:r w:rsidR="00241307">
        <w:rPr>
          <w:rStyle w:val="EndnoteReference"/>
          <w:rFonts w:ascii="Calibri" w:hAnsi="Calibri"/>
          <w:color w:val="000000"/>
          <w:sz w:val="22"/>
          <w:szCs w:val="22"/>
        </w:rPr>
        <w:endnoteReference w:id="27"/>
      </w:r>
      <w:r w:rsidR="009A7DA9">
        <w:rPr>
          <w:rFonts w:ascii="Calibri" w:hAnsi="Calibri"/>
          <w:color w:val="000000"/>
          <w:sz w:val="22"/>
          <w:szCs w:val="22"/>
        </w:rPr>
        <w:t xml:space="preserve"> </w:t>
      </w:r>
      <w:r w:rsidR="00241307">
        <w:rPr>
          <w:rFonts w:ascii="Calibri" w:hAnsi="Calibri"/>
          <w:color w:val="000000"/>
          <w:sz w:val="22"/>
          <w:szCs w:val="22"/>
        </w:rPr>
        <w:t xml:space="preserve">The resulting </w:t>
      </w:r>
      <w:r w:rsidR="005A3B09">
        <w:rPr>
          <w:rFonts w:ascii="Calibri" w:hAnsi="Calibri"/>
          <w:color w:val="000000"/>
          <w:sz w:val="22"/>
          <w:szCs w:val="22"/>
        </w:rPr>
        <w:t xml:space="preserve">political divides have a distinctive economic geography, as the 2016 </w:t>
      </w:r>
      <w:r w:rsidR="00074942">
        <w:rPr>
          <w:rFonts w:ascii="Calibri" w:hAnsi="Calibri"/>
          <w:color w:val="000000"/>
          <w:sz w:val="22"/>
          <w:szCs w:val="22"/>
        </w:rPr>
        <w:t>Electoral College</w:t>
      </w:r>
      <w:r w:rsidR="005A3B09">
        <w:rPr>
          <w:rFonts w:ascii="Calibri" w:hAnsi="Calibri"/>
          <w:color w:val="000000"/>
          <w:sz w:val="22"/>
          <w:szCs w:val="22"/>
        </w:rPr>
        <w:t xml:space="preserve"> map clearly shows.</w:t>
      </w:r>
      <w:r w:rsidR="0042013D">
        <w:rPr>
          <w:rStyle w:val="EndnoteReference"/>
          <w:rFonts w:ascii="Calibri" w:hAnsi="Calibri"/>
          <w:color w:val="000000"/>
          <w:sz w:val="22"/>
          <w:szCs w:val="22"/>
        </w:rPr>
        <w:endnoteReference w:id="28"/>
      </w:r>
      <w:r w:rsidR="005A3B09">
        <w:rPr>
          <w:rFonts w:ascii="Calibri" w:hAnsi="Calibri"/>
          <w:color w:val="000000"/>
          <w:sz w:val="22"/>
          <w:szCs w:val="22"/>
        </w:rPr>
        <w:t xml:space="preserve"> Failing to address the increasingly uneven nature of U.S. growth may be not only economically unwise, but also democratically foolhardy.</w:t>
      </w:r>
    </w:p>
    <w:p w14:paraId="16C82825" w14:textId="77777777" w:rsidR="005A3B09" w:rsidRDefault="005A3B09" w:rsidP="000A0847">
      <w:pPr>
        <w:pStyle w:val="NormalWeb"/>
        <w:rPr>
          <w:rFonts w:ascii="Calibri" w:hAnsi="Calibri"/>
          <w:color w:val="000000"/>
          <w:sz w:val="22"/>
          <w:szCs w:val="22"/>
        </w:rPr>
      </w:pPr>
    </w:p>
    <w:p w14:paraId="17B8D648" w14:textId="7B3DAB8D" w:rsidR="005A3B09" w:rsidRPr="00161FC9" w:rsidRDefault="008A7FD0" w:rsidP="000A0847">
      <w:pPr>
        <w:pStyle w:val="NormalWeb"/>
        <w:numPr>
          <w:ilvl w:val="0"/>
          <w:numId w:val="2"/>
        </w:numPr>
        <w:rPr>
          <w:rFonts w:ascii="Calibri" w:hAnsi="Calibri"/>
          <w:color w:val="000000"/>
          <w:szCs w:val="22"/>
        </w:rPr>
      </w:pPr>
      <w:r w:rsidRPr="00161FC9">
        <w:rPr>
          <w:rFonts w:ascii="Calibri" w:hAnsi="Calibri"/>
          <w:b/>
          <w:color w:val="000000"/>
          <w:szCs w:val="22"/>
        </w:rPr>
        <w:t xml:space="preserve">Opportunity lies in </w:t>
      </w:r>
      <w:r w:rsidR="008F3712" w:rsidRPr="00161FC9">
        <w:rPr>
          <w:rFonts w:ascii="Calibri" w:hAnsi="Calibri"/>
          <w:b/>
          <w:color w:val="000000"/>
          <w:szCs w:val="22"/>
        </w:rPr>
        <w:t xml:space="preserve">older industrial </w:t>
      </w:r>
      <w:r w:rsidRPr="00161FC9">
        <w:rPr>
          <w:rFonts w:ascii="Calibri" w:hAnsi="Calibri"/>
          <w:b/>
          <w:color w:val="000000"/>
          <w:szCs w:val="22"/>
        </w:rPr>
        <w:t>cities</w:t>
      </w:r>
    </w:p>
    <w:p w14:paraId="29013C88" w14:textId="77777777" w:rsidR="008A7FD0" w:rsidRDefault="008A7FD0" w:rsidP="000A0847">
      <w:pPr>
        <w:pStyle w:val="NormalWeb"/>
        <w:rPr>
          <w:rFonts w:ascii="Calibri" w:hAnsi="Calibri"/>
          <w:color w:val="000000"/>
          <w:sz w:val="22"/>
          <w:szCs w:val="22"/>
        </w:rPr>
      </w:pPr>
    </w:p>
    <w:p w14:paraId="2F7C05F9" w14:textId="77185F32" w:rsidR="008A7FD0" w:rsidRDefault="008A7FD0" w:rsidP="000A0847">
      <w:pPr>
        <w:pStyle w:val="NormalWeb"/>
        <w:rPr>
          <w:rFonts w:ascii="Calibri" w:hAnsi="Calibri"/>
          <w:color w:val="000000"/>
          <w:sz w:val="22"/>
          <w:szCs w:val="22"/>
        </w:rPr>
      </w:pPr>
      <w:r>
        <w:rPr>
          <w:rFonts w:ascii="Calibri" w:hAnsi="Calibri"/>
          <w:color w:val="000000"/>
          <w:sz w:val="22"/>
          <w:szCs w:val="22"/>
        </w:rPr>
        <w:t xml:space="preserve">To the extent that our nation is having a public debate about regional inequality, </w:t>
      </w:r>
      <w:r w:rsidR="00682AF7">
        <w:rPr>
          <w:rFonts w:ascii="Calibri" w:hAnsi="Calibri"/>
          <w:color w:val="000000"/>
          <w:sz w:val="22"/>
          <w:szCs w:val="22"/>
        </w:rPr>
        <w:t>participants frame it</w:t>
      </w:r>
      <w:r>
        <w:rPr>
          <w:rFonts w:ascii="Calibri" w:hAnsi="Calibri"/>
          <w:color w:val="000000"/>
          <w:sz w:val="22"/>
          <w:szCs w:val="22"/>
        </w:rPr>
        <w:t xml:space="preserve"> largely around the plight of rural areas. This is understandable. Small and remote areas have indeed struggled the most in the post-recession period to regain jobs and income. They inspire inquiry, too, because they were the epicenter of </w:t>
      </w:r>
      <w:r w:rsidR="0068492F">
        <w:rPr>
          <w:rFonts w:ascii="Calibri" w:hAnsi="Calibri"/>
          <w:color w:val="000000"/>
          <w:sz w:val="22"/>
          <w:szCs w:val="22"/>
        </w:rPr>
        <w:t>the</w:t>
      </w:r>
      <w:r>
        <w:rPr>
          <w:rFonts w:ascii="Calibri" w:hAnsi="Calibri"/>
          <w:color w:val="000000"/>
          <w:sz w:val="22"/>
          <w:szCs w:val="22"/>
        </w:rPr>
        <w:t xml:space="preserve"> unanticipated political earthquake that brought Donald Trump to the White House in late 2016. </w:t>
      </w:r>
      <w:r w:rsidR="00E86688">
        <w:rPr>
          <w:rFonts w:ascii="Calibri" w:hAnsi="Calibri"/>
          <w:color w:val="000000"/>
          <w:sz w:val="22"/>
          <w:szCs w:val="22"/>
        </w:rPr>
        <w:t xml:space="preserve">Questions of what we </w:t>
      </w:r>
      <w:r w:rsidR="00241307">
        <w:rPr>
          <w:rFonts w:ascii="Calibri" w:hAnsi="Calibri"/>
          <w:color w:val="000000"/>
          <w:sz w:val="22"/>
          <w:szCs w:val="22"/>
        </w:rPr>
        <w:t>can</w:t>
      </w:r>
      <w:r w:rsidR="00E86688">
        <w:rPr>
          <w:rFonts w:ascii="Calibri" w:hAnsi="Calibri"/>
          <w:color w:val="000000"/>
          <w:sz w:val="22"/>
          <w:szCs w:val="22"/>
        </w:rPr>
        <w:t xml:space="preserve"> do to revive rural America’s fortunes thus abound.</w:t>
      </w:r>
      <w:r w:rsidR="00731424">
        <w:rPr>
          <w:rStyle w:val="EndnoteReference"/>
          <w:rFonts w:ascii="Calibri" w:hAnsi="Calibri"/>
          <w:color w:val="000000"/>
          <w:sz w:val="22"/>
          <w:szCs w:val="22"/>
        </w:rPr>
        <w:endnoteReference w:id="29"/>
      </w:r>
    </w:p>
    <w:p w14:paraId="43FDEFC2" w14:textId="77777777" w:rsidR="008A7FD0" w:rsidRDefault="008A7FD0" w:rsidP="000A0847">
      <w:pPr>
        <w:pStyle w:val="NormalWeb"/>
        <w:rPr>
          <w:rFonts w:ascii="Calibri" w:hAnsi="Calibri"/>
          <w:color w:val="000000"/>
          <w:sz w:val="22"/>
          <w:szCs w:val="22"/>
        </w:rPr>
      </w:pPr>
    </w:p>
    <w:p w14:paraId="7FE3B832" w14:textId="5DCF2838" w:rsidR="008A7FD0" w:rsidRDefault="008A7FD0" w:rsidP="000A0847">
      <w:pPr>
        <w:pStyle w:val="NormalWeb"/>
        <w:rPr>
          <w:rFonts w:ascii="Calibri" w:hAnsi="Calibri"/>
          <w:color w:val="000000"/>
          <w:sz w:val="22"/>
          <w:szCs w:val="22"/>
        </w:rPr>
      </w:pPr>
      <w:r>
        <w:rPr>
          <w:rFonts w:ascii="Calibri" w:hAnsi="Calibri"/>
          <w:color w:val="000000"/>
          <w:sz w:val="22"/>
          <w:szCs w:val="22"/>
        </w:rPr>
        <w:t xml:space="preserve">This report advances a somewhat </w:t>
      </w:r>
      <w:r w:rsidR="00E86688">
        <w:rPr>
          <w:rFonts w:ascii="Calibri" w:hAnsi="Calibri"/>
          <w:color w:val="000000"/>
          <w:sz w:val="22"/>
          <w:szCs w:val="22"/>
        </w:rPr>
        <w:t xml:space="preserve">different proposition for how to close our economic </w:t>
      </w:r>
      <w:r w:rsidR="0068492F">
        <w:rPr>
          <w:rFonts w:ascii="Calibri" w:hAnsi="Calibri"/>
          <w:color w:val="000000"/>
          <w:sz w:val="22"/>
          <w:szCs w:val="22"/>
        </w:rPr>
        <w:t xml:space="preserve">and social </w:t>
      </w:r>
      <w:r w:rsidR="00E86688">
        <w:rPr>
          <w:rFonts w:ascii="Calibri" w:hAnsi="Calibri"/>
          <w:color w:val="000000"/>
          <w:sz w:val="22"/>
          <w:szCs w:val="22"/>
        </w:rPr>
        <w:t xml:space="preserve">divides. It asserts that we </w:t>
      </w:r>
      <w:r w:rsidR="00682AF7">
        <w:rPr>
          <w:rFonts w:ascii="Calibri" w:hAnsi="Calibri"/>
          <w:color w:val="000000"/>
          <w:sz w:val="22"/>
          <w:szCs w:val="22"/>
        </w:rPr>
        <w:t>should</w:t>
      </w:r>
      <w:r w:rsidR="00E86688">
        <w:rPr>
          <w:rFonts w:ascii="Calibri" w:hAnsi="Calibri"/>
          <w:color w:val="000000"/>
          <w:sz w:val="22"/>
          <w:szCs w:val="22"/>
        </w:rPr>
        <w:t xml:space="preserve"> focus first on our </w:t>
      </w:r>
      <w:r w:rsidR="00E86688" w:rsidRPr="00E86688">
        <w:rPr>
          <w:rFonts w:ascii="Calibri" w:hAnsi="Calibri"/>
          <w:i/>
          <w:color w:val="000000"/>
          <w:sz w:val="22"/>
          <w:szCs w:val="22"/>
        </w:rPr>
        <w:t>cities</w:t>
      </w:r>
      <w:r w:rsidR="00E86688">
        <w:rPr>
          <w:rFonts w:ascii="Calibri" w:hAnsi="Calibri"/>
          <w:color w:val="000000"/>
          <w:sz w:val="22"/>
          <w:szCs w:val="22"/>
        </w:rPr>
        <w:t>, because their assets in a technology-driven, urbanizing, diversifying economy and society make them promising centers for efforts to broaden growth and opportunity in the United States. The cities that need our focus are not</w:t>
      </w:r>
      <w:r w:rsidR="00241307">
        <w:rPr>
          <w:rFonts w:ascii="Calibri" w:hAnsi="Calibri"/>
          <w:color w:val="000000"/>
          <w:sz w:val="22"/>
          <w:szCs w:val="22"/>
        </w:rPr>
        <w:t xml:space="preserve"> </w:t>
      </w:r>
      <w:r w:rsidR="00E86688">
        <w:rPr>
          <w:rFonts w:ascii="Calibri" w:hAnsi="Calibri"/>
          <w:color w:val="000000"/>
          <w:sz w:val="22"/>
          <w:szCs w:val="22"/>
        </w:rPr>
        <w:t xml:space="preserve">those like Boston and </w:t>
      </w:r>
      <w:r w:rsidR="00D933EC">
        <w:rPr>
          <w:rFonts w:ascii="Calibri" w:hAnsi="Calibri"/>
          <w:color w:val="000000"/>
          <w:sz w:val="22"/>
          <w:szCs w:val="22"/>
        </w:rPr>
        <w:t xml:space="preserve">Houston and San Francisco and Seattle </w:t>
      </w:r>
      <w:r w:rsidR="00E86688">
        <w:rPr>
          <w:rFonts w:ascii="Calibri" w:hAnsi="Calibri"/>
          <w:color w:val="000000"/>
          <w:sz w:val="22"/>
          <w:szCs w:val="22"/>
        </w:rPr>
        <w:t>that are already playing at the highest echelons of the global economy</w:t>
      </w:r>
      <w:r w:rsidR="00D933EC">
        <w:rPr>
          <w:rFonts w:ascii="Calibri" w:hAnsi="Calibri"/>
          <w:color w:val="000000"/>
          <w:sz w:val="22"/>
          <w:szCs w:val="22"/>
        </w:rPr>
        <w:t xml:space="preserve">. Rather, we should commit to the renewal of our </w:t>
      </w:r>
      <w:r w:rsidR="00D933EC" w:rsidRPr="00D933EC">
        <w:rPr>
          <w:rFonts w:ascii="Calibri" w:hAnsi="Calibri"/>
          <w:i/>
          <w:color w:val="000000"/>
          <w:sz w:val="22"/>
          <w:szCs w:val="22"/>
        </w:rPr>
        <w:t>older industrial cities</w:t>
      </w:r>
      <w:r w:rsidR="00D933EC">
        <w:rPr>
          <w:rFonts w:ascii="Calibri" w:hAnsi="Calibri"/>
          <w:color w:val="000000"/>
          <w:sz w:val="22"/>
          <w:szCs w:val="22"/>
        </w:rPr>
        <w:t>, the economic anchors for regions of the country that remain at high risk of being left behind.</w:t>
      </w:r>
    </w:p>
    <w:p w14:paraId="5E1E4462" w14:textId="6288AF3E" w:rsidR="00D933EC" w:rsidRDefault="00D933EC" w:rsidP="000A0847">
      <w:pPr>
        <w:pStyle w:val="NormalWeb"/>
        <w:rPr>
          <w:rFonts w:ascii="Calibri" w:hAnsi="Calibri"/>
          <w:color w:val="000000"/>
          <w:sz w:val="22"/>
          <w:szCs w:val="22"/>
        </w:rPr>
      </w:pPr>
    </w:p>
    <w:p w14:paraId="2F711D4F" w14:textId="2D9B3802" w:rsidR="008F3712" w:rsidRDefault="008861F5" w:rsidP="000A0847">
      <w:pPr>
        <w:spacing w:after="0" w:line="240" w:lineRule="auto"/>
      </w:pPr>
      <w:r>
        <w:t xml:space="preserve">This is not the first report to argue for a focus on </w:t>
      </w:r>
      <w:r w:rsidR="008F3712">
        <w:t>older industrial cities</w:t>
      </w:r>
      <w:r>
        <w:t>.</w:t>
      </w:r>
      <w:r w:rsidR="008F3712">
        <w:t xml:space="preserve"> </w:t>
      </w:r>
      <w:r>
        <w:t>T</w:t>
      </w:r>
      <w:r w:rsidR="008F3712">
        <w:t>he last decade—dating to a Brookings report from 2007—has featured a number of studies of places in the United States and abroad that share a set of similar characteristics (see “Other research on older industrial cities”</w:t>
      </w:r>
      <w:r>
        <w:t xml:space="preserve"> in next chapter</w:t>
      </w:r>
      <w:r w:rsidR="008F3712">
        <w:t xml:space="preserve">). This study and others are predicated on the idea that not only do these older industrial cities merit increased attention due to their economic assets and challenges, but also they are worth considering as a </w:t>
      </w:r>
      <w:r w:rsidR="008F3712">
        <w:rPr>
          <w:i/>
        </w:rPr>
        <w:t>group</w:t>
      </w:r>
      <w:r w:rsidR="008F3712">
        <w:t>,</w:t>
      </w:r>
      <w:r w:rsidR="008F3712">
        <w:rPr>
          <w:i/>
        </w:rPr>
        <w:t xml:space="preserve"> </w:t>
      </w:r>
      <w:r w:rsidR="008F3712">
        <w:t>notwithstanding that they may possess different paths to future success. What shared features make these places a unique group today?</w:t>
      </w:r>
    </w:p>
    <w:p w14:paraId="217E1E31" w14:textId="77777777" w:rsidR="008F3712" w:rsidRDefault="008F3712" w:rsidP="000A0847">
      <w:pPr>
        <w:spacing w:after="0" w:line="240" w:lineRule="auto"/>
      </w:pPr>
    </w:p>
    <w:p w14:paraId="7E590401" w14:textId="4BB5DA1B" w:rsidR="008F3712" w:rsidRDefault="008F3712" w:rsidP="000A0847">
      <w:pPr>
        <w:pStyle w:val="ListParagraph"/>
        <w:numPr>
          <w:ilvl w:val="0"/>
          <w:numId w:val="3"/>
        </w:numPr>
        <w:spacing w:after="0" w:line="240" w:lineRule="auto"/>
      </w:pPr>
      <w:r>
        <w:rPr>
          <w:i/>
        </w:rPr>
        <w:t>Urban form</w:t>
      </w:r>
      <w:r>
        <w:t xml:space="preserve">: Older industrial cities share a history of significant manufacturing activity, which led them to develop their land in quite different ways than cities where services traditionally dominated the economic landscape. Large swaths of land in these places were dedicated to low-slung production facilities. These were not as easily repurposed for new uses when companies failed or moved their operations as other commercial buildings, so most older industrial cities feature considerable amounts of vacant manufacturing land. Manufacturing job loss in most of these cities contributed to population loss, which in turn yielded oversupply and vacancy in their housing markets, most concentrated in formerly working-class neighborhoods that today exhibit high levels of poverty. Despite these challenges of urban form, most older industrial cities also boast historically significant architecture and public lands that owe to the </w:t>
      </w:r>
      <w:r w:rsidR="00D0446C">
        <w:t xml:space="preserve">wealth and </w:t>
      </w:r>
      <w:r>
        <w:t xml:space="preserve">beneficence of their </w:t>
      </w:r>
      <w:r w:rsidR="00D0446C">
        <w:t xml:space="preserve">early </w:t>
      </w:r>
      <w:r>
        <w:t>twentieth century</w:t>
      </w:r>
      <w:r w:rsidR="00D0446C">
        <w:t xml:space="preserve"> industrialists</w:t>
      </w:r>
      <w:r>
        <w:t>.</w:t>
      </w:r>
    </w:p>
    <w:p w14:paraId="37FBA222" w14:textId="77777777" w:rsidR="008F3712" w:rsidRDefault="008F3712" w:rsidP="000A0847">
      <w:pPr>
        <w:pStyle w:val="ListParagraph"/>
        <w:spacing w:after="0" w:line="240" w:lineRule="auto"/>
      </w:pPr>
    </w:p>
    <w:p w14:paraId="4B87D149" w14:textId="1D88DC4D" w:rsidR="008F3712" w:rsidRDefault="008F3712" w:rsidP="000A0847">
      <w:pPr>
        <w:pStyle w:val="ListParagraph"/>
        <w:numPr>
          <w:ilvl w:val="0"/>
          <w:numId w:val="3"/>
        </w:numPr>
        <w:spacing w:after="0" w:line="240" w:lineRule="auto"/>
      </w:pPr>
      <w:r>
        <w:rPr>
          <w:i/>
        </w:rPr>
        <w:t xml:space="preserve">Human capital: </w:t>
      </w:r>
      <w:r>
        <w:t>The legacy of older industrial cities’ shared history in manufacturing is also embedded in what their existing companies and workers know how to do. These are the original “maker cities,” and their expertise in production processes—and increasingly, the advanced technologies that enable those processes in modern firms—</w:t>
      </w:r>
      <w:r w:rsidR="008861F5">
        <w:t xml:space="preserve">potentially </w:t>
      </w:r>
      <w:r>
        <w:t>sets them apart in the global marketplace.</w:t>
      </w:r>
      <w:r w:rsidR="00D0446C">
        <w:rPr>
          <w:rStyle w:val="EndnoteReference"/>
        </w:rPr>
        <w:endnoteReference w:id="30"/>
      </w:r>
      <w:r w:rsidR="00D0446C">
        <w:rPr>
          <w:rStyle w:val="EndnoteReference"/>
        </w:rPr>
        <w:endnoteReference w:id="31"/>
      </w:r>
      <w:r>
        <w:t xml:space="preserve"> At the same time, as economist Ed </w:t>
      </w:r>
      <w:proofErr w:type="spellStart"/>
      <w:r>
        <w:t>Glaeser</w:t>
      </w:r>
      <w:proofErr w:type="spellEnd"/>
      <w:r>
        <w:t xml:space="preserve"> has observed, leaders in many of these cities and their states</w:t>
      </w:r>
      <w:r w:rsidR="008861F5">
        <w:t>—particularly those in the eastern part of the Midwest—</w:t>
      </w:r>
      <w:r>
        <w:t>were historically slower to invest in broad access to secondary and higher education, which were not prerequisites to a middle-class lifestyle when unionized factory jobs were plentiful.</w:t>
      </w:r>
      <w:r>
        <w:rPr>
          <w:rStyle w:val="EndnoteReference"/>
        </w:rPr>
        <w:endnoteReference w:id="32"/>
      </w:r>
      <w:r>
        <w:t xml:space="preserve"> As a result, residents of these cities generally possess lower levels of formal educational attainment than those in services-oriented cities, in an age when many employers regard those credentials as markers of a productive and adaptable workforce.</w:t>
      </w:r>
    </w:p>
    <w:p w14:paraId="3474BCAE" w14:textId="77777777" w:rsidR="008F3712" w:rsidRDefault="008F3712" w:rsidP="000A0847">
      <w:pPr>
        <w:pStyle w:val="ListParagraph"/>
        <w:spacing w:after="0" w:line="240" w:lineRule="auto"/>
      </w:pPr>
    </w:p>
    <w:p w14:paraId="7D772CE8" w14:textId="77777777" w:rsidR="008F3712" w:rsidRDefault="008F3712" w:rsidP="000A0847">
      <w:pPr>
        <w:pStyle w:val="ListParagraph"/>
        <w:numPr>
          <w:ilvl w:val="0"/>
          <w:numId w:val="3"/>
        </w:numPr>
        <w:spacing w:after="0" w:line="240" w:lineRule="auto"/>
      </w:pPr>
      <w:r w:rsidRPr="00C5291C">
        <w:rPr>
          <w:i/>
        </w:rPr>
        <w:t>Culture</w:t>
      </w:r>
      <w:r>
        <w:t>: Innumerable factors contribute to the culture of a place, such as where its residents originally came from, what they do for a living, and the characteristics of their surroundings. In these respects, the older industrial cities of the Midwest and Northeast continue to share a great deal in common: populations shaped by European immigration and African American migration from the south; a tradition of hard and often physically demanding work; and the struggle for resiliency in the face of long-run economic hardship. For as much strength as they draw from their shared culture, however, these cities’ fraught history of management-labor relations and pronounced racial segregation remain aspects of their contemporary societies that they must overcome to secure a better future.</w:t>
      </w:r>
      <w:r>
        <w:rPr>
          <w:rStyle w:val="EndnoteReference"/>
        </w:rPr>
        <w:endnoteReference w:id="33"/>
      </w:r>
      <w:r>
        <w:t xml:space="preserve"> </w:t>
      </w:r>
      <w:r>
        <w:rPr>
          <w:rStyle w:val="EndnoteReference"/>
        </w:rPr>
        <w:endnoteReference w:id="34"/>
      </w:r>
    </w:p>
    <w:p w14:paraId="30B7B81D" w14:textId="77777777" w:rsidR="008F3712" w:rsidRDefault="008F3712" w:rsidP="000A0847">
      <w:pPr>
        <w:pStyle w:val="NormalWeb"/>
        <w:rPr>
          <w:rFonts w:ascii="Calibri" w:hAnsi="Calibri"/>
          <w:color w:val="000000"/>
          <w:sz w:val="22"/>
          <w:szCs w:val="22"/>
        </w:rPr>
      </w:pPr>
    </w:p>
    <w:p w14:paraId="4A3244EF" w14:textId="40BC9C84" w:rsidR="00D933EC" w:rsidRDefault="00682AF7" w:rsidP="000A0847">
      <w:pPr>
        <w:pStyle w:val="NormalWeb"/>
        <w:rPr>
          <w:rFonts w:ascii="Calibri" w:hAnsi="Calibri"/>
          <w:sz w:val="22"/>
        </w:rPr>
      </w:pPr>
      <w:r>
        <w:rPr>
          <w:rFonts w:ascii="Calibri" w:hAnsi="Calibri"/>
          <w:color w:val="000000"/>
          <w:sz w:val="22"/>
          <w:szCs w:val="22"/>
        </w:rPr>
        <w:t xml:space="preserve">We should care about the success of these </w:t>
      </w:r>
      <w:r w:rsidR="008B08B8">
        <w:rPr>
          <w:rFonts w:ascii="Calibri" w:hAnsi="Calibri"/>
          <w:color w:val="000000"/>
          <w:sz w:val="22"/>
          <w:szCs w:val="22"/>
        </w:rPr>
        <w:t xml:space="preserve">older industrial </w:t>
      </w:r>
      <w:r>
        <w:rPr>
          <w:rFonts w:ascii="Calibri" w:hAnsi="Calibri"/>
          <w:color w:val="000000"/>
          <w:sz w:val="22"/>
          <w:szCs w:val="22"/>
        </w:rPr>
        <w:t xml:space="preserve">cities not only for the sake of their residents and </w:t>
      </w:r>
      <w:r w:rsidR="00763613">
        <w:rPr>
          <w:rFonts w:ascii="Calibri" w:hAnsi="Calibri"/>
          <w:color w:val="000000"/>
          <w:sz w:val="22"/>
          <w:szCs w:val="22"/>
        </w:rPr>
        <w:t>communities</w:t>
      </w:r>
      <w:r>
        <w:rPr>
          <w:rFonts w:ascii="Calibri" w:hAnsi="Calibri"/>
          <w:color w:val="000000"/>
          <w:sz w:val="22"/>
          <w:szCs w:val="22"/>
        </w:rPr>
        <w:t>, but also because strong national economies depend on the contributions of a range of urban areas</w:t>
      </w:r>
      <w:r w:rsidR="00D933EC">
        <w:rPr>
          <w:rFonts w:ascii="Calibri" w:hAnsi="Calibri"/>
          <w:color w:val="000000"/>
          <w:sz w:val="22"/>
          <w:szCs w:val="22"/>
        </w:rPr>
        <w:t xml:space="preserve">. Economists David </w:t>
      </w:r>
      <w:r w:rsidR="00D933EC" w:rsidRPr="009620DF">
        <w:rPr>
          <w:rFonts w:ascii="Calibri" w:hAnsi="Calibri"/>
          <w:sz w:val="22"/>
        </w:rPr>
        <w:t xml:space="preserve">Castells-Quintana </w:t>
      </w:r>
      <w:r w:rsidR="00D933EC">
        <w:rPr>
          <w:rFonts w:ascii="Calibri" w:hAnsi="Calibri"/>
          <w:sz w:val="22"/>
        </w:rPr>
        <w:t xml:space="preserve">and Vicente </w:t>
      </w:r>
      <w:proofErr w:type="spellStart"/>
      <w:r w:rsidR="00D933EC" w:rsidRPr="009620DF">
        <w:rPr>
          <w:rFonts w:ascii="Calibri" w:hAnsi="Calibri"/>
          <w:sz w:val="22"/>
        </w:rPr>
        <w:t>Royuela</w:t>
      </w:r>
      <w:proofErr w:type="spellEnd"/>
      <w:r w:rsidR="00D933EC">
        <w:rPr>
          <w:rFonts w:ascii="Calibri" w:hAnsi="Calibri"/>
          <w:sz w:val="22"/>
        </w:rPr>
        <w:t xml:space="preserve"> find that rather than relying on a small set of very large cities, “</w:t>
      </w:r>
      <w:r w:rsidR="00D933EC" w:rsidRPr="00D933EC">
        <w:rPr>
          <w:rFonts w:ascii="Calibri" w:hAnsi="Calibri"/>
          <w:sz w:val="22"/>
        </w:rPr>
        <w:t>A more balanced urban system, in which small and medium-sized cities play a fundamental role in the mobilization of local assets to exploit local synergies, seems to be a better strategy than intense urban concentration</w:t>
      </w:r>
      <w:r w:rsidR="00D933EC">
        <w:rPr>
          <w:rFonts w:ascii="Calibri" w:hAnsi="Calibri"/>
          <w:sz w:val="22"/>
        </w:rPr>
        <w:t>.”</w:t>
      </w:r>
      <w:r w:rsidR="00731424">
        <w:rPr>
          <w:rStyle w:val="EndnoteReference"/>
          <w:rFonts w:ascii="Calibri" w:hAnsi="Calibri"/>
          <w:sz w:val="22"/>
        </w:rPr>
        <w:endnoteReference w:id="35"/>
      </w:r>
      <w:r w:rsidR="00D933EC">
        <w:rPr>
          <w:rFonts w:ascii="Calibri" w:hAnsi="Calibri"/>
          <w:sz w:val="22"/>
        </w:rPr>
        <w:t xml:space="preserve"> Compared to many of its advanced-economy counterparts, the United States </w:t>
      </w:r>
      <w:r w:rsidR="007208F0">
        <w:rPr>
          <w:rFonts w:ascii="Calibri" w:hAnsi="Calibri"/>
          <w:sz w:val="22"/>
        </w:rPr>
        <w:t xml:space="preserve">is blessed with </w:t>
      </w:r>
      <w:r w:rsidR="00D933EC">
        <w:rPr>
          <w:rFonts w:ascii="Calibri" w:hAnsi="Calibri"/>
          <w:sz w:val="22"/>
        </w:rPr>
        <w:t xml:space="preserve">a wide range of </w:t>
      </w:r>
      <w:r w:rsidR="007208F0">
        <w:rPr>
          <w:rFonts w:ascii="Calibri" w:hAnsi="Calibri"/>
          <w:sz w:val="22"/>
        </w:rPr>
        <w:t>urban areas from which to draw economic strength.</w:t>
      </w:r>
      <w:r w:rsidR="00241307">
        <w:rPr>
          <w:rFonts w:ascii="Calibri" w:hAnsi="Calibri"/>
          <w:sz w:val="22"/>
        </w:rPr>
        <w:t xml:space="preserve"> As journalist Henry Grabar observes, vibrant smaller cities </w:t>
      </w:r>
      <w:r w:rsidR="00656332">
        <w:rPr>
          <w:rFonts w:ascii="Calibri" w:hAnsi="Calibri"/>
          <w:sz w:val="22"/>
        </w:rPr>
        <w:t>can act as an important hedge against the uncertain health of very large cities amid hazards like war, climate change, or automation.</w:t>
      </w:r>
      <w:r w:rsidR="00656332">
        <w:rPr>
          <w:rStyle w:val="EndnoteReference"/>
          <w:rFonts w:ascii="Calibri" w:hAnsi="Calibri"/>
          <w:sz w:val="22"/>
        </w:rPr>
        <w:endnoteReference w:id="36"/>
      </w:r>
    </w:p>
    <w:p w14:paraId="058B5CCB" w14:textId="77777777" w:rsidR="007208F0" w:rsidRDefault="007208F0" w:rsidP="000A0847">
      <w:pPr>
        <w:pStyle w:val="NormalWeb"/>
        <w:rPr>
          <w:rFonts w:ascii="Calibri" w:hAnsi="Calibri"/>
          <w:sz w:val="22"/>
        </w:rPr>
      </w:pPr>
    </w:p>
    <w:p w14:paraId="4E7394AA" w14:textId="41D02C19" w:rsidR="007208F0" w:rsidRDefault="007208F0" w:rsidP="000A0847">
      <w:pPr>
        <w:pStyle w:val="NormalWeb"/>
        <w:rPr>
          <w:rFonts w:ascii="Calibri" w:hAnsi="Calibri"/>
          <w:color w:val="000000"/>
          <w:sz w:val="22"/>
          <w:szCs w:val="22"/>
        </w:rPr>
      </w:pPr>
      <w:r>
        <w:rPr>
          <w:rFonts w:ascii="Calibri" w:hAnsi="Calibri"/>
          <w:color w:val="000000"/>
          <w:sz w:val="22"/>
          <w:szCs w:val="22"/>
        </w:rPr>
        <w:t xml:space="preserve">Of course, our country is a union of states that themselves have considerable influence over the trajectories of their cities. </w:t>
      </w:r>
      <w:r w:rsidR="002A3917">
        <w:rPr>
          <w:rFonts w:ascii="Calibri" w:hAnsi="Calibri"/>
          <w:color w:val="000000"/>
          <w:sz w:val="22"/>
          <w:szCs w:val="22"/>
        </w:rPr>
        <w:t>And s</w:t>
      </w:r>
      <w:r>
        <w:rPr>
          <w:rFonts w:ascii="Calibri" w:hAnsi="Calibri"/>
          <w:color w:val="000000"/>
          <w:sz w:val="22"/>
          <w:szCs w:val="22"/>
        </w:rPr>
        <w:t xml:space="preserve">ince 2010, states in which greater shares of the population live in cities </w:t>
      </w:r>
      <w:r w:rsidR="00CB0CD6">
        <w:rPr>
          <w:rFonts w:ascii="Calibri" w:hAnsi="Calibri"/>
          <w:color w:val="000000"/>
          <w:sz w:val="22"/>
          <w:szCs w:val="22"/>
        </w:rPr>
        <w:t xml:space="preserve">with </w:t>
      </w:r>
      <w:r>
        <w:rPr>
          <w:rFonts w:ascii="Calibri" w:hAnsi="Calibri"/>
          <w:color w:val="000000"/>
          <w:sz w:val="22"/>
          <w:szCs w:val="22"/>
        </w:rPr>
        <w:t xml:space="preserve">50,000 or more residents have grown jobs more quickly than their less-urban counterparts. </w:t>
      </w:r>
      <w:r w:rsidR="00656332">
        <w:rPr>
          <w:rFonts w:ascii="Calibri" w:hAnsi="Calibri"/>
          <w:color w:val="000000"/>
          <w:sz w:val="22"/>
          <w:szCs w:val="22"/>
        </w:rPr>
        <w:t xml:space="preserve">This is true not only for states with </w:t>
      </w:r>
      <w:r w:rsidR="006B5FC0">
        <w:rPr>
          <w:rFonts w:ascii="Calibri" w:hAnsi="Calibri"/>
          <w:color w:val="000000"/>
          <w:sz w:val="22"/>
          <w:szCs w:val="22"/>
        </w:rPr>
        <w:t>a few</w:t>
      </w:r>
      <w:r w:rsidR="00656332">
        <w:rPr>
          <w:rFonts w:ascii="Calibri" w:hAnsi="Calibri"/>
          <w:color w:val="000000"/>
          <w:sz w:val="22"/>
          <w:szCs w:val="22"/>
        </w:rPr>
        <w:t xml:space="preserve"> large superstar cities (see: California, New York, Texas), but also for states with a range of important cities, like Colorado, Oregon, and Tennessee. </w:t>
      </w:r>
      <w:r>
        <w:rPr>
          <w:rFonts w:ascii="Calibri" w:hAnsi="Calibri"/>
          <w:color w:val="000000"/>
          <w:sz w:val="22"/>
          <w:szCs w:val="22"/>
        </w:rPr>
        <w:t>It may be that state economic fortunes increasingly rely on the presence and health of major cities.</w:t>
      </w:r>
    </w:p>
    <w:p w14:paraId="431B0B15" w14:textId="7DA76390" w:rsidR="006332F5" w:rsidRDefault="006332F5" w:rsidP="000A0847">
      <w:pPr>
        <w:pStyle w:val="NormalWeb"/>
        <w:rPr>
          <w:rFonts w:ascii="Calibri" w:hAnsi="Calibri"/>
          <w:color w:val="000000"/>
          <w:sz w:val="22"/>
          <w:szCs w:val="22"/>
        </w:rPr>
      </w:pPr>
    </w:p>
    <w:p w14:paraId="19A37F3B" w14:textId="0A0F9A36" w:rsidR="00DC1651" w:rsidRDefault="00DC1651" w:rsidP="000A0847">
      <w:pPr>
        <w:pStyle w:val="NormalWeb"/>
        <w:rPr>
          <w:rFonts w:ascii="Calibri" w:hAnsi="Calibri"/>
          <w:color w:val="000000"/>
          <w:sz w:val="22"/>
          <w:szCs w:val="22"/>
        </w:rPr>
      </w:pPr>
      <w:r>
        <w:rPr>
          <w:rFonts w:ascii="Calibri" w:hAnsi="Calibri"/>
          <w:color w:val="000000"/>
          <w:sz w:val="22"/>
          <w:szCs w:val="22"/>
        </w:rPr>
        <w:t>[Figure 2.4—Employment is growing faster in states where more people live in cities]</w:t>
      </w:r>
    </w:p>
    <w:p w14:paraId="7F850FD9" w14:textId="3D6B1EB3" w:rsidR="007208F0" w:rsidRDefault="007208F0" w:rsidP="000A0847">
      <w:pPr>
        <w:pStyle w:val="NormalWeb"/>
        <w:rPr>
          <w:rFonts w:ascii="Calibri" w:hAnsi="Calibri"/>
          <w:color w:val="000000"/>
          <w:sz w:val="22"/>
          <w:szCs w:val="22"/>
        </w:rPr>
      </w:pPr>
    </w:p>
    <w:p w14:paraId="2EBDF543" w14:textId="12797F3D" w:rsidR="00DC2F20" w:rsidRDefault="006B5FC0" w:rsidP="000A0847">
      <w:pPr>
        <w:pStyle w:val="NormalWeb"/>
        <w:rPr>
          <w:rFonts w:ascii="Calibri" w:hAnsi="Calibri"/>
          <w:color w:val="000000"/>
          <w:sz w:val="22"/>
          <w:szCs w:val="22"/>
        </w:rPr>
      </w:pPr>
      <w:r>
        <w:rPr>
          <w:rFonts w:ascii="Calibri" w:hAnsi="Calibri"/>
          <w:color w:val="000000"/>
          <w:sz w:val="22"/>
          <w:szCs w:val="22"/>
        </w:rPr>
        <w:t>A call to focus on cities</w:t>
      </w:r>
      <w:r w:rsidR="007208F0">
        <w:rPr>
          <w:rFonts w:ascii="Calibri" w:hAnsi="Calibri"/>
          <w:color w:val="000000"/>
          <w:sz w:val="22"/>
          <w:szCs w:val="22"/>
        </w:rPr>
        <w:t xml:space="preserve"> is not a call to abandon rural areas. Far from it. Indeed, many of the cities on which this report focuses are highly proximate to small towns and rural counties in states like Indiana, Ohio, Pennsylvania, and Virginia</w:t>
      </w:r>
      <w:r>
        <w:rPr>
          <w:rFonts w:ascii="Calibri" w:hAnsi="Calibri"/>
          <w:color w:val="000000"/>
          <w:sz w:val="22"/>
          <w:szCs w:val="22"/>
        </w:rPr>
        <w:t>, places</w:t>
      </w:r>
      <w:r w:rsidR="007208F0">
        <w:rPr>
          <w:rFonts w:ascii="Calibri" w:hAnsi="Calibri"/>
          <w:color w:val="000000"/>
          <w:sz w:val="22"/>
          <w:szCs w:val="22"/>
        </w:rPr>
        <w:t xml:space="preserve"> that face </w:t>
      </w:r>
      <w:r w:rsidR="00CB0CD6">
        <w:rPr>
          <w:rFonts w:ascii="Calibri" w:hAnsi="Calibri"/>
          <w:color w:val="000000"/>
          <w:sz w:val="22"/>
          <w:szCs w:val="22"/>
        </w:rPr>
        <w:t xml:space="preserve">very </w:t>
      </w:r>
      <w:r w:rsidR="007208F0">
        <w:rPr>
          <w:rFonts w:ascii="Calibri" w:hAnsi="Calibri"/>
          <w:color w:val="000000"/>
          <w:sz w:val="22"/>
          <w:szCs w:val="22"/>
        </w:rPr>
        <w:t xml:space="preserve">difficult economic circumstances. Creating greater momentum in those cities might put more jobs within </w:t>
      </w:r>
      <w:r w:rsidR="006332F5">
        <w:rPr>
          <w:rFonts w:ascii="Calibri" w:hAnsi="Calibri"/>
          <w:color w:val="000000"/>
          <w:sz w:val="22"/>
          <w:szCs w:val="22"/>
        </w:rPr>
        <w:t xml:space="preserve">commuting distance of small-town residents, or might be the difference between younger people building a career near their families and hometowns, and </w:t>
      </w:r>
      <w:r w:rsidR="008B08B8">
        <w:rPr>
          <w:rFonts w:ascii="Calibri" w:hAnsi="Calibri"/>
          <w:color w:val="000000"/>
          <w:sz w:val="22"/>
          <w:szCs w:val="22"/>
        </w:rPr>
        <w:t>leaving</w:t>
      </w:r>
      <w:r w:rsidR="006332F5">
        <w:rPr>
          <w:rFonts w:ascii="Calibri" w:hAnsi="Calibri"/>
          <w:color w:val="000000"/>
          <w:sz w:val="22"/>
          <w:szCs w:val="22"/>
        </w:rPr>
        <w:t xml:space="preserve"> their home state </w:t>
      </w:r>
      <w:r w:rsidR="008B08B8">
        <w:rPr>
          <w:rFonts w:ascii="Calibri" w:hAnsi="Calibri"/>
          <w:color w:val="000000"/>
          <w:sz w:val="22"/>
          <w:szCs w:val="22"/>
        </w:rPr>
        <w:t xml:space="preserve">or region </w:t>
      </w:r>
      <w:r w:rsidR="006332F5">
        <w:rPr>
          <w:rFonts w:ascii="Calibri" w:hAnsi="Calibri"/>
          <w:color w:val="000000"/>
          <w:sz w:val="22"/>
          <w:szCs w:val="22"/>
        </w:rPr>
        <w:t>altogether. And proximate urban and rural areas, as many have observed, trade with one another in ways that contribute to a virtuous economic symbiosis.</w:t>
      </w:r>
      <w:r w:rsidR="00731424">
        <w:rPr>
          <w:rStyle w:val="EndnoteReference"/>
          <w:rFonts w:ascii="Calibri" w:hAnsi="Calibri"/>
          <w:color w:val="000000"/>
          <w:sz w:val="22"/>
          <w:szCs w:val="22"/>
        </w:rPr>
        <w:endnoteReference w:id="37"/>
      </w:r>
    </w:p>
    <w:p w14:paraId="4876E7E0" w14:textId="3483A2E3" w:rsidR="00DC2F20" w:rsidRDefault="00DC2F20" w:rsidP="000A0847">
      <w:pPr>
        <w:pStyle w:val="NormalWeb"/>
        <w:rPr>
          <w:rFonts w:ascii="Calibri" w:hAnsi="Calibri"/>
          <w:color w:val="000000"/>
          <w:sz w:val="22"/>
          <w:szCs w:val="22"/>
        </w:rPr>
      </w:pPr>
    </w:p>
    <w:p w14:paraId="14AA62BB" w14:textId="1C8692D4" w:rsidR="00FE7701" w:rsidRDefault="00DC2F20" w:rsidP="000A0847">
      <w:pPr>
        <w:pStyle w:val="NormalWeb"/>
        <w:rPr>
          <w:rFonts w:ascii="Calibri" w:hAnsi="Calibri"/>
          <w:color w:val="000000"/>
          <w:sz w:val="22"/>
          <w:szCs w:val="22"/>
        </w:rPr>
      </w:pPr>
      <w:r>
        <w:rPr>
          <w:rFonts w:ascii="Calibri" w:hAnsi="Calibri"/>
          <w:color w:val="000000"/>
          <w:sz w:val="22"/>
          <w:szCs w:val="22"/>
        </w:rPr>
        <w:t xml:space="preserve">Not all older industrial cities may ultimately achieve increased growth and opportunity. Many, as noted at the outset, have been ravaged by economic </w:t>
      </w:r>
      <w:r w:rsidR="00A51F8F">
        <w:rPr>
          <w:rFonts w:ascii="Calibri" w:hAnsi="Calibri"/>
          <w:color w:val="000000"/>
          <w:sz w:val="22"/>
          <w:szCs w:val="22"/>
        </w:rPr>
        <w:t xml:space="preserve">and demographic </w:t>
      </w:r>
      <w:r>
        <w:rPr>
          <w:rFonts w:ascii="Calibri" w:hAnsi="Calibri"/>
          <w:color w:val="000000"/>
          <w:sz w:val="22"/>
          <w:szCs w:val="22"/>
        </w:rPr>
        <w:t xml:space="preserve">changes and </w:t>
      </w:r>
      <w:r w:rsidR="00A51F8F">
        <w:rPr>
          <w:rFonts w:ascii="Calibri" w:hAnsi="Calibri"/>
          <w:color w:val="000000"/>
          <w:sz w:val="22"/>
          <w:szCs w:val="22"/>
        </w:rPr>
        <w:t xml:space="preserve">undermined </w:t>
      </w:r>
      <w:r>
        <w:rPr>
          <w:rFonts w:ascii="Calibri" w:hAnsi="Calibri"/>
          <w:color w:val="000000"/>
          <w:sz w:val="22"/>
          <w:szCs w:val="22"/>
        </w:rPr>
        <w:t xml:space="preserve">by </w:t>
      </w:r>
      <w:r w:rsidR="00A51F8F">
        <w:rPr>
          <w:rFonts w:ascii="Calibri" w:hAnsi="Calibri"/>
          <w:color w:val="000000"/>
          <w:sz w:val="22"/>
          <w:szCs w:val="22"/>
        </w:rPr>
        <w:t xml:space="preserve">public policies, to the degree that they may lack the scale and savvy to help </w:t>
      </w:r>
      <w:r w:rsidR="008B08B8">
        <w:rPr>
          <w:rFonts w:ascii="Calibri" w:hAnsi="Calibri"/>
          <w:color w:val="000000"/>
          <w:sz w:val="22"/>
          <w:szCs w:val="22"/>
        </w:rPr>
        <w:t xml:space="preserve">sustainably </w:t>
      </w:r>
      <w:r w:rsidR="00A51F8F">
        <w:rPr>
          <w:rFonts w:ascii="Calibri" w:hAnsi="Calibri"/>
          <w:color w:val="000000"/>
          <w:sz w:val="22"/>
          <w:szCs w:val="22"/>
        </w:rPr>
        <w:t xml:space="preserve">reverse a growing tide of regional inequality. But for all their challenges, </w:t>
      </w:r>
      <w:r w:rsidR="008B08B8">
        <w:rPr>
          <w:rFonts w:ascii="Calibri" w:hAnsi="Calibri"/>
          <w:color w:val="000000"/>
          <w:sz w:val="22"/>
          <w:szCs w:val="22"/>
        </w:rPr>
        <w:t xml:space="preserve">older industrial cities are </w:t>
      </w:r>
      <w:r w:rsidR="00A51F8F">
        <w:rPr>
          <w:rFonts w:ascii="Calibri" w:hAnsi="Calibri"/>
          <w:color w:val="000000"/>
          <w:sz w:val="22"/>
          <w:szCs w:val="22"/>
        </w:rPr>
        <w:t>places where one can build on strengths—of innovative companies, knowledgeable workers, valuable infrastructure, and civic commitment. The next chapter defines and explores these cities more deeply.</w:t>
      </w:r>
    </w:p>
    <w:p w14:paraId="679A580E" w14:textId="77777777" w:rsidR="00FE7701" w:rsidRDefault="00FE7701" w:rsidP="000A0847">
      <w:pPr>
        <w:spacing w:after="0" w:line="240" w:lineRule="auto"/>
        <w:rPr>
          <w:rFonts w:ascii="Calibri" w:hAnsi="Calibri" w:cs="Times New Roman"/>
          <w:color w:val="000000"/>
        </w:rPr>
      </w:pPr>
      <w:r>
        <w:rPr>
          <w:rFonts w:ascii="Calibri" w:hAnsi="Calibri"/>
          <w:color w:val="000000"/>
        </w:rPr>
        <w:br w:type="page"/>
      </w:r>
    </w:p>
    <w:p w14:paraId="2730ECCD" w14:textId="1EC56C4D" w:rsidR="00FE7701" w:rsidRPr="00161FC9" w:rsidRDefault="008A1099" w:rsidP="000A0847">
      <w:pPr>
        <w:pStyle w:val="ListParagraph"/>
        <w:numPr>
          <w:ilvl w:val="0"/>
          <w:numId w:val="26"/>
        </w:numPr>
        <w:spacing w:after="0" w:line="240" w:lineRule="auto"/>
        <w:rPr>
          <w:b/>
          <w:sz w:val="28"/>
        </w:rPr>
      </w:pPr>
      <w:bookmarkStart w:id="0" w:name="Definitions"/>
      <w:bookmarkEnd w:id="0"/>
      <w:r w:rsidRPr="00161FC9">
        <w:rPr>
          <w:b/>
          <w:sz w:val="28"/>
        </w:rPr>
        <w:t xml:space="preserve">Definitions: </w:t>
      </w:r>
      <w:r w:rsidR="00FE7701" w:rsidRPr="00161FC9">
        <w:rPr>
          <w:b/>
          <w:sz w:val="28"/>
        </w:rPr>
        <w:t>What and where are older industrial cities?</w:t>
      </w:r>
    </w:p>
    <w:p w14:paraId="1AF9348A" w14:textId="77777777" w:rsidR="00FE7701" w:rsidRPr="008574F7" w:rsidRDefault="00FE7701" w:rsidP="000A0847">
      <w:pPr>
        <w:spacing w:after="0" w:line="240" w:lineRule="auto"/>
      </w:pPr>
    </w:p>
    <w:p w14:paraId="65615138" w14:textId="3212AC9F" w:rsidR="00FE7701" w:rsidRDefault="00FE7701" w:rsidP="000A0847">
      <w:pPr>
        <w:spacing w:after="0" w:line="240" w:lineRule="auto"/>
      </w:pPr>
      <w:r>
        <w:t xml:space="preserve">As the previous section argues, the future of the U.S. economy, and that of the democratic institutions which undergird it, depend on whether more places are able to enjoy increased growth and opportunity. This section identifies a set of places in the United States that over the past few decades have not fully shared in that prosperity, yet </w:t>
      </w:r>
      <w:r w:rsidR="008861F5">
        <w:t xml:space="preserve">may </w:t>
      </w:r>
      <w:r>
        <w:t>nonetheless possess many of the underlying assets that could help them contribute to—and their residents to benefit from—increased future growth and opportunity.</w:t>
      </w:r>
    </w:p>
    <w:p w14:paraId="591E2027" w14:textId="77777777" w:rsidR="00FE7701" w:rsidRDefault="00FE7701" w:rsidP="000A0847">
      <w:pPr>
        <w:spacing w:after="0" w:line="240" w:lineRule="auto"/>
      </w:pPr>
    </w:p>
    <w:p w14:paraId="73C44BC9" w14:textId="00DA2AB5" w:rsidR="00FE7701" w:rsidRPr="00276E6B" w:rsidRDefault="00FE7701" w:rsidP="000A0847">
      <w:pPr>
        <w:pBdr>
          <w:top w:val="single" w:sz="4" w:space="1" w:color="auto"/>
          <w:left w:val="single" w:sz="4" w:space="4" w:color="auto"/>
          <w:bottom w:val="single" w:sz="4" w:space="1" w:color="auto"/>
          <w:right w:val="single" w:sz="4" w:space="4" w:color="auto"/>
        </w:pBdr>
        <w:spacing w:after="0" w:line="240" w:lineRule="auto"/>
        <w:ind w:left="360"/>
        <w:rPr>
          <w:b/>
        </w:rPr>
      </w:pPr>
      <w:r w:rsidRPr="00276E6B">
        <w:rPr>
          <w:b/>
        </w:rPr>
        <w:t xml:space="preserve">SIDEBAR: Other </w:t>
      </w:r>
      <w:r w:rsidR="00701703">
        <w:rPr>
          <w:b/>
        </w:rPr>
        <w:t>research</w:t>
      </w:r>
      <w:r w:rsidRPr="00276E6B">
        <w:rPr>
          <w:b/>
        </w:rPr>
        <w:t xml:space="preserve"> </w:t>
      </w:r>
      <w:r w:rsidR="00701703">
        <w:rPr>
          <w:b/>
        </w:rPr>
        <w:t xml:space="preserve">on </w:t>
      </w:r>
      <w:r w:rsidRPr="00276E6B">
        <w:rPr>
          <w:b/>
        </w:rPr>
        <w:t>older industrial cities</w:t>
      </w:r>
    </w:p>
    <w:p w14:paraId="4C9C5322"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p>
    <w:p w14:paraId="242E1599"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r>
        <w:t>This report, including its approach to defining older industrial cities, builds on the work of several other reports published in recent years looking at the special economic, social, and physical attributes, contributions, and challenges of these cities.</w:t>
      </w:r>
    </w:p>
    <w:p w14:paraId="16FF44AF"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p>
    <w:p w14:paraId="59FAA698" w14:textId="3649E4BA"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r>
        <w:t xml:space="preserve">The </w:t>
      </w:r>
      <w:r w:rsidRPr="00044F5B">
        <w:rPr>
          <w:b/>
        </w:rPr>
        <w:t>older industrial cities</w:t>
      </w:r>
      <w:r>
        <w:t xml:space="preserve"> label emerged in the 1990s and 2000s in a series of academic and popular articles exploring the fortunes of what were variously termed “older manufacturing cities” and “post-industrial cities” like Pittsburgh, Cleveland, and Philadelphia. </w:t>
      </w:r>
      <w:r>
        <w:rPr>
          <w:rStyle w:val="EndnoteReference"/>
        </w:rPr>
        <w:endnoteReference w:id="38"/>
      </w:r>
      <w:r>
        <w:t xml:space="preserve"> </w:t>
      </w:r>
      <w:r>
        <w:rPr>
          <w:rStyle w:val="EndnoteReference"/>
        </w:rPr>
        <w:endnoteReference w:id="39"/>
      </w:r>
      <w:r>
        <w:t xml:space="preserve"> </w:t>
      </w:r>
      <w:r>
        <w:rPr>
          <w:rStyle w:val="EndnoteReference"/>
        </w:rPr>
        <w:endnoteReference w:id="40"/>
      </w:r>
      <w:r>
        <w:t xml:space="preserve"> It gained added prominence with the publication of the 2007 Brookings report, </w:t>
      </w:r>
      <w:r w:rsidRPr="00044F5B">
        <w:rPr>
          <w:i/>
        </w:rPr>
        <w:t>Restoring Prosperity</w:t>
      </w:r>
      <w:r>
        <w:t>, and the subsequent creation of a philanthropic affinity group dedicated to grant making in older industrial cities.</w:t>
      </w:r>
      <w:r>
        <w:rPr>
          <w:rStyle w:val="EndnoteReference"/>
        </w:rPr>
        <w:endnoteReference w:id="41"/>
      </w:r>
      <w:r>
        <w:t xml:space="preserve"> </w:t>
      </w:r>
      <w:r>
        <w:rPr>
          <w:rStyle w:val="EndnoteReference"/>
        </w:rPr>
        <w:endnoteReference w:id="42"/>
      </w:r>
      <w:r>
        <w:t xml:space="preserve"> The o</w:t>
      </w:r>
      <w:r w:rsidR="001336CE">
        <w:t>riginal Brookings report defines</w:t>
      </w:r>
      <w:r>
        <w:t xml:space="preserve"> older industrial cities on the basis of </w:t>
      </w:r>
      <w:r w:rsidR="008B08B8">
        <w:t>subpar</w:t>
      </w:r>
      <w:r>
        <w:t xml:space="preserve"> performance in the 1990s on economic and social outcomes, synonymous with “weak market” status.</w:t>
      </w:r>
    </w:p>
    <w:p w14:paraId="7FD5F7D2"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p>
    <w:p w14:paraId="4E9134FD" w14:textId="124B0BFA"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r>
        <w:t>Many subsequent examinations of</w:t>
      </w:r>
      <w:r w:rsidR="001336CE">
        <w:t xml:space="preserve"> older industrial cities focus</w:t>
      </w:r>
      <w:r>
        <w:t xml:space="preserve"> on </w:t>
      </w:r>
      <w:r w:rsidRPr="00044F5B">
        <w:rPr>
          <w:b/>
        </w:rPr>
        <w:t>population loss</w:t>
      </w:r>
      <w:r>
        <w:t xml:space="preserve"> as a particularly pernicious contributor to—and marker of—these cities’ ch</w:t>
      </w:r>
      <w:r w:rsidR="001336CE">
        <w:t>allenges. Researchers associate</w:t>
      </w:r>
      <w:r>
        <w:t xml:space="preserve"> this dynamic most closely with “legacy cities” or “shrinking cities,” both in the United States and Europe.</w:t>
      </w:r>
      <w:r>
        <w:rPr>
          <w:rStyle w:val="EndnoteReference"/>
        </w:rPr>
        <w:endnoteReference w:id="43"/>
      </w:r>
      <w:r>
        <w:t xml:space="preserve"> </w:t>
      </w:r>
      <w:r>
        <w:rPr>
          <w:rStyle w:val="EndnoteReference"/>
        </w:rPr>
        <w:endnoteReference w:id="44"/>
      </w:r>
      <w:r>
        <w:t xml:space="preserve"> </w:t>
      </w:r>
      <w:r>
        <w:rPr>
          <w:rStyle w:val="EndnoteReference"/>
        </w:rPr>
        <w:endnoteReference w:id="45"/>
      </w:r>
      <w:r w:rsidR="001336CE">
        <w:t xml:space="preserve"> This work naturally gi</w:t>
      </w:r>
      <w:r>
        <w:t>ve</w:t>
      </w:r>
      <w:r w:rsidR="001336CE">
        <w:t>s</w:t>
      </w:r>
      <w:r>
        <w:t xml:space="preserve"> significant policy </w:t>
      </w:r>
      <w:r w:rsidR="00635100">
        <w:t>attention to</w:t>
      </w:r>
      <w:r>
        <w:t xml:space="preserve"> issues like abandonment, re-use of vacant residential and industrial properties, and historical preservation.</w:t>
      </w:r>
      <w:r w:rsidR="00635100">
        <w:rPr>
          <w:rStyle w:val="EndnoteReference"/>
        </w:rPr>
        <w:endnoteReference w:id="46"/>
      </w:r>
    </w:p>
    <w:p w14:paraId="33AAB7EF"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p>
    <w:p w14:paraId="375F267D" w14:textId="31F55B37" w:rsidR="00FE7701" w:rsidRPr="00C446D0"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r>
        <w:t xml:space="preserve">Other research </w:t>
      </w:r>
      <w:r w:rsidR="001336CE">
        <w:t>considers</w:t>
      </w:r>
      <w:r>
        <w:t xml:space="preserve"> </w:t>
      </w:r>
      <w:r>
        <w:rPr>
          <w:b/>
        </w:rPr>
        <w:t xml:space="preserve">economic history </w:t>
      </w:r>
      <w:r>
        <w:t>as a defining feature of older industrial cities. Alec Friedhoff and co-authors focus their work on metropolitan areas where manufacturing represented more than 20 percent of employment in 1980, and in particular on those 76 metro areas in which job and wage growth lagged national averages through 2005.</w:t>
      </w:r>
      <w:r>
        <w:rPr>
          <w:rStyle w:val="EndnoteReference"/>
        </w:rPr>
        <w:endnoteReference w:id="47"/>
      </w:r>
      <w:r>
        <w:t xml:space="preserve"> That work shares a lineage with research </w:t>
      </w:r>
      <w:r w:rsidR="00635100">
        <w:t xml:space="preserve">by Travis St. Clair and co-authors examining </w:t>
      </w:r>
      <w:r>
        <w:t>“chronically distressed” metropolitan areas that lagged others on employment and GDP growth from the 1970s to the late 2000s.</w:t>
      </w:r>
      <w:r>
        <w:rPr>
          <w:rStyle w:val="EndnoteReference"/>
        </w:rPr>
        <w:endnoteReference w:id="48"/>
      </w:r>
      <w:r>
        <w:t xml:space="preserve"> Similarly, Emily Engel and Susan Longworth summarize research that identifies 47 Midwestern “industrial cities” that in 1960 had at least 50,000 residents and in which manufacturing accounted for at least 25 percent of employment.</w:t>
      </w:r>
      <w:r>
        <w:rPr>
          <w:rStyle w:val="EndnoteReference"/>
        </w:rPr>
        <w:endnoteReference w:id="49"/>
      </w:r>
      <w:r>
        <w:t xml:space="preserve"> These and other efforts examine the implications of city and regional economic decline and transition for state and local economic and workforce development policies.</w:t>
      </w:r>
      <w:r>
        <w:rPr>
          <w:rStyle w:val="EndnoteReference"/>
        </w:rPr>
        <w:endnoteReference w:id="50"/>
      </w:r>
    </w:p>
    <w:p w14:paraId="58545B02" w14:textId="77777777" w:rsidR="00FE7701"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p>
    <w:p w14:paraId="37342E26" w14:textId="7A6AE13A" w:rsidR="00FE7701" w:rsidRPr="001010E2" w:rsidRDefault="00FE7701" w:rsidP="000A0847">
      <w:pPr>
        <w:pBdr>
          <w:top w:val="single" w:sz="4" w:space="1" w:color="auto"/>
          <w:left w:val="single" w:sz="4" w:space="4" w:color="auto"/>
          <w:bottom w:val="single" w:sz="4" w:space="1" w:color="auto"/>
          <w:right w:val="single" w:sz="4" w:space="4" w:color="auto"/>
        </w:pBdr>
        <w:spacing w:after="0" w:line="240" w:lineRule="auto"/>
        <w:ind w:left="360"/>
      </w:pPr>
      <w:r>
        <w:t xml:space="preserve">As these summaries indicate, different reports adopt different </w:t>
      </w:r>
      <w:r>
        <w:rPr>
          <w:b/>
        </w:rPr>
        <w:t xml:space="preserve">geographic definitions </w:t>
      </w:r>
      <w:r>
        <w:t>of older industrial status. Most focus on municipalities as the primary locus of concern, given the often-acute economic, social, and fiscal challenges these urban cores face. Others examine wider metropolitan areas as a window into the regional economic dynamics that influence the fortunes of urban places.</w:t>
      </w:r>
    </w:p>
    <w:p w14:paraId="67DB3A26" w14:textId="77777777" w:rsidR="00FE7701" w:rsidRDefault="00FE7701" w:rsidP="000A0847">
      <w:pPr>
        <w:spacing w:after="0" w:line="240" w:lineRule="auto"/>
      </w:pPr>
    </w:p>
    <w:p w14:paraId="6052B58B" w14:textId="3E1EAC8B" w:rsidR="00FE7701" w:rsidRPr="00161FC9" w:rsidRDefault="00FE7701" w:rsidP="000A0847">
      <w:pPr>
        <w:pStyle w:val="ListParagraph"/>
        <w:numPr>
          <w:ilvl w:val="0"/>
          <w:numId w:val="7"/>
        </w:numPr>
        <w:spacing w:after="0" w:line="240" w:lineRule="auto"/>
        <w:rPr>
          <w:b/>
          <w:sz w:val="24"/>
        </w:rPr>
      </w:pPr>
      <w:r w:rsidRPr="00161FC9">
        <w:rPr>
          <w:b/>
          <w:sz w:val="24"/>
        </w:rPr>
        <w:t xml:space="preserve">Three criteria inform </w:t>
      </w:r>
      <w:r w:rsidR="00161FC9">
        <w:rPr>
          <w:b/>
          <w:sz w:val="24"/>
        </w:rPr>
        <w:t xml:space="preserve">a definition of </w:t>
      </w:r>
      <w:r w:rsidRPr="00161FC9">
        <w:rPr>
          <w:b/>
          <w:sz w:val="24"/>
        </w:rPr>
        <w:t>older industrial cities</w:t>
      </w:r>
    </w:p>
    <w:p w14:paraId="600B8B5B" w14:textId="77777777" w:rsidR="00FE7701" w:rsidRDefault="00FE7701" w:rsidP="000A0847">
      <w:pPr>
        <w:spacing w:after="0" w:line="240" w:lineRule="auto"/>
      </w:pPr>
    </w:p>
    <w:p w14:paraId="35EE178C" w14:textId="41BF65EB" w:rsidR="00FE7701" w:rsidRPr="00C7728A" w:rsidRDefault="00FE7701" w:rsidP="000A0847">
      <w:pPr>
        <w:spacing w:after="0" w:line="240" w:lineRule="auto"/>
      </w:pPr>
      <w:r>
        <w:t xml:space="preserve">In this report, we adopt a new method </w:t>
      </w:r>
      <w:r w:rsidR="00DF4AF6">
        <w:t>to identify</w:t>
      </w:r>
      <w:r>
        <w:t xml:space="preserve"> older industrial cities that borrows in part from past efforts that examined these places</w:t>
      </w:r>
      <w:r w:rsidR="008861F5">
        <w:t xml:space="preserve"> (see “Other research on older industrial cities”)</w:t>
      </w:r>
      <w:r>
        <w:t xml:space="preserve">. </w:t>
      </w:r>
      <w:r w:rsidRPr="00C7728A">
        <w:t xml:space="preserve">Three criteria inform </w:t>
      </w:r>
      <w:r>
        <w:t xml:space="preserve">our </w:t>
      </w:r>
      <w:r w:rsidRPr="00C7728A">
        <w:t xml:space="preserve">approach </w:t>
      </w:r>
      <w:r>
        <w:t xml:space="preserve">to this </w:t>
      </w:r>
      <w:r w:rsidRPr="00C7728A">
        <w:t>new definition</w:t>
      </w:r>
      <w:r>
        <w:t>, through which we aim to</w:t>
      </w:r>
      <w:r w:rsidRPr="00C7728A">
        <w:t>:</w:t>
      </w:r>
    </w:p>
    <w:p w14:paraId="0A0A2882" w14:textId="77777777" w:rsidR="00FE7701" w:rsidRPr="00C7728A" w:rsidRDefault="00FE7701" w:rsidP="000A0847">
      <w:pPr>
        <w:spacing w:after="0" w:line="240" w:lineRule="auto"/>
      </w:pPr>
    </w:p>
    <w:p w14:paraId="42C0C41D" w14:textId="18032A5C" w:rsidR="00FE7701" w:rsidRPr="00C7728A" w:rsidRDefault="001336CE" w:rsidP="000A0847">
      <w:pPr>
        <w:numPr>
          <w:ilvl w:val="0"/>
          <w:numId w:val="4"/>
        </w:numPr>
        <w:spacing w:after="0" w:line="240" w:lineRule="auto"/>
      </w:pPr>
      <w:r>
        <w:t xml:space="preserve">Describe </w:t>
      </w:r>
      <w:r w:rsidR="00FE7701">
        <w:t>economic (</w:t>
      </w:r>
      <w:r w:rsidR="00FE7701" w:rsidRPr="00C7728A">
        <w:t>versus political</w:t>
      </w:r>
      <w:r w:rsidR="00FE7701">
        <w:t>)</w:t>
      </w:r>
      <w:r w:rsidR="00FE7701" w:rsidRPr="00C7728A">
        <w:t xml:space="preserve"> geographies that capture</w:t>
      </w:r>
      <w:r w:rsidR="00FE7701">
        <w:t xml:space="preserve"> shared heritage and trajectory; </w:t>
      </w:r>
    </w:p>
    <w:p w14:paraId="783071E9" w14:textId="3CC523A6" w:rsidR="00FE7701" w:rsidRPr="00C7728A" w:rsidRDefault="00FE7701" w:rsidP="000A0847">
      <w:pPr>
        <w:numPr>
          <w:ilvl w:val="0"/>
          <w:numId w:val="4"/>
        </w:numPr>
        <w:spacing w:after="0" w:line="240" w:lineRule="auto"/>
      </w:pPr>
      <w:r>
        <w:t xml:space="preserve">Identify </w:t>
      </w:r>
      <w:r w:rsidRPr="00C7728A">
        <w:t xml:space="preserve">communities </w:t>
      </w:r>
      <w:r>
        <w:t xml:space="preserve">with </w:t>
      </w:r>
      <w:r w:rsidRPr="00C7728A">
        <w:t xml:space="preserve">a similar economic heritage, defined by historical </w:t>
      </w:r>
      <w:r w:rsidR="00CB0CD6">
        <w:t xml:space="preserve">reliance on </w:t>
      </w:r>
      <w:r w:rsidRPr="00C7728A">
        <w:t>manufacturing industries</w:t>
      </w:r>
      <w:r>
        <w:t>; and</w:t>
      </w:r>
    </w:p>
    <w:p w14:paraId="758EEEA1" w14:textId="77777777" w:rsidR="00FE7701" w:rsidRPr="00C7728A" w:rsidRDefault="00FE7701" w:rsidP="000A0847">
      <w:pPr>
        <w:numPr>
          <w:ilvl w:val="0"/>
          <w:numId w:val="4"/>
        </w:numPr>
        <w:spacing w:after="0" w:line="240" w:lineRule="auto"/>
      </w:pPr>
      <w:r>
        <w:t>E</w:t>
      </w:r>
      <w:r w:rsidRPr="00C7728A">
        <w:t>xamine divergence in performance across time, identifying places that de-industrialized while successfully creating new forms of economic value, versus places that did not weather the transi</w:t>
      </w:r>
      <w:r>
        <w:t>tion as well</w:t>
      </w:r>
      <w:r w:rsidRPr="00C7728A">
        <w:t xml:space="preserve"> </w:t>
      </w:r>
    </w:p>
    <w:p w14:paraId="0765816A" w14:textId="77777777" w:rsidR="00FE7701" w:rsidRPr="00C7728A" w:rsidRDefault="00FE7701" w:rsidP="000A0847">
      <w:pPr>
        <w:spacing w:after="0" w:line="240" w:lineRule="auto"/>
      </w:pPr>
    </w:p>
    <w:p w14:paraId="5C227AC6" w14:textId="77777777" w:rsidR="00FE7701" w:rsidRPr="00C7728A" w:rsidRDefault="00FE7701" w:rsidP="000A0847">
      <w:pPr>
        <w:spacing w:after="0" w:line="240" w:lineRule="auto"/>
      </w:pPr>
      <w:r>
        <w:t xml:space="preserve">In short, we define an older industrial city as </w:t>
      </w:r>
      <w:r w:rsidRPr="00B85936">
        <w:rPr>
          <w:b/>
          <w:i/>
        </w:rPr>
        <w:t>a significant urban area with a history in manufacturing that has struggled over time to grow jobs in new sectors</w:t>
      </w:r>
      <w:r>
        <w:rPr>
          <w:i/>
        </w:rPr>
        <w:t>.</w:t>
      </w:r>
      <w:r>
        <w:t xml:space="preserve"> </w:t>
      </w:r>
      <w:r w:rsidRPr="00C7728A">
        <w:t xml:space="preserve">Based on these criteria, we adopted the following approach to identifying older industrial communities. </w:t>
      </w:r>
    </w:p>
    <w:p w14:paraId="31CCF1C5" w14:textId="77777777" w:rsidR="00FE7701" w:rsidRPr="00C7728A" w:rsidRDefault="00FE7701" w:rsidP="000A0847">
      <w:pPr>
        <w:spacing w:after="0" w:line="240" w:lineRule="auto"/>
      </w:pPr>
    </w:p>
    <w:p w14:paraId="1E63E55D" w14:textId="615F5666" w:rsidR="00FE7701" w:rsidRPr="00C7728A" w:rsidRDefault="00FE7701" w:rsidP="000A0847">
      <w:pPr>
        <w:spacing w:after="0" w:line="240" w:lineRule="auto"/>
      </w:pPr>
      <w:r>
        <w:t xml:space="preserve">First, we use </w:t>
      </w:r>
      <w:r w:rsidRPr="00E2187B">
        <w:t>counties</w:t>
      </w:r>
      <w:r>
        <w:t xml:space="preserve"> to represent older industrial cities</w:t>
      </w:r>
      <w:r w:rsidR="00B85936">
        <w:t xml:space="preserve"> </w:t>
      </w:r>
      <w:r w:rsidR="00CB0CD6">
        <w:t>for a few reasons</w:t>
      </w:r>
      <w:r w:rsidRPr="00C7728A">
        <w:t xml:space="preserve">. Historical economic data are more readily available for counties than for cities. </w:t>
      </w:r>
      <w:r>
        <w:t>C</w:t>
      </w:r>
      <w:r w:rsidRPr="00C7728A">
        <w:t xml:space="preserve">ounties </w:t>
      </w:r>
      <w:r>
        <w:t xml:space="preserve">also </w:t>
      </w:r>
      <w:r w:rsidRPr="00C7728A">
        <w:t xml:space="preserve">represent a middle ground between cities, which in most cases under-bound the local economy, and metropolitan areas, which in most cases </w:t>
      </w:r>
      <w:r>
        <w:t xml:space="preserve">contain significant suburban and exurban territory and thus </w:t>
      </w:r>
      <w:r w:rsidRPr="00C7728A">
        <w:t>over-bound the unique assets and challenges facing the older industrial urban core.</w:t>
      </w:r>
      <w:r>
        <w:t xml:space="preserve"> Moreover, many of the challenges that previous research has identified as characterizing older industrial cities—poverty, vacancy, low growth, aging infrastructure—are nearly as present in many of the urban counties surrounding those cities today. </w:t>
      </w:r>
      <w:r>
        <w:rPr>
          <w:rStyle w:val="EndnoteReference"/>
        </w:rPr>
        <w:endnoteReference w:id="51"/>
      </w:r>
      <w:r w:rsidR="00DF4AF6">
        <w:rPr>
          <w:rStyle w:val="EndnoteReference"/>
        </w:rPr>
        <w:endnoteReference w:id="52"/>
      </w:r>
      <w:r>
        <w:t xml:space="preserve"> </w:t>
      </w:r>
      <w:r w:rsidR="008F3712">
        <w:t>We</w:t>
      </w:r>
      <w:r w:rsidR="00B85936">
        <w:t xml:space="preserve"> refer to the ultimate set of these places </w:t>
      </w:r>
      <w:r w:rsidR="008F3712">
        <w:t xml:space="preserve">interchangeably </w:t>
      </w:r>
      <w:r w:rsidR="00E2187B">
        <w:t xml:space="preserve">as </w:t>
      </w:r>
      <w:r w:rsidR="00E2187B" w:rsidRPr="008F3712">
        <w:t>older industrial</w:t>
      </w:r>
      <w:r w:rsidR="00E2187B" w:rsidRPr="00E2187B">
        <w:rPr>
          <w:i/>
        </w:rPr>
        <w:t xml:space="preserve"> cities</w:t>
      </w:r>
      <w:r w:rsidR="00E2187B">
        <w:t xml:space="preserve">, </w:t>
      </w:r>
      <w:r w:rsidR="008F3712">
        <w:rPr>
          <w:i/>
        </w:rPr>
        <w:t xml:space="preserve">counties, </w:t>
      </w:r>
      <w:r w:rsidR="008F3712">
        <w:t xml:space="preserve">and </w:t>
      </w:r>
      <w:r w:rsidR="008F3712">
        <w:rPr>
          <w:i/>
        </w:rPr>
        <w:t xml:space="preserve">communities, </w:t>
      </w:r>
      <w:r w:rsidR="00E2187B">
        <w:t xml:space="preserve">and </w:t>
      </w:r>
      <w:r w:rsidR="008F3712">
        <w:t xml:space="preserve">thus frequently </w:t>
      </w:r>
      <w:r w:rsidR="00E2187B">
        <w:t>abbreviate them as “OICs</w:t>
      </w:r>
      <w:r w:rsidR="00B85936">
        <w:t>.</w:t>
      </w:r>
      <w:r w:rsidR="00E2187B">
        <w:t>”</w:t>
      </w:r>
      <w:r w:rsidR="00B85936">
        <w:t xml:space="preserve"> </w:t>
      </w:r>
    </w:p>
    <w:p w14:paraId="7962EF9B" w14:textId="77777777" w:rsidR="00FE7701" w:rsidRPr="00C7728A" w:rsidRDefault="00FE7701" w:rsidP="000A0847">
      <w:pPr>
        <w:spacing w:after="0" w:line="240" w:lineRule="auto"/>
      </w:pPr>
    </w:p>
    <w:p w14:paraId="638F10CE" w14:textId="5B0B0044" w:rsidR="00FE7701" w:rsidRPr="00C7728A" w:rsidRDefault="00E2187B" w:rsidP="000A0847">
      <w:pPr>
        <w:spacing w:after="0" w:line="240" w:lineRule="auto"/>
      </w:pPr>
      <w:r>
        <w:t>For each U.S. county, we assess</w:t>
      </w:r>
      <w:r w:rsidR="00FE7701" w:rsidRPr="00C7728A">
        <w:t xml:space="preserve"> three attributes to decide if it is an </w:t>
      </w:r>
      <w:r w:rsidR="008F3712">
        <w:t>OIC</w:t>
      </w:r>
      <w:r w:rsidR="00FE7701" w:rsidRPr="00C7728A">
        <w:t>:</w:t>
      </w:r>
    </w:p>
    <w:p w14:paraId="0284A6A6" w14:textId="77777777" w:rsidR="00FE7701" w:rsidRPr="00C7728A" w:rsidRDefault="00FE7701" w:rsidP="000A0847">
      <w:pPr>
        <w:spacing w:after="0" w:line="240" w:lineRule="auto"/>
      </w:pPr>
    </w:p>
    <w:p w14:paraId="35F9F2CA" w14:textId="4C02C71C" w:rsidR="00FE7701" w:rsidRDefault="00E2187B" w:rsidP="000A0847">
      <w:pPr>
        <w:numPr>
          <w:ilvl w:val="0"/>
          <w:numId w:val="5"/>
        </w:numPr>
        <w:spacing w:after="0" w:line="240" w:lineRule="auto"/>
      </w:pPr>
      <w:r w:rsidRPr="00E2187B">
        <w:rPr>
          <w:b/>
        </w:rPr>
        <w:t>Presence of a major urban center</w:t>
      </w:r>
      <w:r>
        <w:t xml:space="preserve">. </w:t>
      </w:r>
      <w:r w:rsidR="00FE7701">
        <w:t>We identify</w:t>
      </w:r>
      <w:r w:rsidR="00FE7701" w:rsidRPr="00C7728A">
        <w:t xml:space="preserve"> </w:t>
      </w:r>
      <w:r w:rsidR="00FE7701" w:rsidRPr="00E2187B">
        <w:t xml:space="preserve">365 </w:t>
      </w:r>
      <w:r w:rsidR="00FE7701" w:rsidRPr="00E2187B">
        <w:rPr>
          <w:b/>
        </w:rPr>
        <w:t xml:space="preserve">urban </w:t>
      </w:r>
      <w:r w:rsidR="00FE7701" w:rsidRPr="00E2187B">
        <w:t>counties</w:t>
      </w:r>
      <w:r w:rsidR="00FE7701" w:rsidRPr="00C7728A">
        <w:rPr>
          <w:b/>
        </w:rPr>
        <w:t xml:space="preserve"> </w:t>
      </w:r>
      <w:r>
        <w:t xml:space="preserve">that contain </w:t>
      </w:r>
      <w:r w:rsidR="00FE7701" w:rsidRPr="00C7728A">
        <w:t xml:space="preserve">a city </w:t>
      </w:r>
      <w:r>
        <w:t>with</w:t>
      </w:r>
      <w:r w:rsidR="00FE7701" w:rsidRPr="00C7728A">
        <w:t xml:space="preserve"> at</w:t>
      </w:r>
      <w:r>
        <w:t xml:space="preserve"> least 50,000 residents in 2016</w:t>
      </w:r>
      <w:r w:rsidR="00DF4AF6">
        <w:t>.</w:t>
      </w:r>
      <w:r w:rsidR="00DF4AF6">
        <w:rPr>
          <w:rStyle w:val="EndnoteReference"/>
        </w:rPr>
        <w:endnoteReference w:id="53"/>
      </w:r>
      <w:r w:rsidR="00DF4AF6">
        <w:t xml:space="preserve"> </w:t>
      </w:r>
      <w:r w:rsidR="00FE7701" w:rsidRPr="00C7728A">
        <w:t>While many smaller places exhibit an older industrial heritage, it is challenging to generalize the experience of these small places together with that of larger places.</w:t>
      </w:r>
      <w:r w:rsidR="00FE7701">
        <w:t xml:space="preserve"> We hypothesize that these larger urban areas, in general, possess a scale and set of assets that provide them with categorically different economic opportunities than </w:t>
      </w:r>
      <w:r>
        <w:t>smaller cities</w:t>
      </w:r>
      <w:r w:rsidR="00FE7701">
        <w:t>.</w:t>
      </w:r>
      <w:r w:rsidR="00FE7701">
        <w:rPr>
          <w:rStyle w:val="EndnoteReference"/>
        </w:rPr>
        <w:endnoteReference w:id="54"/>
      </w:r>
      <w:r w:rsidR="00FE7701">
        <w:t xml:space="preserve"> In addition, </w:t>
      </w:r>
      <w:r w:rsidR="00097D2A">
        <w:t>sample size constraints sharply limit data availability for smaller places</w:t>
      </w:r>
      <w:r w:rsidR="00FE7701" w:rsidRPr="00C7728A">
        <w:t xml:space="preserve">. </w:t>
      </w:r>
    </w:p>
    <w:p w14:paraId="50E409F9" w14:textId="3A20CB50" w:rsidR="00FE7701" w:rsidRDefault="00FE7701" w:rsidP="000A0847">
      <w:pPr>
        <w:spacing w:after="0" w:line="240" w:lineRule="auto"/>
      </w:pPr>
    </w:p>
    <w:p w14:paraId="1724930F" w14:textId="33665CB2" w:rsidR="00DC1651" w:rsidRDefault="00DC1651" w:rsidP="000A0847">
      <w:pPr>
        <w:spacing w:after="0" w:line="240" w:lineRule="auto"/>
      </w:pPr>
      <w:r>
        <w:t>[Figure 3.1—365 urban counties contain a city with at least 50,000 residents]</w:t>
      </w:r>
    </w:p>
    <w:p w14:paraId="04687AD6" w14:textId="77777777" w:rsidR="00FE7701" w:rsidRPr="00C7728A" w:rsidRDefault="00FE7701" w:rsidP="000A0847">
      <w:pPr>
        <w:spacing w:after="0" w:line="240" w:lineRule="auto"/>
      </w:pPr>
    </w:p>
    <w:p w14:paraId="373D102D" w14:textId="01E1DD05" w:rsidR="00FE7701" w:rsidRDefault="00E2187B" w:rsidP="000A0847">
      <w:pPr>
        <w:numPr>
          <w:ilvl w:val="0"/>
          <w:numId w:val="5"/>
        </w:numPr>
        <w:spacing w:after="0" w:line="240" w:lineRule="auto"/>
      </w:pPr>
      <w:r>
        <w:rPr>
          <w:b/>
        </w:rPr>
        <w:t xml:space="preserve">Industrial heritage. </w:t>
      </w:r>
      <w:r w:rsidR="00FE7701" w:rsidRPr="00C7728A">
        <w:t xml:space="preserve">Of those </w:t>
      </w:r>
      <w:r w:rsidR="00FE7701">
        <w:t xml:space="preserve">365 </w:t>
      </w:r>
      <w:r w:rsidR="00FE7701" w:rsidRPr="00C7728A">
        <w:t xml:space="preserve">urban counties, </w:t>
      </w:r>
      <w:r w:rsidR="00FE7701">
        <w:t>we identify</w:t>
      </w:r>
      <w:r w:rsidR="00FE7701" w:rsidRPr="00C7728A">
        <w:t xml:space="preserve"> </w:t>
      </w:r>
      <w:r w:rsidR="00FE7701" w:rsidRPr="00E2187B">
        <w:t>18</w:t>
      </w:r>
      <w:r w:rsidR="00B85936" w:rsidRPr="00E2187B">
        <w:t>5</w:t>
      </w:r>
      <w:r w:rsidR="00FE7701">
        <w:t xml:space="preserve"> </w:t>
      </w:r>
      <w:r w:rsidR="00FE7701" w:rsidRPr="00C7728A">
        <w:rPr>
          <w:b/>
        </w:rPr>
        <w:t xml:space="preserve">urban </w:t>
      </w:r>
      <w:r w:rsidR="00FE7701">
        <w:rPr>
          <w:b/>
        </w:rPr>
        <w:t xml:space="preserve">industrial </w:t>
      </w:r>
      <w:r w:rsidR="00FE7701" w:rsidRPr="00E2187B">
        <w:t>counties</w:t>
      </w:r>
      <w:r w:rsidR="00FE7701" w:rsidRPr="00C7728A">
        <w:t xml:space="preserve"> in which manufacturing represented at least 20 percent of all jobs in 1970.</w:t>
      </w:r>
      <w:r w:rsidR="00097D2A">
        <w:rPr>
          <w:rStyle w:val="EndnoteReference"/>
        </w:rPr>
        <w:endnoteReference w:id="55"/>
      </w:r>
      <w:r w:rsidR="00FE7701" w:rsidRPr="00C7728A">
        <w:t xml:space="preserve"> This is slightly below the </w:t>
      </w:r>
      <w:r w:rsidR="00CB0CD6">
        <w:t>overall share for urban counties</w:t>
      </w:r>
      <w:r w:rsidR="00FE7701" w:rsidRPr="00C7728A">
        <w:t xml:space="preserve"> at that time (25 percent), but accounts for the fact that many places, especially in the Northeast, had already undergone significant deindustrialization by that time.</w:t>
      </w:r>
      <w:r w:rsidR="00FE7701">
        <w:t xml:space="preserve"> These counties together contained nearly half of all U.S. manufacturing jobs in 1970.</w:t>
      </w:r>
    </w:p>
    <w:p w14:paraId="3CA25D2C" w14:textId="67E8BB11" w:rsidR="00FE7701" w:rsidRDefault="00FE7701" w:rsidP="000A0847">
      <w:pPr>
        <w:spacing w:after="0" w:line="240" w:lineRule="auto"/>
      </w:pPr>
    </w:p>
    <w:p w14:paraId="665D76E1" w14:textId="51E7A5B0" w:rsidR="00DC1651" w:rsidRDefault="00DC1651" w:rsidP="000A0847">
      <w:pPr>
        <w:spacing w:after="0" w:line="240" w:lineRule="auto"/>
      </w:pPr>
      <w:r>
        <w:t>[Figure 3.2—185 urban industrial counties had a significant history in manufacturing]</w:t>
      </w:r>
    </w:p>
    <w:p w14:paraId="31A4FCA3" w14:textId="77777777" w:rsidR="00FE7701" w:rsidRDefault="00FE7701" w:rsidP="000A0847">
      <w:pPr>
        <w:spacing w:after="0" w:line="240" w:lineRule="auto"/>
      </w:pPr>
    </w:p>
    <w:p w14:paraId="487B02A5" w14:textId="6CE3FD49" w:rsidR="00FE7701" w:rsidRDefault="00E2187B" w:rsidP="000A0847">
      <w:pPr>
        <w:numPr>
          <w:ilvl w:val="0"/>
          <w:numId w:val="5"/>
        </w:numPr>
        <w:spacing w:after="0" w:line="240" w:lineRule="auto"/>
      </w:pPr>
      <w:r>
        <w:rPr>
          <w:b/>
        </w:rPr>
        <w:t xml:space="preserve">Competitive </w:t>
      </w:r>
      <w:r w:rsidR="00763613">
        <w:rPr>
          <w:b/>
        </w:rPr>
        <w:t>challenge</w:t>
      </w:r>
      <w:r>
        <w:rPr>
          <w:b/>
        </w:rPr>
        <w:t xml:space="preserve">. </w:t>
      </w:r>
      <w:r w:rsidR="00FE7701" w:rsidRPr="00C7728A">
        <w:t xml:space="preserve">Of those </w:t>
      </w:r>
      <w:r w:rsidR="00B85936">
        <w:t>185</w:t>
      </w:r>
      <w:r w:rsidR="00FE7701">
        <w:t xml:space="preserve"> </w:t>
      </w:r>
      <w:r w:rsidR="00FE7701" w:rsidRPr="00C7728A">
        <w:t>industrial urban c</w:t>
      </w:r>
      <w:r w:rsidR="00FE7701">
        <w:t>ounties, we identify</w:t>
      </w:r>
      <w:r w:rsidR="00FE7701" w:rsidRPr="00C7728A">
        <w:t xml:space="preserve"> </w:t>
      </w:r>
      <w:r w:rsidR="00FE7701" w:rsidRPr="00E2187B">
        <w:t>70</w:t>
      </w:r>
      <w:r w:rsidR="00FE7701">
        <w:t xml:space="preserve"> </w:t>
      </w:r>
      <w:r w:rsidR="00FE7701" w:rsidRPr="00C7728A">
        <w:rPr>
          <w:b/>
        </w:rPr>
        <w:t xml:space="preserve">older industrial </w:t>
      </w:r>
      <w:r w:rsidR="00FE7701" w:rsidRPr="00E2187B">
        <w:t>counties</w:t>
      </w:r>
      <w:r w:rsidR="00FE7701" w:rsidRPr="00C7728A">
        <w:t xml:space="preserve"> that </w:t>
      </w:r>
      <w:r w:rsidR="00FE7701">
        <w:t>transitioned less successfully than other industrial counties from 1970 to 2016</w:t>
      </w:r>
      <w:r w:rsidR="00FE7701" w:rsidRPr="00C7728A">
        <w:t xml:space="preserve">. </w:t>
      </w:r>
      <w:r w:rsidR="00FE7701">
        <w:t>To identify them, w</w:t>
      </w:r>
      <w:r w:rsidR="00FE7701" w:rsidRPr="00C7728A">
        <w:t xml:space="preserve">e </w:t>
      </w:r>
      <w:r w:rsidR="00FE7701">
        <w:t xml:space="preserve">take </w:t>
      </w:r>
      <w:r w:rsidR="00FE7701" w:rsidRPr="00C7728A">
        <w:t xml:space="preserve">each county’s employment-by-industry structure as of 1970, </w:t>
      </w:r>
      <w:r w:rsidR="00FE7701">
        <w:t>and assume</w:t>
      </w:r>
      <w:r w:rsidR="00FE7701" w:rsidRPr="00C7728A">
        <w:t xml:space="preserve"> that jobs in each sector grew at the same rate they did</w:t>
      </w:r>
      <w:r w:rsidR="00FE7701">
        <w:t xml:space="preserve"> nationally from 1970 to 2016.</w:t>
      </w:r>
      <w:r w:rsidR="00FE7701" w:rsidRPr="00C7728A">
        <w:t xml:space="preserve"> </w:t>
      </w:r>
      <w:r w:rsidR="00FE7701">
        <w:t>We then compare</w:t>
      </w:r>
      <w:r w:rsidR="00FE7701" w:rsidRPr="00C7728A">
        <w:t xml:space="preserve"> total county employment implied by that calculation </w:t>
      </w:r>
      <w:r w:rsidR="00FE7701">
        <w:t xml:space="preserve">in 2016 </w:t>
      </w:r>
      <w:r w:rsidR="00FE7701" w:rsidRPr="00C7728A">
        <w:t>to actual</w:t>
      </w:r>
      <w:r w:rsidR="00FE7701">
        <w:t xml:space="preserve"> total county employment in 2016. If the county has</w:t>
      </w:r>
      <w:r w:rsidR="00FE7701" w:rsidRPr="00C7728A">
        <w:t xml:space="preserve"> </w:t>
      </w:r>
      <w:r w:rsidR="00FE7701">
        <w:t xml:space="preserve">significantly </w:t>
      </w:r>
      <w:r w:rsidR="00FE7701" w:rsidRPr="00C7728A">
        <w:t>fewer jobs than national trends would have predicted</w:t>
      </w:r>
      <w:r w:rsidR="00FE7701">
        <w:t xml:space="preserve"> (at least 3 percent fewer, in our definition)</w:t>
      </w:r>
      <w:r w:rsidR="00FE7701" w:rsidRPr="00C7728A">
        <w:t>, we conclude that some local factors (rather than exclusively national/global factors) held back job growth</w:t>
      </w:r>
      <w:r>
        <w:t>, and classify it as an OIC</w:t>
      </w:r>
      <w:r w:rsidR="00FE7701" w:rsidRPr="00C7728A">
        <w:t>.</w:t>
      </w:r>
      <w:r w:rsidR="00FE7701">
        <w:rPr>
          <w:rStyle w:val="EndnoteReference"/>
        </w:rPr>
        <w:endnoteReference w:id="56"/>
      </w:r>
    </w:p>
    <w:p w14:paraId="32213E32" w14:textId="0B4DECA2" w:rsidR="00FE7701" w:rsidRDefault="00FE7701" w:rsidP="000A0847">
      <w:pPr>
        <w:spacing w:after="0" w:line="240" w:lineRule="auto"/>
      </w:pPr>
    </w:p>
    <w:p w14:paraId="477BCADC" w14:textId="0D369533" w:rsidR="00DC1651" w:rsidRDefault="00DC1651" w:rsidP="000A0847">
      <w:pPr>
        <w:spacing w:after="0" w:line="240" w:lineRule="auto"/>
      </w:pPr>
      <w:r>
        <w:t>[Figure 3.3—70 older industrial counties have struggled over time to grow jobs in new sectors]</w:t>
      </w:r>
    </w:p>
    <w:p w14:paraId="02068A9E" w14:textId="77777777" w:rsidR="00DC1651" w:rsidRDefault="00DC1651" w:rsidP="000A0847">
      <w:pPr>
        <w:spacing w:after="0" w:line="240" w:lineRule="auto"/>
      </w:pPr>
    </w:p>
    <w:p w14:paraId="236ED655" w14:textId="1B978E45" w:rsidR="00FE7701" w:rsidRDefault="00FE7701" w:rsidP="000A0847">
      <w:pPr>
        <w:spacing w:after="0" w:line="240" w:lineRule="auto"/>
      </w:pPr>
    </w:p>
    <w:p w14:paraId="2039A93C" w14:textId="1BD0B256" w:rsidR="00A85E40" w:rsidRDefault="005F1E26" w:rsidP="000A0847">
      <w:pPr>
        <w:spacing w:after="0" w:line="240" w:lineRule="auto"/>
        <w:rPr>
          <w:b/>
        </w:rPr>
      </w:pPr>
      <w:r>
        <w:rPr>
          <w:b/>
        </w:rPr>
        <w:t>Figure 3.4</w:t>
      </w:r>
      <w:r w:rsidR="0066220C">
        <w:rPr>
          <w:b/>
        </w:rPr>
        <w:t>—70 o</w:t>
      </w:r>
      <w:r w:rsidR="00A85E40" w:rsidRPr="00A85E40">
        <w:rPr>
          <w:b/>
        </w:rPr>
        <w:t xml:space="preserve">lder </w:t>
      </w:r>
      <w:r w:rsidR="0066220C">
        <w:rPr>
          <w:b/>
        </w:rPr>
        <w:t>i</w:t>
      </w:r>
      <w:r w:rsidR="00A85E40" w:rsidRPr="00A85E40">
        <w:rPr>
          <w:b/>
        </w:rPr>
        <w:t xml:space="preserve">ndustrial </w:t>
      </w:r>
      <w:r w:rsidR="0066220C">
        <w:rPr>
          <w:b/>
        </w:rPr>
        <w:t>communities are located in 20 different states</w:t>
      </w:r>
    </w:p>
    <w:p w14:paraId="30563B40" w14:textId="7D830F6F" w:rsidR="008317CB" w:rsidRPr="008317CB" w:rsidRDefault="008317CB" w:rsidP="000A0847">
      <w:pPr>
        <w:spacing w:after="0" w:line="240" w:lineRule="auto"/>
      </w:pPr>
      <w:r>
        <w:t>Older industrial counties, largest cities, and county populations by state</w:t>
      </w:r>
    </w:p>
    <w:tbl>
      <w:tblPr>
        <w:tblStyle w:val="GridTable4-Accent1"/>
        <w:tblW w:w="7428" w:type="dxa"/>
        <w:tblLook w:val="04A0" w:firstRow="1" w:lastRow="0" w:firstColumn="1" w:lastColumn="0" w:noHBand="0" w:noVBand="1"/>
      </w:tblPr>
      <w:tblGrid>
        <w:gridCol w:w="2618"/>
        <w:gridCol w:w="997"/>
        <w:gridCol w:w="2553"/>
        <w:gridCol w:w="1260"/>
      </w:tblGrid>
      <w:tr w:rsidR="00A85E40" w:rsidRPr="0009491F" w14:paraId="416F3E80" w14:textId="77777777" w:rsidTr="00DB288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14EC5E91" w14:textId="77777777" w:rsidR="00A85E40" w:rsidRPr="0009491F" w:rsidRDefault="00A85E40" w:rsidP="000A0847">
            <w:pPr>
              <w:rPr>
                <w:sz w:val="20"/>
                <w:szCs w:val="20"/>
              </w:rPr>
            </w:pPr>
            <w:r w:rsidRPr="0009491F">
              <w:rPr>
                <w:sz w:val="20"/>
                <w:szCs w:val="20"/>
              </w:rPr>
              <w:t>County Name</w:t>
            </w:r>
          </w:p>
        </w:tc>
        <w:tc>
          <w:tcPr>
            <w:tcW w:w="997" w:type="dxa"/>
            <w:noWrap/>
            <w:hideMark/>
          </w:tcPr>
          <w:p w14:paraId="4AF4A828" w14:textId="77777777" w:rsidR="00A85E40" w:rsidRPr="0009491F" w:rsidRDefault="00A85E40" w:rsidP="000A0847">
            <w:pPr>
              <w:cnfStyle w:val="100000000000" w:firstRow="1" w:lastRow="0" w:firstColumn="0" w:lastColumn="0" w:oddVBand="0" w:evenVBand="0" w:oddHBand="0" w:evenHBand="0" w:firstRowFirstColumn="0" w:firstRowLastColumn="0" w:lastRowFirstColumn="0" w:lastRowLastColumn="0"/>
              <w:rPr>
                <w:sz w:val="20"/>
                <w:szCs w:val="20"/>
              </w:rPr>
            </w:pPr>
            <w:r w:rsidRPr="0009491F">
              <w:rPr>
                <w:sz w:val="20"/>
                <w:szCs w:val="20"/>
              </w:rPr>
              <w:t>State</w:t>
            </w:r>
          </w:p>
        </w:tc>
        <w:tc>
          <w:tcPr>
            <w:tcW w:w="2553" w:type="dxa"/>
            <w:noWrap/>
            <w:hideMark/>
          </w:tcPr>
          <w:p w14:paraId="26E3EB50" w14:textId="77777777" w:rsidR="00A85E40" w:rsidRPr="0009491F" w:rsidRDefault="00A85E40" w:rsidP="000A0847">
            <w:pPr>
              <w:cnfStyle w:val="100000000000" w:firstRow="1" w:lastRow="0" w:firstColumn="0" w:lastColumn="0" w:oddVBand="0" w:evenVBand="0" w:oddHBand="0" w:evenHBand="0" w:firstRowFirstColumn="0" w:firstRowLastColumn="0" w:lastRowFirstColumn="0" w:lastRowLastColumn="0"/>
              <w:rPr>
                <w:sz w:val="20"/>
                <w:szCs w:val="20"/>
              </w:rPr>
            </w:pPr>
            <w:r w:rsidRPr="0009491F">
              <w:rPr>
                <w:sz w:val="20"/>
                <w:szCs w:val="20"/>
              </w:rPr>
              <w:t>Largest City</w:t>
            </w:r>
          </w:p>
        </w:tc>
        <w:tc>
          <w:tcPr>
            <w:tcW w:w="1260" w:type="dxa"/>
            <w:noWrap/>
            <w:hideMark/>
          </w:tcPr>
          <w:p w14:paraId="10C71B4E" w14:textId="77777777" w:rsidR="00A85E40" w:rsidRPr="0009491F" w:rsidRDefault="00A85E40" w:rsidP="000A0847">
            <w:pPr>
              <w:jc w:val="right"/>
              <w:cnfStyle w:val="100000000000" w:firstRow="1" w:lastRow="0" w:firstColumn="0" w:lastColumn="0" w:oddVBand="0" w:evenVBand="0" w:oddHBand="0" w:evenHBand="0" w:firstRowFirstColumn="0" w:firstRowLastColumn="0" w:lastRowFirstColumn="0" w:lastRowLastColumn="0"/>
              <w:rPr>
                <w:sz w:val="20"/>
                <w:szCs w:val="20"/>
              </w:rPr>
            </w:pPr>
            <w:r w:rsidRPr="0009491F">
              <w:rPr>
                <w:sz w:val="20"/>
                <w:szCs w:val="20"/>
              </w:rPr>
              <w:t>2016 Population</w:t>
            </w:r>
          </w:p>
        </w:tc>
      </w:tr>
      <w:tr w:rsidR="00A85E40" w:rsidRPr="00A85E40" w14:paraId="124F84FA"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3BD930F" w14:textId="77777777" w:rsidR="00A85E40" w:rsidRPr="00673BDA" w:rsidRDefault="00A85E40" w:rsidP="000A0847">
            <w:pPr>
              <w:rPr>
                <w:sz w:val="20"/>
                <w:szCs w:val="20"/>
              </w:rPr>
            </w:pPr>
            <w:r w:rsidRPr="00673BDA">
              <w:rPr>
                <w:sz w:val="20"/>
                <w:szCs w:val="20"/>
              </w:rPr>
              <w:t>Jefferson County</w:t>
            </w:r>
          </w:p>
        </w:tc>
        <w:tc>
          <w:tcPr>
            <w:tcW w:w="997" w:type="dxa"/>
            <w:noWrap/>
            <w:hideMark/>
          </w:tcPr>
          <w:p w14:paraId="7ABF8920"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AL</w:t>
            </w:r>
          </w:p>
        </w:tc>
        <w:tc>
          <w:tcPr>
            <w:tcW w:w="2553" w:type="dxa"/>
            <w:noWrap/>
            <w:hideMark/>
          </w:tcPr>
          <w:p w14:paraId="20FC994C" w14:textId="521A4A32"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Birmingham</w:t>
            </w:r>
          </w:p>
        </w:tc>
        <w:tc>
          <w:tcPr>
            <w:tcW w:w="1260" w:type="dxa"/>
            <w:noWrap/>
            <w:hideMark/>
          </w:tcPr>
          <w:p w14:paraId="1591B814"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659,521</w:t>
            </w:r>
          </w:p>
        </w:tc>
      </w:tr>
      <w:tr w:rsidR="00A85E40" w:rsidRPr="00A85E40" w14:paraId="7F47AEF9"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FAD16A8" w14:textId="77777777" w:rsidR="00A85E40" w:rsidRPr="00673BDA" w:rsidRDefault="00A85E40" w:rsidP="000A0847">
            <w:pPr>
              <w:rPr>
                <w:sz w:val="20"/>
                <w:szCs w:val="20"/>
              </w:rPr>
            </w:pPr>
            <w:r w:rsidRPr="00673BDA">
              <w:rPr>
                <w:sz w:val="20"/>
                <w:szCs w:val="20"/>
              </w:rPr>
              <w:t>Fairfield County</w:t>
            </w:r>
          </w:p>
        </w:tc>
        <w:tc>
          <w:tcPr>
            <w:tcW w:w="997" w:type="dxa"/>
            <w:noWrap/>
            <w:hideMark/>
          </w:tcPr>
          <w:p w14:paraId="7E4AE878"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CT</w:t>
            </w:r>
          </w:p>
        </w:tc>
        <w:tc>
          <w:tcPr>
            <w:tcW w:w="2553" w:type="dxa"/>
            <w:noWrap/>
            <w:hideMark/>
          </w:tcPr>
          <w:p w14:paraId="1AC541B3" w14:textId="559D3E93"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Bridgeport</w:t>
            </w:r>
          </w:p>
        </w:tc>
        <w:tc>
          <w:tcPr>
            <w:tcW w:w="1260" w:type="dxa"/>
            <w:noWrap/>
            <w:hideMark/>
          </w:tcPr>
          <w:p w14:paraId="1C763E7B"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944,177</w:t>
            </w:r>
          </w:p>
        </w:tc>
      </w:tr>
      <w:tr w:rsidR="00A85E40" w:rsidRPr="00A85E40" w14:paraId="34FB418B"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C1092CB" w14:textId="77777777" w:rsidR="00A85E40" w:rsidRPr="00673BDA" w:rsidRDefault="00A85E40" w:rsidP="000A0847">
            <w:pPr>
              <w:rPr>
                <w:sz w:val="20"/>
                <w:szCs w:val="20"/>
              </w:rPr>
            </w:pPr>
            <w:r w:rsidRPr="00673BDA">
              <w:rPr>
                <w:sz w:val="20"/>
                <w:szCs w:val="20"/>
              </w:rPr>
              <w:t>Hartford County</w:t>
            </w:r>
          </w:p>
        </w:tc>
        <w:tc>
          <w:tcPr>
            <w:tcW w:w="997" w:type="dxa"/>
            <w:noWrap/>
            <w:hideMark/>
          </w:tcPr>
          <w:p w14:paraId="22DC7E31"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CT</w:t>
            </w:r>
          </w:p>
        </w:tc>
        <w:tc>
          <w:tcPr>
            <w:tcW w:w="2553" w:type="dxa"/>
            <w:noWrap/>
            <w:hideMark/>
          </w:tcPr>
          <w:p w14:paraId="7FE1EECB" w14:textId="0C766226"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Hartford</w:t>
            </w:r>
          </w:p>
        </w:tc>
        <w:tc>
          <w:tcPr>
            <w:tcW w:w="1260" w:type="dxa"/>
            <w:noWrap/>
            <w:hideMark/>
          </w:tcPr>
          <w:p w14:paraId="1992EF8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892,389</w:t>
            </w:r>
          </w:p>
        </w:tc>
      </w:tr>
      <w:tr w:rsidR="00A85E40" w:rsidRPr="00A85E40" w14:paraId="0FAB64F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60E39E1" w14:textId="77777777" w:rsidR="00A85E40" w:rsidRPr="00673BDA" w:rsidRDefault="00A85E40" w:rsidP="000A0847">
            <w:pPr>
              <w:rPr>
                <w:sz w:val="20"/>
                <w:szCs w:val="20"/>
              </w:rPr>
            </w:pPr>
            <w:r w:rsidRPr="00673BDA">
              <w:rPr>
                <w:sz w:val="20"/>
                <w:szCs w:val="20"/>
              </w:rPr>
              <w:t>New Haven County</w:t>
            </w:r>
          </w:p>
        </w:tc>
        <w:tc>
          <w:tcPr>
            <w:tcW w:w="997" w:type="dxa"/>
            <w:noWrap/>
            <w:hideMark/>
          </w:tcPr>
          <w:p w14:paraId="0ACF320D"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CT</w:t>
            </w:r>
          </w:p>
        </w:tc>
        <w:tc>
          <w:tcPr>
            <w:tcW w:w="2553" w:type="dxa"/>
            <w:noWrap/>
            <w:hideMark/>
          </w:tcPr>
          <w:p w14:paraId="49BFD0DF" w14:textId="34A00FFE"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New Haven</w:t>
            </w:r>
          </w:p>
        </w:tc>
        <w:tc>
          <w:tcPr>
            <w:tcW w:w="1260" w:type="dxa"/>
            <w:noWrap/>
            <w:hideMark/>
          </w:tcPr>
          <w:p w14:paraId="5EBCE509"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856,875</w:t>
            </w:r>
          </w:p>
        </w:tc>
      </w:tr>
      <w:tr w:rsidR="00A85E40" w:rsidRPr="00A85E40" w14:paraId="7FF912E5"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D4BF66C" w14:textId="77777777" w:rsidR="00A85E40" w:rsidRPr="00673BDA" w:rsidRDefault="00A85E40" w:rsidP="000A0847">
            <w:pPr>
              <w:rPr>
                <w:sz w:val="20"/>
                <w:szCs w:val="20"/>
              </w:rPr>
            </w:pPr>
            <w:r w:rsidRPr="00673BDA">
              <w:rPr>
                <w:sz w:val="20"/>
                <w:szCs w:val="20"/>
              </w:rPr>
              <w:t>Bibb County</w:t>
            </w:r>
          </w:p>
        </w:tc>
        <w:tc>
          <w:tcPr>
            <w:tcW w:w="997" w:type="dxa"/>
            <w:noWrap/>
            <w:hideMark/>
          </w:tcPr>
          <w:p w14:paraId="26395FA8"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GA</w:t>
            </w:r>
          </w:p>
        </w:tc>
        <w:tc>
          <w:tcPr>
            <w:tcW w:w="2553" w:type="dxa"/>
            <w:noWrap/>
            <w:hideMark/>
          </w:tcPr>
          <w:p w14:paraId="02178262" w14:textId="7B9241FC"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Macon</w:t>
            </w:r>
          </w:p>
        </w:tc>
        <w:tc>
          <w:tcPr>
            <w:tcW w:w="1260" w:type="dxa"/>
            <w:noWrap/>
            <w:hideMark/>
          </w:tcPr>
          <w:p w14:paraId="5AF18E9D"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152,760</w:t>
            </w:r>
          </w:p>
        </w:tc>
      </w:tr>
      <w:tr w:rsidR="00A85E40" w:rsidRPr="00A85E40" w14:paraId="13F957E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1156E7AF" w14:textId="77777777" w:rsidR="00A85E40" w:rsidRPr="00673BDA" w:rsidRDefault="00A85E40" w:rsidP="000A0847">
            <w:pPr>
              <w:rPr>
                <w:sz w:val="20"/>
                <w:szCs w:val="20"/>
              </w:rPr>
            </w:pPr>
            <w:r w:rsidRPr="00673BDA">
              <w:rPr>
                <w:sz w:val="20"/>
                <w:szCs w:val="20"/>
              </w:rPr>
              <w:t>Dougherty County</w:t>
            </w:r>
          </w:p>
        </w:tc>
        <w:tc>
          <w:tcPr>
            <w:tcW w:w="997" w:type="dxa"/>
            <w:noWrap/>
            <w:hideMark/>
          </w:tcPr>
          <w:p w14:paraId="4E02EE3A"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GA</w:t>
            </w:r>
          </w:p>
        </w:tc>
        <w:tc>
          <w:tcPr>
            <w:tcW w:w="2553" w:type="dxa"/>
            <w:noWrap/>
            <w:hideMark/>
          </w:tcPr>
          <w:p w14:paraId="617A161D" w14:textId="34FA6206"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Albany</w:t>
            </w:r>
          </w:p>
        </w:tc>
        <w:tc>
          <w:tcPr>
            <w:tcW w:w="1260" w:type="dxa"/>
            <w:noWrap/>
            <w:hideMark/>
          </w:tcPr>
          <w:p w14:paraId="23AF37B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90,017</w:t>
            </w:r>
          </w:p>
        </w:tc>
      </w:tr>
      <w:tr w:rsidR="00A85E40" w:rsidRPr="00A85E40" w14:paraId="3F0E50C2"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FACF188" w14:textId="77777777" w:rsidR="00A85E40" w:rsidRPr="00673BDA" w:rsidRDefault="00A85E40" w:rsidP="000A0847">
            <w:pPr>
              <w:rPr>
                <w:sz w:val="20"/>
                <w:szCs w:val="20"/>
              </w:rPr>
            </w:pPr>
            <w:r w:rsidRPr="00673BDA">
              <w:rPr>
                <w:sz w:val="20"/>
                <w:szCs w:val="20"/>
              </w:rPr>
              <w:t>Macon County</w:t>
            </w:r>
          </w:p>
        </w:tc>
        <w:tc>
          <w:tcPr>
            <w:tcW w:w="997" w:type="dxa"/>
            <w:noWrap/>
            <w:hideMark/>
          </w:tcPr>
          <w:p w14:paraId="08BAE15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IL</w:t>
            </w:r>
          </w:p>
        </w:tc>
        <w:tc>
          <w:tcPr>
            <w:tcW w:w="2553" w:type="dxa"/>
            <w:noWrap/>
            <w:hideMark/>
          </w:tcPr>
          <w:p w14:paraId="0463DF3D" w14:textId="048F553A"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Decatur</w:t>
            </w:r>
          </w:p>
        </w:tc>
        <w:tc>
          <w:tcPr>
            <w:tcW w:w="1260" w:type="dxa"/>
            <w:noWrap/>
            <w:hideMark/>
          </w:tcPr>
          <w:p w14:paraId="0677DAB7"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106,550</w:t>
            </w:r>
          </w:p>
        </w:tc>
      </w:tr>
      <w:tr w:rsidR="00A85E40" w:rsidRPr="00A85E40" w14:paraId="24EF9252"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33CF7BF" w14:textId="77777777" w:rsidR="00A85E40" w:rsidRPr="00673BDA" w:rsidRDefault="00A85E40" w:rsidP="000A0847">
            <w:pPr>
              <w:rPr>
                <w:sz w:val="20"/>
                <w:szCs w:val="20"/>
              </w:rPr>
            </w:pPr>
            <w:r w:rsidRPr="00673BDA">
              <w:rPr>
                <w:sz w:val="20"/>
                <w:szCs w:val="20"/>
              </w:rPr>
              <w:t>Peoria County</w:t>
            </w:r>
          </w:p>
        </w:tc>
        <w:tc>
          <w:tcPr>
            <w:tcW w:w="997" w:type="dxa"/>
            <w:noWrap/>
            <w:hideMark/>
          </w:tcPr>
          <w:p w14:paraId="74F928FC"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IL</w:t>
            </w:r>
          </w:p>
        </w:tc>
        <w:tc>
          <w:tcPr>
            <w:tcW w:w="2553" w:type="dxa"/>
            <w:noWrap/>
            <w:hideMark/>
          </w:tcPr>
          <w:p w14:paraId="15A63A25" w14:textId="09C54BC5"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Peoria</w:t>
            </w:r>
          </w:p>
        </w:tc>
        <w:tc>
          <w:tcPr>
            <w:tcW w:w="1260" w:type="dxa"/>
            <w:noWrap/>
            <w:hideMark/>
          </w:tcPr>
          <w:p w14:paraId="251154D1"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185,006</w:t>
            </w:r>
          </w:p>
        </w:tc>
      </w:tr>
      <w:tr w:rsidR="00A85E40" w:rsidRPr="00A85E40" w14:paraId="2A93C719"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15CD16B4" w14:textId="77777777" w:rsidR="00A85E40" w:rsidRPr="00673BDA" w:rsidRDefault="00A85E40" w:rsidP="000A0847">
            <w:pPr>
              <w:rPr>
                <w:sz w:val="20"/>
                <w:szCs w:val="20"/>
              </w:rPr>
            </w:pPr>
            <w:r w:rsidRPr="00673BDA">
              <w:rPr>
                <w:sz w:val="20"/>
                <w:szCs w:val="20"/>
              </w:rPr>
              <w:t>Winnebago County</w:t>
            </w:r>
          </w:p>
        </w:tc>
        <w:tc>
          <w:tcPr>
            <w:tcW w:w="997" w:type="dxa"/>
            <w:noWrap/>
            <w:hideMark/>
          </w:tcPr>
          <w:p w14:paraId="77ECB2BB"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IL</w:t>
            </w:r>
          </w:p>
        </w:tc>
        <w:tc>
          <w:tcPr>
            <w:tcW w:w="2553" w:type="dxa"/>
            <w:noWrap/>
            <w:hideMark/>
          </w:tcPr>
          <w:p w14:paraId="4E91AABE" w14:textId="70F872CB"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Rockford</w:t>
            </w:r>
          </w:p>
        </w:tc>
        <w:tc>
          <w:tcPr>
            <w:tcW w:w="1260" w:type="dxa"/>
            <w:noWrap/>
            <w:hideMark/>
          </w:tcPr>
          <w:p w14:paraId="455009C6"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285,873</w:t>
            </w:r>
          </w:p>
        </w:tc>
      </w:tr>
      <w:tr w:rsidR="00A85E40" w:rsidRPr="00A85E40" w14:paraId="4FDD0344"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249DF94" w14:textId="77777777" w:rsidR="00A85E40" w:rsidRPr="00673BDA" w:rsidRDefault="00A85E40" w:rsidP="000A0847">
            <w:pPr>
              <w:rPr>
                <w:sz w:val="20"/>
                <w:szCs w:val="20"/>
              </w:rPr>
            </w:pPr>
            <w:r w:rsidRPr="00673BDA">
              <w:rPr>
                <w:sz w:val="20"/>
                <w:szCs w:val="20"/>
              </w:rPr>
              <w:t>Allen County</w:t>
            </w:r>
          </w:p>
        </w:tc>
        <w:tc>
          <w:tcPr>
            <w:tcW w:w="997" w:type="dxa"/>
            <w:noWrap/>
            <w:hideMark/>
          </w:tcPr>
          <w:p w14:paraId="6712EDE8"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IN</w:t>
            </w:r>
          </w:p>
        </w:tc>
        <w:tc>
          <w:tcPr>
            <w:tcW w:w="2553" w:type="dxa"/>
            <w:noWrap/>
            <w:hideMark/>
          </w:tcPr>
          <w:p w14:paraId="5C3DBF83" w14:textId="0658D8B9"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Fort Wayne</w:t>
            </w:r>
          </w:p>
        </w:tc>
        <w:tc>
          <w:tcPr>
            <w:tcW w:w="1260" w:type="dxa"/>
            <w:noWrap/>
            <w:hideMark/>
          </w:tcPr>
          <w:p w14:paraId="47E8FA74"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370,404</w:t>
            </w:r>
          </w:p>
        </w:tc>
      </w:tr>
      <w:tr w:rsidR="00A85E40" w:rsidRPr="00A85E40" w14:paraId="4A508E68"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CD31A59" w14:textId="77777777" w:rsidR="00A85E40" w:rsidRPr="00673BDA" w:rsidRDefault="00A85E40" w:rsidP="000A0847">
            <w:pPr>
              <w:rPr>
                <w:sz w:val="20"/>
                <w:szCs w:val="20"/>
              </w:rPr>
            </w:pPr>
            <w:r w:rsidRPr="00673BDA">
              <w:rPr>
                <w:sz w:val="20"/>
                <w:szCs w:val="20"/>
              </w:rPr>
              <w:t>Delaware County</w:t>
            </w:r>
          </w:p>
        </w:tc>
        <w:tc>
          <w:tcPr>
            <w:tcW w:w="997" w:type="dxa"/>
            <w:noWrap/>
            <w:hideMark/>
          </w:tcPr>
          <w:p w14:paraId="79A6AF94"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IN</w:t>
            </w:r>
          </w:p>
        </w:tc>
        <w:tc>
          <w:tcPr>
            <w:tcW w:w="2553" w:type="dxa"/>
            <w:noWrap/>
            <w:hideMark/>
          </w:tcPr>
          <w:p w14:paraId="0AAACCA9" w14:textId="197EF82B"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Muncie</w:t>
            </w:r>
          </w:p>
        </w:tc>
        <w:tc>
          <w:tcPr>
            <w:tcW w:w="1260" w:type="dxa"/>
            <w:noWrap/>
            <w:hideMark/>
          </w:tcPr>
          <w:p w14:paraId="557A27AA"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115,603</w:t>
            </w:r>
          </w:p>
        </w:tc>
      </w:tr>
      <w:tr w:rsidR="00A85E40" w:rsidRPr="00A85E40" w14:paraId="582389C7"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F7409F8" w14:textId="77777777" w:rsidR="00A85E40" w:rsidRPr="00673BDA" w:rsidRDefault="00A85E40" w:rsidP="000A0847">
            <w:pPr>
              <w:rPr>
                <w:sz w:val="20"/>
                <w:szCs w:val="20"/>
              </w:rPr>
            </w:pPr>
            <w:r w:rsidRPr="00673BDA">
              <w:rPr>
                <w:sz w:val="20"/>
                <w:szCs w:val="20"/>
              </w:rPr>
              <w:t>Howard County</w:t>
            </w:r>
          </w:p>
        </w:tc>
        <w:tc>
          <w:tcPr>
            <w:tcW w:w="997" w:type="dxa"/>
            <w:noWrap/>
            <w:hideMark/>
          </w:tcPr>
          <w:p w14:paraId="71AF2EEE"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IN</w:t>
            </w:r>
          </w:p>
        </w:tc>
        <w:tc>
          <w:tcPr>
            <w:tcW w:w="2553" w:type="dxa"/>
            <w:noWrap/>
            <w:hideMark/>
          </w:tcPr>
          <w:p w14:paraId="68A8575F" w14:textId="37033D9F"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Kokomo</w:t>
            </w:r>
          </w:p>
        </w:tc>
        <w:tc>
          <w:tcPr>
            <w:tcW w:w="1260" w:type="dxa"/>
            <w:noWrap/>
            <w:hideMark/>
          </w:tcPr>
          <w:p w14:paraId="1D2CBB8B"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82,568</w:t>
            </w:r>
          </w:p>
        </w:tc>
      </w:tr>
      <w:tr w:rsidR="00A85E40" w:rsidRPr="00A85E40" w14:paraId="14146EEA"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6697FAB" w14:textId="77777777" w:rsidR="00A85E40" w:rsidRPr="00673BDA" w:rsidRDefault="00A85E40" w:rsidP="000A0847">
            <w:pPr>
              <w:rPr>
                <w:sz w:val="20"/>
                <w:szCs w:val="20"/>
              </w:rPr>
            </w:pPr>
            <w:r w:rsidRPr="00673BDA">
              <w:rPr>
                <w:sz w:val="20"/>
                <w:szCs w:val="20"/>
              </w:rPr>
              <w:t>Lake County</w:t>
            </w:r>
          </w:p>
        </w:tc>
        <w:tc>
          <w:tcPr>
            <w:tcW w:w="997" w:type="dxa"/>
            <w:noWrap/>
            <w:hideMark/>
          </w:tcPr>
          <w:p w14:paraId="78539DEE"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IN</w:t>
            </w:r>
          </w:p>
        </w:tc>
        <w:tc>
          <w:tcPr>
            <w:tcW w:w="2553" w:type="dxa"/>
            <w:noWrap/>
            <w:hideMark/>
          </w:tcPr>
          <w:p w14:paraId="3ADEB95C" w14:textId="125FD8DA"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Hammond</w:t>
            </w:r>
          </w:p>
        </w:tc>
        <w:tc>
          <w:tcPr>
            <w:tcW w:w="1260" w:type="dxa"/>
            <w:noWrap/>
            <w:hideMark/>
          </w:tcPr>
          <w:p w14:paraId="0D79C8AE"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485,846</w:t>
            </w:r>
          </w:p>
        </w:tc>
      </w:tr>
      <w:tr w:rsidR="00A85E40" w:rsidRPr="00A85E40" w14:paraId="3A655688"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EEFC738" w14:textId="77777777" w:rsidR="00A85E40" w:rsidRPr="00673BDA" w:rsidRDefault="00A85E40" w:rsidP="000A0847">
            <w:pPr>
              <w:rPr>
                <w:sz w:val="20"/>
                <w:szCs w:val="20"/>
              </w:rPr>
            </w:pPr>
            <w:r w:rsidRPr="00673BDA">
              <w:rPr>
                <w:sz w:val="20"/>
                <w:szCs w:val="20"/>
              </w:rPr>
              <w:t>Madison County</w:t>
            </w:r>
          </w:p>
        </w:tc>
        <w:tc>
          <w:tcPr>
            <w:tcW w:w="997" w:type="dxa"/>
            <w:noWrap/>
            <w:hideMark/>
          </w:tcPr>
          <w:p w14:paraId="7FBAA2BB"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IN</w:t>
            </w:r>
          </w:p>
        </w:tc>
        <w:tc>
          <w:tcPr>
            <w:tcW w:w="2553" w:type="dxa"/>
            <w:noWrap/>
            <w:hideMark/>
          </w:tcPr>
          <w:p w14:paraId="3601D5A6" w14:textId="020EDFBE"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Anderson</w:t>
            </w:r>
          </w:p>
        </w:tc>
        <w:tc>
          <w:tcPr>
            <w:tcW w:w="1260" w:type="dxa"/>
            <w:noWrap/>
            <w:hideMark/>
          </w:tcPr>
          <w:p w14:paraId="7F6E0290"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129,296</w:t>
            </w:r>
          </w:p>
        </w:tc>
      </w:tr>
      <w:tr w:rsidR="00A85E40" w:rsidRPr="00A85E40" w14:paraId="04863AF0"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CB581EF" w14:textId="77777777" w:rsidR="00A85E40" w:rsidRPr="00673BDA" w:rsidRDefault="00A85E40" w:rsidP="000A0847">
            <w:pPr>
              <w:rPr>
                <w:sz w:val="20"/>
                <w:szCs w:val="20"/>
              </w:rPr>
            </w:pPr>
            <w:r w:rsidRPr="00673BDA">
              <w:rPr>
                <w:sz w:val="20"/>
                <w:szCs w:val="20"/>
              </w:rPr>
              <w:t>Marion County</w:t>
            </w:r>
          </w:p>
        </w:tc>
        <w:tc>
          <w:tcPr>
            <w:tcW w:w="997" w:type="dxa"/>
            <w:noWrap/>
            <w:hideMark/>
          </w:tcPr>
          <w:p w14:paraId="3A46A88F"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IN</w:t>
            </w:r>
          </w:p>
        </w:tc>
        <w:tc>
          <w:tcPr>
            <w:tcW w:w="2553" w:type="dxa"/>
            <w:noWrap/>
            <w:hideMark/>
          </w:tcPr>
          <w:p w14:paraId="43BD3DA8" w14:textId="0FAA2683"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Indianapolis</w:t>
            </w:r>
          </w:p>
        </w:tc>
        <w:tc>
          <w:tcPr>
            <w:tcW w:w="1260" w:type="dxa"/>
            <w:noWrap/>
            <w:hideMark/>
          </w:tcPr>
          <w:p w14:paraId="4DF3295A"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941,229</w:t>
            </w:r>
          </w:p>
        </w:tc>
      </w:tr>
      <w:tr w:rsidR="00A85E40" w:rsidRPr="00A85E40" w14:paraId="1E459796"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C8FC97A" w14:textId="77777777" w:rsidR="00A85E40" w:rsidRPr="00673BDA" w:rsidRDefault="00A85E40" w:rsidP="000A0847">
            <w:pPr>
              <w:rPr>
                <w:sz w:val="20"/>
                <w:szCs w:val="20"/>
              </w:rPr>
            </w:pPr>
            <w:r w:rsidRPr="00673BDA">
              <w:rPr>
                <w:sz w:val="20"/>
                <w:szCs w:val="20"/>
              </w:rPr>
              <w:t>St. Joseph County</w:t>
            </w:r>
          </w:p>
        </w:tc>
        <w:tc>
          <w:tcPr>
            <w:tcW w:w="997" w:type="dxa"/>
            <w:noWrap/>
            <w:hideMark/>
          </w:tcPr>
          <w:p w14:paraId="23312151"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IN</w:t>
            </w:r>
          </w:p>
        </w:tc>
        <w:tc>
          <w:tcPr>
            <w:tcW w:w="2553" w:type="dxa"/>
            <w:noWrap/>
            <w:hideMark/>
          </w:tcPr>
          <w:p w14:paraId="2ED7EBA8" w14:textId="0D9422B2"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South Bend</w:t>
            </w:r>
          </w:p>
        </w:tc>
        <w:tc>
          <w:tcPr>
            <w:tcW w:w="1260" w:type="dxa"/>
            <w:noWrap/>
            <w:hideMark/>
          </w:tcPr>
          <w:p w14:paraId="2C784D9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269,141</w:t>
            </w:r>
          </w:p>
        </w:tc>
      </w:tr>
      <w:tr w:rsidR="00A85E40" w:rsidRPr="00A85E40" w14:paraId="30F20FFC"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ED52763" w14:textId="77777777" w:rsidR="00A85E40" w:rsidRPr="00673BDA" w:rsidRDefault="00A85E40" w:rsidP="000A0847">
            <w:pPr>
              <w:rPr>
                <w:sz w:val="20"/>
                <w:szCs w:val="20"/>
              </w:rPr>
            </w:pPr>
            <w:r w:rsidRPr="00673BDA">
              <w:rPr>
                <w:sz w:val="20"/>
                <w:szCs w:val="20"/>
              </w:rPr>
              <w:t>Vanderburgh County</w:t>
            </w:r>
          </w:p>
        </w:tc>
        <w:tc>
          <w:tcPr>
            <w:tcW w:w="997" w:type="dxa"/>
            <w:noWrap/>
            <w:hideMark/>
          </w:tcPr>
          <w:p w14:paraId="0254EF43"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IN</w:t>
            </w:r>
          </w:p>
        </w:tc>
        <w:tc>
          <w:tcPr>
            <w:tcW w:w="2553" w:type="dxa"/>
            <w:noWrap/>
            <w:hideMark/>
          </w:tcPr>
          <w:p w14:paraId="0F6B9F35" w14:textId="0703CC80"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Evansville</w:t>
            </w:r>
          </w:p>
        </w:tc>
        <w:tc>
          <w:tcPr>
            <w:tcW w:w="1260" w:type="dxa"/>
            <w:noWrap/>
            <w:hideMark/>
          </w:tcPr>
          <w:p w14:paraId="2EC75AC5"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181,721</w:t>
            </w:r>
          </w:p>
        </w:tc>
      </w:tr>
      <w:tr w:rsidR="00A85E40" w:rsidRPr="00A85E40" w14:paraId="4F577B1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15BF6E9" w14:textId="77777777" w:rsidR="00A85E40" w:rsidRPr="00673BDA" w:rsidRDefault="00A85E40" w:rsidP="000A0847">
            <w:pPr>
              <w:rPr>
                <w:sz w:val="20"/>
                <w:szCs w:val="20"/>
              </w:rPr>
            </w:pPr>
            <w:r w:rsidRPr="00673BDA">
              <w:rPr>
                <w:sz w:val="20"/>
                <w:szCs w:val="20"/>
              </w:rPr>
              <w:t>Vigo County</w:t>
            </w:r>
          </w:p>
        </w:tc>
        <w:tc>
          <w:tcPr>
            <w:tcW w:w="997" w:type="dxa"/>
            <w:noWrap/>
            <w:hideMark/>
          </w:tcPr>
          <w:p w14:paraId="501C239B"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IN</w:t>
            </w:r>
          </w:p>
        </w:tc>
        <w:tc>
          <w:tcPr>
            <w:tcW w:w="2553" w:type="dxa"/>
            <w:noWrap/>
            <w:hideMark/>
          </w:tcPr>
          <w:p w14:paraId="628EDEC7" w14:textId="37C90911"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Terre Haute</w:t>
            </w:r>
          </w:p>
        </w:tc>
        <w:tc>
          <w:tcPr>
            <w:tcW w:w="1260" w:type="dxa"/>
            <w:noWrap/>
            <w:hideMark/>
          </w:tcPr>
          <w:p w14:paraId="1E05609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107,931</w:t>
            </w:r>
          </w:p>
        </w:tc>
      </w:tr>
      <w:tr w:rsidR="00A85E40" w:rsidRPr="00A85E40" w14:paraId="7B628B5F"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A18F877" w14:textId="77777777" w:rsidR="00A85E40" w:rsidRPr="00673BDA" w:rsidRDefault="00A85E40" w:rsidP="000A0847">
            <w:pPr>
              <w:rPr>
                <w:sz w:val="20"/>
                <w:szCs w:val="20"/>
              </w:rPr>
            </w:pPr>
            <w:r w:rsidRPr="00673BDA">
              <w:rPr>
                <w:sz w:val="20"/>
                <w:szCs w:val="20"/>
              </w:rPr>
              <w:t>Black Hawk County</w:t>
            </w:r>
          </w:p>
        </w:tc>
        <w:tc>
          <w:tcPr>
            <w:tcW w:w="997" w:type="dxa"/>
            <w:noWrap/>
            <w:hideMark/>
          </w:tcPr>
          <w:p w14:paraId="5B00DD66"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IA</w:t>
            </w:r>
          </w:p>
        </w:tc>
        <w:tc>
          <w:tcPr>
            <w:tcW w:w="2553" w:type="dxa"/>
            <w:noWrap/>
            <w:hideMark/>
          </w:tcPr>
          <w:p w14:paraId="4B3A68AC" w14:textId="366D9E5A"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Waterloo</w:t>
            </w:r>
          </w:p>
        </w:tc>
        <w:tc>
          <w:tcPr>
            <w:tcW w:w="1260" w:type="dxa"/>
            <w:noWrap/>
            <w:hideMark/>
          </w:tcPr>
          <w:p w14:paraId="1ACE676D"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132,904</w:t>
            </w:r>
          </w:p>
        </w:tc>
      </w:tr>
      <w:tr w:rsidR="00A85E40" w:rsidRPr="00A85E40" w14:paraId="1430F6B4"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E89C65B" w14:textId="77777777" w:rsidR="00A85E40" w:rsidRPr="00673BDA" w:rsidRDefault="00A85E40" w:rsidP="000A0847">
            <w:pPr>
              <w:rPr>
                <w:sz w:val="20"/>
                <w:szCs w:val="20"/>
              </w:rPr>
            </w:pPr>
            <w:r w:rsidRPr="00673BDA">
              <w:rPr>
                <w:sz w:val="20"/>
                <w:szCs w:val="20"/>
              </w:rPr>
              <w:t>Dubuque County</w:t>
            </w:r>
          </w:p>
        </w:tc>
        <w:tc>
          <w:tcPr>
            <w:tcW w:w="997" w:type="dxa"/>
            <w:noWrap/>
            <w:hideMark/>
          </w:tcPr>
          <w:p w14:paraId="568B5ADD"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IA</w:t>
            </w:r>
          </w:p>
        </w:tc>
        <w:tc>
          <w:tcPr>
            <w:tcW w:w="2553" w:type="dxa"/>
            <w:noWrap/>
            <w:hideMark/>
          </w:tcPr>
          <w:p w14:paraId="3B29A6E7" w14:textId="2660BFFC"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Dubuque</w:t>
            </w:r>
          </w:p>
        </w:tc>
        <w:tc>
          <w:tcPr>
            <w:tcW w:w="1260" w:type="dxa"/>
            <w:noWrap/>
            <w:hideMark/>
          </w:tcPr>
          <w:p w14:paraId="47F4C4DC"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97,003</w:t>
            </w:r>
          </w:p>
        </w:tc>
      </w:tr>
      <w:tr w:rsidR="00A85E40" w:rsidRPr="00A85E40" w14:paraId="2438F657"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5751582" w14:textId="77777777" w:rsidR="00A85E40" w:rsidRPr="00673BDA" w:rsidRDefault="00A85E40" w:rsidP="000A0847">
            <w:pPr>
              <w:rPr>
                <w:sz w:val="20"/>
                <w:szCs w:val="20"/>
              </w:rPr>
            </w:pPr>
            <w:r w:rsidRPr="00673BDA">
              <w:rPr>
                <w:sz w:val="20"/>
                <w:szCs w:val="20"/>
              </w:rPr>
              <w:t>Scott County</w:t>
            </w:r>
          </w:p>
        </w:tc>
        <w:tc>
          <w:tcPr>
            <w:tcW w:w="997" w:type="dxa"/>
            <w:noWrap/>
            <w:hideMark/>
          </w:tcPr>
          <w:p w14:paraId="67C6E5F4"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IA</w:t>
            </w:r>
          </w:p>
        </w:tc>
        <w:tc>
          <w:tcPr>
            <w:tcW w:w="2553" w:type="dxa"/>
            <w:noWrap/>
            <w:hideMark/>
          </w:tcPr>
          <w:p w14:paraId="5470B7A7" w14:textId="68B1DF7D"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Davenport</w:t>
            </w:r>
          </w:p>
        </w:tc>
        <w:tc>
          <w:tcPr>
            <w:tcW w:w="1260" w:type="dxa"/>
            <w:noWrap/>
            <w:hideMark/>
          </w:tcPr>
          <w:p w14:paraId="03425EBC"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172,474</w:t>
            </w:r>
          </w:p>
        </w:tc>
      </w:tr>
      <w:tr w:rsidR="00A85E40" w:rsidRPr="00A85E40" w14:paraId="2B320CD5"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84F293F" w14:textId="77777777" w:rsidR="00A85E40" w:rsidRPr="00673BDA" w:rsidRDefault="00A85E40" w:rsidP="000A0847">
            <w:pPr>
              <w:rPr>
                <w:sz w:val="20"/>
                <w:szCs w:val="20"/>
              </w:rPr>
            </w:pPr>
            <w:r w:rsidRPr="00673BDA">
              <w:rPr>
                <w:sz w:val="20"/>
                <w:szCs w:val="20"/>
              </w:rPr>
              <w:t>Jefferson County</w:t>
            </w:r>
          </w:p>
        </w:tc>
        <w:tc>
          <w:tcPr>
            <w:tcW w:w="997" w:type="dxa"/>
            <w:noWrap/>
            <w:hideMark/>
          </w:tcPr>
          <w:p w14:paraId="4FEE24DC"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KY</w:t>
            </w:r>
          </w:p>
        </w:tc>
        <w:tc>
          <w:tcPr>
            <w:tcW w:w="2553" w:type="dxa"/>
            <w:noWrap/>
            <w:hideMark/>
          </w:tcPr>
          <w:p w14:paraId="7E08F6FE" w14:textId="0A53797D"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 xml:space="preserve">Louisville/Jefferson County </w:t>
            </w:r>
          </w:p>
        </w:tc>
        <w:tc>
          <w:tcPr>
            <w:tcW w:w="1260" w:type="dxa"/>
            <w:noWrap/>
            <w:hideMark/>
          </w:tcPr>
          <w:p w14:paraId="38F85DC4"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765,352</w:t>
            </w:r>
          </w:p>
        </w:tc>
      </w:tr>
      <w:tr w:rsidR="00A85E40" w:rsidRPr="00A85E40" w14:paraId="7C278FB6"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A231F0C" w14:textId="77777777" w:rsidR="00A85E40" w:rsidRPr="00673BDA" w:rsidRDefault="00A85E40" w:rsidP="000A0847">
            <w:pPr>
              <w:rPr>
                <w:sz w:val="20"/>
                <w:szCs w:val="20"/>
              </w:rPr>
            </w:pPr>
            <w:r w:rsidRPr="00673BDA">
              <w:rPr>
                <w:sz w:val="20"/>
                <w:szCs w:val="20"/>
              </w:rPr>
              <w:t>Baltimore city</w:t>
            </w:r>
          </w:p>
        </w:tc>
        <w:tc>
          <w:tcPr>
            <w:tcW w:w="997" w:type="dxa"/>
            <w:noWrap/>
            <w:hideMark/>
          </w:tcPr>
          <w:p w14:paraId="706AD6C3"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MD</w:t>
            </w:r>
          </w:p>
        </w:tc>
        <w:tc>
          <w:tcPr>
            <w:tcW w:w="2553" w:type="dxa"/>
            <w:noWrap/>
            <w:hideMark/>
          </w:tcPr>
          <w:p w14:paraId="4DBDFB03" w14:textId="0AD7C06A"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Baltimore</w:t>
            </w:r>
          </w:p>
        </w:tc>
        <w:tc>
          <w:tcPr>
            <w:tcW w:w="1260" w:type="dxa"/>
            <w:noWrap/>
            <w:hideMark/>
          </w:tcPr>
          <w:p w14:paraId="0C538BD1"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614,664</w:t>
            </w:r>
          </w:p>
        </w:tc>
      </w:tr>
      <w:tr w:rsidR="00A85E40" w:rsidRPr="00A85E40" w14:paraId="2FCCF37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14C14191" w14:textId="77777777" w:rsidR="00A85E40" w:rsidRPr="00673BDA" w:rsidRDefault="00A85E40" w:rsidP="000A0847">
            <w:pPr>
              <w:rPr>
                <w:sz w:val="20"/>
                <w:szCs w:val="20"/>
              </w:rPr>
            </w:pPr>
            <w:r w:rsidRPr="00673BDA">
              <w:rPr>
                <w:sz w:val="20"/>
                <w:szCs w:val="20"/>
              </w:rPr>
              <w:t>Bristol County</w:t>
            </w:r>
          </w:p>
        </w:tc>
        <w:tc>
          <w:tcPr>
            <w:tcW w:w="997" w:type="dxa"/>
            <w:noWrap/>
            <w:hideMark/>
          </w:tcPr>
          <w:p w14:paraId="54FD024F"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MA</w:t>
            </w:r>
          </w:p>
        </w:tc>
        <w:tc>
          <w:tcPr>
            <w:tcW w:w="2553" w:type="dxa"/>
            <w:noWrap/>
            <w:hideMark/>
          </w:tcPr>
          <w:p w14:paraId="094E781B" w14:textId="11FD5B9B"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New Bedford</w:t>
            </w:r>
          </w:p>
        </w:tc>
        <w:tc>
          <w:tcPr>
            <w:tcW w:w="1260" w:type="dxa"/>
            <w:noWrap/>
            <w:hideMark/>
          </w:tcPr>
          <w:p w14:paraId="22624A66"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558,324</w:t>
            </w:r>
          </w:p>
        </w:tc>
      </w:tr>
      <w:tr w:rsidR="00A85E40" w:rsidRPr="00A85E40" w14:paraId="4157A3AE"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4A3D4FF" w14:textId="77777777" w:rsidR="00A85E40" w:rsidRPr="00673BDA" w:rsidRDefault="00A85E40" w:rsidP="000A0847">
            <w:pPr>
              <w:rPr>
                <w:sz w:val="20"/>
                <w:szCs w:val="20"/>
              </w:rPr>
            </w:pPr>
            <w:r w:rsidRPr="00673BDA">
              <w:rPr>
                <w:sz w:val="20"/>
                <w:szCs w:val="20"/>
              </w:rPr>
              <w:t>Essex County</w:t>
            </w:r>
          </w:p>
        </w:tc>
        <w:tc>
          <w:tcPr>
            <w:tcW w:w="997" w:type="dxa"/>
            <w:noWrap/>
            <w:hideMark/>
          </w:tcPr>
          <w:p w14:paraId="7C2F1526"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MA</w:t>
            </w:r>
          </w:p>
        </w:tc>
        <w:tc>
          <w:tcPr>
            <w:tcW w:w="2553" w:type="dxa"/>
            <w:noWrap/>
            <w:hideMark/>
          </w:tcPr>
          <w:p w14:paraId="354B3CD4" w14:textId="3FB00C85"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Lynn</w:t>
            </w:r>
          </w:p>
        </w:tc>
        <w:tc>
          <w:tcPr>
            <w:tcW w:w="1260" w:type="dxa"/>
            <w:noWrap/>
            <w:hideMark/>
          </w:tcPr>
          <w:p w14:paraId="22696BC2"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779,018</w:t>
            </w:r>
          </w:p>
        </w:tc>
      </w:tr>
      <w:tr w:rsidR="00A85E40" w:rsidRPr="00A85E40" w14:paraId="7BB0697C"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A2F1882" w14:textId="77777777" w:rsidR="00A85E40" w:rsidRPr="00673BDA" w:rsidRDefault="00A85E40" w:rsidP="000A0847">
            <w:pPr>
              <w:rPr>
                <w:sz w:val="20"/>
                <w:szCs w:val="20"/>
              </w:rPr>
            </w:pPr>
            <w:r w:rsidRPr="00673BDA">
              <w:rPr>
                <w:sz w:val="20"/>
                <w:szCs w:val="20"/>
              </w:rPr>
              <w:t>Hampden County</w:t>
            </w:r>
          </w:p>
        </w:tc>
        <w:tc>
          <w:tcPr>
            <w:tcW w:w="997" w:type="dxa"/>
            <w:noWrap/>
            <w:hideMark/>
          </w:tcPr>
          <w:p w14:paraId="5BCC2C4F"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MA</w:t>
            </w:r>
          </w:p>
        </w:tc>
        <w:tc>
          <w:tcPr>
            <w:tcW w:w="2553" w:type="dxa"/>
            <w:noWrap/>
            <w:hideMark/>
          </w:tcPr>
          <w:p w14:paraId="42CCC0EB" w14:textId="5FDD2188"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Springfield</w:t>
            </w:r>
          </w:p>
        </w:tc>
        <w:tc>
          <w:tcPr>
            <w:tcW w:w="1260" w:type="dxa"/>
            <w:noWrap/>
            <w:hideMark/>
          </w:tcPr>
          <w:p w14:paraId="4411D8A1"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468,467</w:t>
            </w:r>
          </w:p>
        </w:tc>
      </w:tr>
      <w:tr w:rsidR="00A85E40" w:rsidRPr="00A85E40" w14:paraId="1DA0A5D0"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9CBA173" w14:textId="77777777" w:rsidR="00A85E40" w:rsidRPr="00673BDA" w:rsidRDefault="00A85E40" w:rsidP="000A0847">
            <w:pPr>
              <w:rPr>
                <w:sz w:val="20"/>
                <w:szCs w:val="20"/>
              </w:rPr>
            </w:pPr>
            <w:r w:rsidRPr="00673BDA">
              <w:rPr>
                <w:sz w:val="20"/>
                <w:szCs w:val="20"/>
              </w:rPr>
              <w:t>Norfolk County</w:t>
            </w:r>
          </w:p>
        </w:tc>
        <w:tc>
          <w:tcPr>
            <w:tcW w:w="997" w:type="dxa"/>
            <w:noWrap/>
            <w:hideMark/>
          </w:tcPr>
          <w:p w14:paraId="53FD85B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MA</w:t>
            </w:r>
          </w:p>
        </w:tc>
        <w:tc>
          <w:tcPr>
            <w:tcW w:w="2553" w:type="dxa"/>
            <w:noWrap/>
            <w:hideMark/>
          </w:tcPr>
          <w:p w14:paraId="40001F51" w14:textId="415C48BB"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Quincy</w:t>
            </w:r>
          </w:p>
        </w:tc>
        <w:tc>
          <w:tcPr>
            <w:tcW w:w="1260" w:type="dxa"/>
            <w:noWrap/>
            <w:hideMark/>
          </w:tcPr>
          <w:p w14:paraId="5FBE2BBC"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697,181</w:t>
            </w:r>
          </w:p>
        </w:tc>
      </w:tr>
      <w:tr w:rsidR="00A85E40" w:rsidRPr="00A85E40" w14:paraId="70BFC46F"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705E039" w14:textId="77777777" w:rsidR="00A85E40" w:rsidRPr="00673BDA" w:rsidRDefault="00A85E40" w:rsidP="000A0847">
            <w:pPr>
              <w:rPr>
                <w:sz w:val="20"/>
                <w:szCs w:val="20"/>
              </w:rPr>
            </w:pPr>
            <w:r w:rsidRPr="00673BDA">
              <w:rPr>
                <w:sz w:val="20"/>
                <w:szCs w:val="20"/>
              </w:rPr>
              <w:t>Worcester County</w:t>
            </w:r>
          </w:p>
        </w:tc>
        <w:tc>
          <w:tcPr>
            <w:tcW w:w="997" w:type="dxa"/>
            <w:noWrap/>
            <w:hideMark/>
          </w:tcPr>
          <w:p w14:paraId="7777C55E"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MA</w:t>
            </w:r>
          </w:p>
        </w:tc>
        <w:tc>
          <w:tcPr>
            <w:tcW w:w="2553" w:type="dxa"/>
            <w:noWrap/>
            <w:hideMark/>
          </w:tcPr>
          <w:p w14:paraId="48DB9F1C" w14:textId="0C5EFE1C"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Worcester</w:t>
            </w:r>
          </w:p>
        </w:tc>
        <w:tc>
          <w:tcPr>
            <w:tcW w:w="1260" w:type="dxa"/>
            <w:noWrap/>
            <w:hideMark/>
          </w:tcPr>
          <w:p w14:paraId="2C73C7AB"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819,589</w:t>
            </w:r>
          </w:p>
        </w:tc>
      </w:tr>
      <w:tr w:rsidR="00A85E40" w:rsidRPr="00A85E40" w14:paraId="713E709A"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7DFC3F3" w14:textId="77777777" w:rsidR="00A85E40" w:rsidRPr="00673BDA" w:rsidRDefault="00A85E40" w:rsidP="000A0847">
            <w:pPr>
              <w:rPr>
                <w:sz w:val="20"/>
                <w:szCs w:val="20"/>
              </w:rPr>
            </w:pPr>
            <w:r w:rsidRPr="00673BDA">
              <w:rPr>
                <w:sz w:val="20"/>
                <w:szCs w:val="20"/>
              </w:rPr>
              <w:t>Calhoun County</w:t>
            </w:r>
          </w:p>
        </w:tc>
        <w:tc>
          <w:tcPr>
            <w:tcW w:w="997" w:type="dxa"/>
            <w:noWrap/>
            <w:hideMark/>
          </w:tcPr>
          <w:p w14:paraId="2E6CEADD"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MI</w:t>
            </w:r>
          </w:p>
        </w:tc>
        <w:tc>
          <w:tcPr>
            <w:tcW w:w="2553" w:type="dxa"/>
            <w:noWrap/>
            <w:hideMark/>
          </w:tcPr>
          <w:p w14:paraId="237AF2DC" w14:textId="33473949"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Battle Creek</w:t>
            </w:r>
          </w:p>
        </w:tc>
        <w:tc>
          <w:tcPr>
            <w:tcW w:w="1260" w:type="dxa"/>
            <w:noWrap/>
            <w:hideMark/>
          </w:tcPr>
          <w:p w14:paraId="3EC39BD8"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134,386</w:t>
            </w:r>
          </w:p>
        </w:tc>
      </w:tr>
      <w:tr w:rsidR="00A85E40" w:rsidRPr="00A85E40" w14:paraId="78925CB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372BA90" w14:textId="77777777" w:rsidR="00A85E40" w:rsidRPr="00673BDA" w:rsidRDefault="00A85E40" w:rsidP="000A0847">
            <w:pPr>
              <w:rPr>
                <w:sz w:val="20"/>
                <w:szCs w:val="20"/>
              </w:rPr>
            </w:pPr>
            <w:r w:rsidRPr="00673BDA">
              <w:rPr>
                <w:sz w:val="20"/>
                <w:szCs w:val="20"/>
              </w:rPr>
              <w:t>Genesee County</w:t>
            </w:r>
          </w:p>
        </w:tc>
        <w:tc>
          <w:tcPr>
            <w:tcW w:w="997" w:type="dxa"/>
            <w:noWrap/>
            <w:hideMark/>
          </w:tcPr>
          <w:p w14:paraId="636BC81A"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MI</w:t>
            </w:r>
          </w:p>
        </w:tc>
        <w:tc>
          <w:tcPr>
            <w:tcW w:w="2553" w:type="dxa"/>
            <w:noWrap/>
            <w:hideMark/>
          </w:tcPr>
          <w:p w14:paraId="38E88A94" w14:textId="4E6D7970"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Flint</w:t>
            </w:r>
          </w:p>
        </w:tc>
        <w:tc>
          <w:tcPr>
            <w:tcW w:w="1260" w:type="dxa"/>
            <w:noWrap/>
            <w:hideMark/>
          </w:tcPr>
          <w:p w14:paraId="4C191047"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408,615</w:t>
            </w:r>
          </w:p>
        </w:tc>
      </w:tr>
      <w:tr w:rsidR="00A85E40" w:rsidRPr="00A85E40" w14:paraId="2F83A461"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1FAD788" w14:textId="77777777" w:rsidR="00A85E40" w:rsidRPr="00673BDA" w:rsidRDefault="00A85E40" w:rsidP="000A0847">
            <w:pPr>
              <w:rPr>
                <w:sz w:val="20"/>
                <w:szCs w:val="20"/>
              </w:rPr>
            </w:pPr>
            <w:r w:rsidRPr="00673BDA">
              <w:rPr>
                <w:sz w:val="20"/>
                <w:szCs w:val="20"/>
              </w:rPr>
              <w:t>Kalamazoo County</w:t>
            </w:r>
          </w:p>
        </w:tc>
        <w:tc>
          <w:tcPr>
            <w:tcW w:w="997" w:type="dxa"/>
            <w:noWrap/>
            <w:hideMark/>
          </w:tcPr>
          <w:p w14:paraId="2F2B3F2B"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MI</w:t>
            </w:r>
          </w:p>
        </w:tc>
        <w:tc>
          <w:tcPr>
            <w:tcW w:w="2553" w:type="dxa"/>
            <w:noWrap/>
            <w:hideMark/>
          </w:tcPr>
          <w:p w14:paraId="29232865" w14:textId="58D8A84F"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Kalamazoo</w:t>
            </w:r>
          </w:p>
        </w:tc>
        <w:tc>
          <w:tcPr>
            <w:tcW w:w="1260" w:type="dxa"/>
            <w:noWrap/>
            <w:hideMark/>
          </w:tcPr>
          <w:p w14:paraId="44D16104"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261,654</w:t>
            </w:r>
          </w:p>
        </w:tc>
      </w:tr>
      <w:tr w:rsidR="00A85E40" w:rsidRPr="00A85E40" w14:paraId="7633B05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845F37B" w14:textId="77777777" w:rsidR="00A85E40" w:rsidRPr="00673BDA" w:rsidRDefault="00A85E40" w:rsidP="000A0847">
            <w:pPr>
              <w:rPr>
                <w:sz w:val="20"/>
                <w:szCs w:val="20"/>
              </w:rPr>
            </w:pPr>
            <w:r w:rsidRPr="00673BDA">
              <w:rPr>
                <w:sz w:val="20"/>
                <w:szCs w:val="20"/>
              </w:rPr>
              <w:t>Wayne County</w:t>
            </w:r>
          </w:p>
        </w:tc>
        <w:tc>
          <w:tcPr>
            <w:tcW w:w="997" w:type="dxa"/>
            <w:noWrap/>
            <w:hideMark/>
          </w:tcPr>
          <w:p w14:paraId="5E9A9225"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MI</w:t>
            </w:r>
          </w:p>
        </w:tc>
        <w:tc>
          <w:tcPr>
            <w:tcW w:w="2553" w:type="dxa"/>
            <w:noWrap/>
            <w:hideMark/>
          </w:tcPr>
          <w:p w14:paraId="6AE574D3" w14:textId="0ABDCAC0"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Detroit</w:t>
            </w:r>
          </w:p>
        </w:tc>
        <w:tc>
          <w:tcPr>
            <w:tcW w:w="1260" w:type="dxa"/>
            <w:noWrap/>
            <w:hideMark/>
          </w:tcPr>
          <w:p w14:paraId="7FBFA541"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1,749,366</w:t>
            </w:r>
          </w:p>
        </w:tc>
      </w:tr>
      <w:tr w:rsidR="00A85E40" w:rsidRPr="00A85E40" w14:paraId="549469EF"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7FFD716" w14:textId="77777777" w:rsidR="00A85E40" w:rsidRPr="00673BDA" w:rsidRDefault="00A85E40" w:rsidP="000A0847">
            <w:pPr>
              <w:rPr>
                <w:sz w:val="20"/>
                <w:szCs w:val="20"/>
              </w:rPr>
            </w:pPr>
            <w:r w:rsidRPr="00673BDA">
              <w:rPr>
                <w:sz w:val="20"/>
                <w:szCs w:val="20"/>
              </w:rPr>
              <w:t>Ramsey County</w:t>
            </w:r>
          </w:p>
        </w:tc>
        <w:tc>
          <w:tcPr>
            <w:tcW w:w="997" w:type="dxa"/>
            <w:noWrap/>
            <w:hideMark/>
          </w:tcPr>
          <w:p w14:paraId="6CEB41B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MN</w:t>
            </w:r>
          </w:p>
        </w:tc>
        <w:tc>
          <w:tcPr>
            <w:tcW w:w="2553" w:type="dxa"/>
            <w:noWrap/>
            <w:hideMark/>
          </w:tcPr>
          <w:p w14:paraId="18457B80" w14:textId="2E17D861"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St. Paul</w:t>
            </w:r>
          </w:p>
        </w:tc>
        <w:tc>
          <w:tcPr>
            <w:tcW w:w="1260" w:type="dxa"/>
            <w:noWrap/>
            <w:hideMark/>
          </w:tcPr>
          <w:p w14:paraId="3C9FABF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540,649</w:t>
            </w:r>
          </w:p>
        </w:tc>
      </w:tr>
      <w:tr w:rsidR="00A85E40" w:rsidRPr="00A85E40" w14:paraId="5C438843"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CB0DBCD" w14:textId="77777777" w:rsidR="00A85E40" w:rsidRPr="00673BDA" w:rsidRDefault="00A85E40" w:rsidP="000A0847">
            <w:pPr>
              <w:rPr>
                <w:sz w:val="20"/>
                <w:szCs w:val="20"/>
              </w:rPr>
            </w:pPr>
            <w:r w:rsidRPr="00673BDA">
              <w:rPr>
                <w:sz w:val="20"/>
                <w:szCs w:val="20"/>
              </w:rPr>
              <w:t>St. Louis city</w:t>
            </w:r>
          </w:p>
        </w:tc>
        <w:tc>
          <w:tcPr>
            <w:tcW w:w="997" w:type="dxa"/>
            <w:noWrap/>
            <w:hideMark/>
          </w:tcPr>
          <w:p w14:paraId="07ED297C"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MO</w:t>
            </w:r>
          </w:p>
        </w:tc>
        <w:tc>
          <w:tcPr>
            <w:tcW w:w="2553" w:type="dxa"/>
            <w:noWrap/>
            <w:hideMark/>
          </w:tcPr>
          <w:p w14:paraId="305D1DA4" w14:textId="63D4D6A8"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St. Louis</w:t>
            </w:r>
          </w:p>
        </w:tc>
        <w:tc>
          <w:tcPr>
            <w:tcW w:w="1260" w:type="dxa"/>
            <w:noWrap/>
            <w:hideMark/>
          </w:tcPr>
          <w:p w14:paraId="7F46DAC4"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311,404</w:t>
            </w:r>
          </w:p>
        </w:tc>
      </w:tr>
      <w:tr w:rsidR="00A85E40" w:rsidRPr="00A85E40" w14:paraId="2946E713"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5CF644F" w14:textId="77777777" w:rsidR="00A85E40" w:rsidRPr="00673BDA" w:rsidRDefault="00A85E40" w:rsidP="000A0847">
            <w:pPr>
              <w:rPr>
                <w:sz w:val="20"/>
                <w:szCs w:val="20"/>
              </w:rPr>
            </w:pPr>
            <w:r w:rsidRPr="00673BDA">
              <w:rPr>
                <w:sz w:val="20"/>
                <w:szCs w:val="20"/>
              </w:rPr>
              <w:t>Camden County</w:t>
            </w:r>
          </w:p>
        </w:tc>
        <w:tc>
          <w:tcPr>
            <w:tcW w:w="997" w:type="dxa"/>
            <w:noWrap/>
            <w:hideMark/>
          </w:tcPr>
          <w:p w14:paraId="2047E8BE"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NJ</w:t>
            </w:r>
          </w:p>
        </w:tc>
        <w:tc>
          <w:tcPr>
            <w:tcW w:w="2553" w:type="dxa"/>
            <w:noWrap/>
            <w:hideMark/>
          </w:tcPr>
          <w:p w14:paraId="01B883CA" w14:textId="773BC791"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Camden</w:t>
            </w:r>
          </w:p>
        </w:tc>
        <w:tc>
          <w:tcPr>
            <w:tcW w:w="1260" w:type="dxa"/>
            <w:noWrap/>
            <w:hideMark/>
          </w:tcPr>
          <w:p w14:paraId="1EA489CB"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510,150</w:t>
            </w:r>
          </w:p>
        </w:tc>
      </w:tr>
      <w:tr w:rsidR="00A85E40" w:rsidRPr="00A85E40" w14:paraId="6D654E8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01B8278" w14:textId="77777777" w:rsidR="00A85E40" w:rsidRPr="00673BDA" w:rsidRDefault="00A85E40" w:rsidP="000A0847">
            <w:pPr>
              <w:rPr>
                <w:sz w:val="20"/>
                <w:szCs w:val="20"/>
              </w:rPr>
            </w:pPr>
            <w:r w:rsidRPr="00673BDA">
              <w:rPr>
                <w:sz w:val="20"/>
                <w:szCs w:val="20"/>
              </w:rPr>
              <w:t>Cumberland County</w:t>
            </w:r>
          </w:p>
        </w:tc>
        <w:tc>
          <w:tcPr>
            <w:tcW w:w="997" w:type="dxa"/>
            <w:noWrap/>
            <w:hideMark/>
          </w:tcPr>
          <w:p w14:paraId="5A6902C5"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NJ</w:t>
            </w:r>
          </w:p>
        </w:tc>
        <w:tc>
          <w:tcPr>
            <w:tcW w:w="2553" w:type="dxa"/>
            <w:noWrap/>
            <w:hideMark/>
          </w:tcPr>
          <w:p w14:paraId="099C1CDB" w14:textId="4B63EC0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Vineland</w:t>
            </w:r>
          </w:p>
        </w:tc>
        <w:tc>
          <w:tcPr>
            <w:tcW w:w="1260" w:type="dxa"/>
            <w:noWrap/>
            <w:hideMark/>
          </w:tcPr>
          <w:p w14:paraId="450BB681"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153,797</w:t>
            </w:r>
          </w:p>
        </w:tc>
      </w:tr>
      <w:tr w:rsidR="00A85E40" w:rsidRPr="00A85E40" w14:paraId="2EFF0DCF"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28163F5" w14:textId="77777777" w:rsidR="00A85E40" w:rsidRPr="00673BDA" w:rsidRDefault="00A85E40" w:rsidP="000A0847">
            <w:pPr>
              <w:rPr>
                <w:sz w:val="20"/>
                <w:szCs w:val="20"/>
              </w:rPr>
            </w:pPr>
            <w:r w:rsidRPr="00673BDA">
              <w:rPr>
                <w:sz w:val="20"/>
                <w:szCs w:val="20"/>
              </w:rPr>
              <w:t>Essex County</w:t>
            </w:r>
          </w:p>
        </w:tc>
        <w:tc>
          <w:tcPr>
            <w:tcW w:w="997" w:type="dxa"/>
            <w:noWrap/>
            <w:hideMark/>
          </w:tcPr>
          <w:p w14:paraId="18E497BB"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NJ</w:t>
            </w:r>
          </w:p>
        </w:tc>
        <w:tc>
          <w:tcPr>
            <w:tcW w:w="2553" w:type="dxa"/>
            <w:noWrap/>
            <w:hideMark/>
          </w:tcPr>
          <w:p w14:paraId="149D9FBA" w14:textId="5362A72D"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Newark</w:t>
            </w:r>
          </w:p>
        </w:tc>
        <w:tc>
          <w:tcPr>
            <w:tcW w:w="1260" w:type="dxa"/>
            <w:noWrap/>
            <w:hideMark/>
          </w:tcPr>
          <w:p w14:paraId="7E055E49"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796,914</w:t>
            </w:r>
          </w:p>
        </w:tc>
      </w:tr>
      <w:tr w:rsidR="00A85E40" w:rsidRPr="00A85E40" w14:paraId="7768C068"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9C17846" w14:textId="77777777" w:rsidR="00A85E40" w:rsidRPr="00673BDA" w:rsidRDefault="00A85E40" w:rsidP="000A0847">
            <w:pPr>
              <w:rPr>
                <w:sz w:val="20"/>
                <w:szCs w:val="20"/>
              </w:rPr>
            </w:pPr>
            <w:r w:rsidRPr="00673BDA">
              <w:rPr>
                <w:sz w:val="20"/>
                <w:szCs w:val="20"/>
              </w:rPr>
              <w:t>Mercer County</w:t>
            </w:r>
          </w:p>
        </w:tc>
        <w:tc>
          <w:tcPr>
            <w:tcW w:w="997" w:type="dxa"/>
            <w:noWrap/>
            <w:hideMark/>
          </w:tcPr>
          <w:p w14:paraId="5E2FC023"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NJ</w:t>
            </w:r>
          </w:p>
        </w:tc>
        <w:tc>
          <w:tcPr>
            <w:tcW w:w="2553" w:type="dxa"/>
            <w:noWrap/>
            <w:hideMark/>
          </w:tcPr>
          <w:p w14:paraId="68EAED15" w14:textId="0AB45300"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Trenton</w:t>
            </w:r>
          </w:p>
        </w:tc>
        <w:tc>
          <w:tcPr>
            <w:tcW w:w="1260" w:type="dxa"/>
            <w:noWrap/>
            <w:hideMark/>
          </w:tcPr>
          <w:p w14:paraId="17962DD3"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371,023</w:t>
            </w:r>
          </w:p>
        </w:tc>
      </w:tr>
      <w:tr w:rsidR="00A85E40" w:rsidRPr="00A85E40" w14:paraId="50677864"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8AA3DEF" w14:textId="77777777" w:rsidR="00A85E40" w:rsidRPr="00673BDA" w:rsidRDefault="00A85E40" w:rsidP="000A0847">
            <w:pPr>
              <w:rPr>
                <w:sz w:val="20"/>
                <w:szCs w:val="20"/>
              </w:rPr>
            </w:pPr>
            <w:r w:rsidRPr="00673BDA">
              <w:rPr>
                <w:sz w:val="20"/>
                <w:szCs w:val="20"/>
              </w:rPr>
              <w:t>Passaic County</w:t>
            </w:r>
          </w:p>
        </w:tc>
        <w:tc>
          <w:tcPr>
            <w:tcW w:w="997" w:type="dxa"/>
            <w:noWrap/>
            <w:hideMark/>
          </w:tcPr>
          <w:p w14:paraId="0616BFE3"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NJ</w:t>
            </w:r>
          </w:p>
        </w:tc>
        <w:tc>
          <w:tcPr>
            <w:tcW w:w="2553" w:type="dxa"/>
            <w:noWrap/>
            <w:hideMark/>
          </w:tcPr>
          <w:p w14:paraId="31CC1493" w14:textId="42E0DED2"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Paterson</w:t>
            </w:r>
          </w:p>
        </w:tc>
        <w:tc>
          <w:tcPr>
            <w:tcW w:w="1260" w:type="dxa"/>
            <w:noWrap/>
            <w:hideMark/>
          </w:tcPr>
          <w:p w14:paraId="7D3E0C36"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507,945</w:t>
            </w:r>
          </w:p>
        </w:tc>
      </w:tr>
      <w:tr w:rsidR="00A85E40" w:rsidRPr="00A85E40" w14:paraId="114A57B7"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C826913" w14:textId="77777777" w:rsidR="00A85E40" w:rsidRPr="00673BDA" w:rsidRDefault="00A85E40" w:rsidP="000A0847">
            <w:pPr>
              <w:rPr>
                <w:sz w:val="20"/>
                <w:szCs w:val="20"/>
              </w:rPr>
            </w:pPr>
            <w:r w:rsidRPr="00673BDA">
              <w:rPr>
                <w:sz w:val="20"/>
                <w:szCs w:val="20"/>
              </w:rPr>
              <w:t>Union County</w:t>
            </w:r>
          </w:p>
        </w:tc>
        <w:tc>
          <w:tcPr>
            <w:tcW w:w="997" w:type="dxa"/>
            <w:noWrap/>
            <w:hideMark/>
          </w:tcPr>
          <w:p w14:paraId="2205C217"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NJ</w:t>
            </w:r>
          </w:p>
        </w:tc>
        <w:tc>
          <w:tcPr>
            <w:tcW w:w="2553" w:type="dxa"/>
            <w:noWrap/>
            <w:hideMark/>
          </w:tcPr>
          <w:p w14:paraId="51F3AB12" w14:textId="47D1047E"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Elizabeth</w:t>
            </w:r>
          </w:p>
        </w:tc>
        <w:tc>
          <w:tcPr>
            <w:tcW w:w="1260" w:type="dxa"/>
            <w:noWrap/>
            <w:hideMark/>
          </w:tcPr>
          <w:p w14:paraId="0BF6ACA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555,630</w:t>
            </w:r>
          </w:p>
        </w:tc>
      </w:tr>
      <w:tr w:rsidR="00A85E40" w:rsidRPr="00A85E40" w14:paraId="3234C13C"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C13C12C" w14:textId="77777777" w:rsidR="00A85E40" w:rsidRPr="00673BDA" w:rsidRDefault="00A85E40" w:rsidP="000A0847">
            <w:pPr>
              <w:rPr>
                <w:sz w:val="20"/>
                <w:szCs w:val="20"/>
              </w:rPr>
            </w:pPr>
            <w:r w:rsidRPr="00673BDA">
              <w:rPr>
                <w:sz w:val="20"/>
                <w:szCs w:val="20"/>
              </w:rPr>
              <w:t>Erie County</w:t>
            </w:r>
          </w:p>
        </w:tc>
        <w:tc>
          <w:tcPr>
            <w:tcW w:w="997" w:type="dxa"/>
            <w:noWrap/>
            <w:hideMark/>
          </w:tcPr>
          <w:p w14:paraId="4CE6AFF1"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NY</w:t>
            </w:r>
          </w:p>
        </w:tc>
        <w:tc>
          <w:tcPr>
            <w:tcW w:w="2553" w:type="dxa"/>
            <w:noWrap/>
            <w:hideMark/>
          </w:tcPr>
          <w:p w14:paraId="48F88D3D" w14:textId="38A62652"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Buffalo</w:t>
            </w:r>
          </w:p>
        </w:tc>
        <w:tc>
          <w:tcPr>
            <w:tcW w:w="1260" w:type="dxa"/>
            <w:noWrap/>
            <w:hideMark/>
          </w:tcPr>
          <w:p w14:paraId="024F2B17"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921,046</w:t>
            </w:r>
          </w:p>
        </w:tc>
      </w:tr>
      <w:tr w:rsidR="00A85E40" w:rsidRPr="00A85E40" w14:paraId="57E03CEF"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CE5F743" w14:textId="77777777" w:rsidR="00A85E40" w:rsidRPr="00673BDA" w:rsidRDefault="00A85E40" w:rsidP="000A0847">
            <w:pPr>
              <w:rPr>
                <w:sz w:val="20"/>
                <w:szCs w:val="20"/>
              </w:rPr>
            </w:pPr>
            <w:r w:rsidRPr="00673BDA">
              <w:rPr>
                <w:sz w:val="20"/>
                <w:szCs w:val="20"/>
              </w:rPr>
              <w:t>Kings County</w:t>
            </w:r>
          </w:p>
        </w:tc>
        <w:tc>
          <w:tcPr>
            <w:tcW w:w="997" w:type="dxa"/>
            <w:noWrap/>
            <w:hideMark/>
          </w:tcPr>
          <w:p w14:paraId="0D4B955E"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NY</w:t>
            </w:r>
          </w:p>
        </w:tc>
        <w:tc>
          <w:tcPr>
            <w:tcW w:w="2553" w:type="dxa"/>
            <w:noWrap/>
            <w:hideMark/>
          </w:tcPr>
          <w:p w14:paraId="27ADEA54" w14:textId="7D0F80B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New York</w:t>
            </w:r>
            <w:r w:rsidR="005846E7">
              <w:rPr>
                <w:sz w:val="20"/>
                <w:szCs w:val="20"/>
              </w:rPr>
              <w:t xml:space="preserve"> (Brooklyn)</w:t>
            </w:r>
          </w:p>
        </w:tc>
        <w:tc>
          <w:tcPr>
            <w:tcW w:w="1260" w:type="dxa"/>
            <w:noWrap/>
            <w:hideMark/>
          </w:tcPr>
          <w:p w14:paraId="56034E50"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2,629,150</w:t>
            </w:r>
          </w:p>
        </w:tc>
      </w:tr>
      <w:tr w:rsidR="00A85E40" w:rsidRPr="00A85E40" w14:paraId="0A5D18D8"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08E8FEA" w14:textId="77777777" w:rsidR="00A85E40" w:rsidRPr="00673BDA" w:rsidRDefault="00A85E40" w:rsidP="000A0847">
            <w:pPr>
              <w:rPr>
                <w:sz w:val="20"/>
                <w:szCs w:val="20"/>
              </w:rPr>
            </w:pPr>
            <w:r w:rsidRPr="00673BDA">
              <w:rPr>
                <w:sz w:val="20"/>
                <w:szCs w:val="20"/>
              </w:rPr>
              <w:t>Monroe County</w:t>
            </w:r>
          </w:p>
        </w:tc>
        <w:tc>
          <w:tcPr>
            <w:tcW w:w="997" w:type="dxa"/>
            <w:noWrap/>
            <w:hideMark/>
          </w:tcPr>
          <w:p w14:paraId="0833DDD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NY</w:t>
            </w:r>
          </w:p>
        </w:tc>
        <w:tc>
          <w:tcPr>
            <w:tcW w:w="2553" w:type="dxa"/>
            <w:noWrap/>
            <w:hideMark/>
          </w:tcPr>
          <w:p w14:paraId="48D29F81" w14:textId="2E7E8DB4"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Rochester</w:t>
            </w:r>
          </w:p>
        </w:tc>
        <w:tc>
          <w:tcPr>
            <w:tcW w:w="1260" w:type="dxa"/>
            <w:noWrap/>
            <w:hideMark/>
          </w:tcPr>
          <w:p w14:paraId="533DF140"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747,727</w:t>
            </w:r>
          </w:p>
        </w:tc>
      </w:tr>
      <w:tr w:rsidR="00A85E40" w:rsidRPr="00A85E40" w14:paraId="414C41C5"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08EBBDC" w14:textId="77777777" w:rsidR="00A85E40" w:rsidRPr="00673BDA" w:rsidRDefault="00A85E40" w:rsidP="000A0847">
            <w:pPr>
              <w:rPr>
                <w:sz w:val="20"/>
                <w:szCs w:val="20"/>
              </w:rPr>
            </w:pPr>
            <w:r w:rsidRPr="00673BDA">
              <w:rPr>
                <w:sz w:val="20"/>
                <w:szCs w:val="20"/>
              </w:rPr>
              <w:t>Oneida County</w:t>
            </w:r>
          </w:p>
        </w:tc>
        <w:tc>
          <w:tcPr>
            <w:tcW w:w="997" w:type="dxa"/>
            <w:noWrap/>
            <w:hideMark/>
          </w:tcPr>
          <w:p w14:paraId="6EC9B2E6"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NY</w:t>
            </w:r>
          </w:p>
        </w:tc>
        <w:tc>
          <w:tcPr>
            <w:tcW w:w="2553" w:type="dxa"/>
            <w:noWrap/>
            <w:hideMark/>
          </w:tcPr>
          <w:p w14:paraId="4AE10270" w14:textId="480EF886"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Utica</w:t>
            </w:r>
          </w:p>
        </w:tc>
        <w:tc>
          <w:tcPr>
            <w:tcW w:w="1260" w:type="dxa"/>
            <w:noWrap/>
            <w:hideMark/>
          </w:tcPr>
          <w:p w14:paraId="3527574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231,190</w:t>
            </w:r>
          </w:p>
        </w:tc>
      </w:tr>
      <w:tr w:rsidR="00A85E40" w:rsidRPr="00A85E40" w14:paraId="564F369E"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583E987" w14:textId="77777777" w:rsidR="00A85E40" w:rsidRPr="00673BDA" w:rsidRDefault="00A85E40" w:rsidP="000A0847">
            <w:pPr>
              <w:rPr>
                <w:sz w:val="20"/>
                <w:szCs w:val="20"/>
              </w:rPr>
            </w:pPr>
            <w:r w:rsidRPr="00673BDA">
              <w:rPr>
                <w:sz w:val="20"/>
                <w:szCs w:val="20"/>
              </w:rPr>
              <w:t>Onondaga County</w:t>
            </w:r>
          </w:p>
        </w:tc>
        <w:tc>
          <w:tcPr>
            <w:tcW w:w="997" w:type="dxa"/>
            <w:noWrap/>
            <w:hideMark/>
          </w:tcPr>
          <w:p w14:paraId="50A2940B"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NY</w:t>
            </w:r>
          </w:p>
        </w:tc>
        <w:tc>
          <w:tcPr>
            <w:tcW w:w="2553" w:type="dxa"/>
            <w:noWrap/>
            <w:hideMark/>
          </w:tcPr>
          <w:p w14:paraId="08164616" w14:textId="0161071F"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Syracuse</w:t>
            </w:r>
          </w:p>
        </w:tc>
        <w:tc>
          <w:tcPr>
            <w:tcW w:w="1260" w:type="dxa"/>
            <w:noWrap/>
            <w:hideMark/>
          </w:tcPr>
          <w:p w14:paraId="598B7688"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466,194</w:t>
            </w:r>
          </w:p>
        </w:tc>
      </w:tr>
      <w:tr w:rsidR="00A85E40" w:rsidRPr="00A85E40" w14:paraId="5F890BA7"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7EF24DD" w14:textId="77777777" w:rsidR="00A85E40" w:rsidRPr="00673BDA" w:rsidRDefault="00A85E40" w:rsidP="000A0847">
            <w:pPr>
              <w:rPr>
                <w:sz w:val="20"/>
                <w:szCs w:val="20"/>
              </w:rPr>
            </w:pPr>
            <w:r w:rsidRPr="00673BDA">
              <w:rPr>
                <w:sz w:val="20"/>
                <w:szCs w:val="20"/>
              </w:rPr>
              <w:t>Queens County</w:t>
            </w:r>
          </w:p>
        </w:tc>
        <w:tc>
          <w:tcPr>
            <w:tcW w:w="997" w:type="dxa"/>
            <w:noWrap/>
            <w:hideMark/>
          </w:tcPr>
          <w:p w14:paraId="6C66077A"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NY</w:t>
            </w:r>
          </w:p>
        </w:tc>
        <w:tc>
          <w:tcPr>
            <w:tcW w:w="2553" w:type="dxa"/>
            <w:noWrap/>
            <w:hideMark/>
          </w:tcPr>
          <w:p w14:paraId="2139C151" w14:textId="748ACA39"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New York</w:t>
            </w:r>
            <w:r w:rsidR="005846E7">
              <w:rPr>
                <w:sz w:val="20"/>
                <w:szCs w:val="20"/>
              </w:rPr>
              <w:t xml:space="preserve"> (Queens)</w:t>
            </w:r>
          </w:p>
        </w:tc>
        <w:tc>
          <w:tcPr>
            <w:tcW w:w="1260" w:type="dxa"/>
            <w:noWrap/>
            <w:hideMark/>
          </w:tcPr>
          <w:p w14:paraId="3FBA0CC7"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2,333,054</w:t>
            </w:r>
          </w:p>
        </w:tc>
      </w:tr>
      <w:tr w:rsidR="00A85E40" w:rsidRPr="00A85E40" w14:paraId="65169CF4"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790EBF2" w14:textId="77777777" w:rsidR="00A85E40" w:rsidRPr="00673BDA" w:rsidRDefault="00A85E40" w:rsidP="000A0847">
            <w:pPr>
              <w:rPr>
                <w:sz w:val="20"/>
                <w:szCs w:val="20"/>
              </w:rPr>
            </w:pPr>
            <w:r w:rsidRPr="00673BDA">
              <w:rPr>
                <w:sz w:val="20"/>
                <w:szCs w:val="20"/>
              </w:rPr>
              <w:t>Schenectady County</w:t>
            </w:r>
          </w:p>
        </w:tc>
        <w:tc>
          <w:tcPr>
            <w:tcW w:w="997" w:type="dxa"/>
            <w:noWrap/>
            <w:hideMark/>
          </w:tcPr>
          <w:p w14:paraId="7DB87A6D"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NY</w:t>
            </w:r>
          </w:p>
        </w:tc>
        <w:tc>
          <w:tcPr>
            <w:tcW w:w="2553" w:type="dxa"/>
            <w:noWrap/>
            <w:hideMark/>
          </w:tcPr>
          <w:p w14:paraId="293DADCC" w14:textId="75412B6C"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Schenectady</w:t>
            </w:r>
          </w:p>
        </w:tc>
        <w:tc>
          <w:tcPr>
            <w:tcW w:w="1260" w:type="dxa"/>
            <w:noWrap/>
            <w:hideMark/>
          </w:tcPr>
          <w:p w14:paraId="3E412AE0"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154,553</w:t>
            </w:r>
          </w:p>
        </w:tc>
      </w:tr>
      <w:tr w:rsidR="00A85E40" w:rsidRPr="00A85E40" w14:paraId="6E41FE39"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F9024B8" w14:textId="77777777" w:rsidR="00A85E40" w:rsidRPr="00673BDA" w:rsidRDefault="00A85E40" w:rsidP="000A0847">
            <w:pPr>
              <w:rPr>
                <w:sz w:val="20"/>
                <w:szCs w:val="20"/>
              </w:rPr>
            </w:pPr>
            <w:r w:rsidRPr="00673BDA">
              <w:rPr>
                <w:sz w:val="20"/>
                <w:szCs w:val="20"/>
              </w:rPr>
              <w:t>Clark County</w:t>
            </w:r>
          </w:p>
        </w:tc>
        <w:tc>
          <w:tcPr>
            <w:tcW w:w="997" w:type="dxa"/>
            <w:noWrap/>
            <w:hideMark/>
          </w:tcPr>
          <w:p w14:paraId="47DD65C9"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OH</w:t>
            </w:r>
          </w:p>
        </w:tc>
        <w:tc>
          <w:tcPr>
            <w:tcW w:w="2553" w:type="dxa"/>
            <w:noWrap/>
            <w:hideMark/>
          </w:tcPr>
          <w:p w14:paraId="139699AD" w14:textId="602BD151"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Springfield</w:t>
            </w:r>
          </w:p>
        </w:tc>
        <w:tc>
          <w:tcPr>
            <w:tcW w:w="1260" w:type="dxa"/>
            <w:noWrap/>
            <w:hideMark/>
          </w:tcPr>
          <w:p w14:paraId="13924A8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134,786</w:t>
            </w:r>
          </w:p>
        </w:tc>
      </w:tr>
      <w:tr w:rsidR="00A85E40" w:rsidRPr="00A85E40" w14:paraId="36C662D3"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4C2C119" w14:textId="77777777" w:rsidR="00A85E40" w:rsidRPr="00673BDA" w:rsidRDefault="00A85E40" w:rsidP="000A0847">
            <w:pPr>
              <w:rPr>
                <w:sz w:val="20"/>
                <w:szCs w:val="20"/>
              </w:rPr>
            </w:pPr>
            <w:r w:rsidRPr="00673BDA">
              <w:rPr>
                <w:sz w:val="20"/>
                <w:szCs w:val="20"/>
              </w:rPr>
              <w:t>Cuyahoga County</w:t>
            </w:r>
          </w:p>
        </w:tc>
        <w:tc>
          <w:tcPr>
            <w:tcW w:w="997" w:type="dxa"/>
            <w:noWrap/>
            <w:hideMark/>
          </w:tcPr>
          <w:p w14:paraId="6E76C79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OH</w:t>
            </w:r>
          </w:p>
        </w:tc>
        <w:tc>
          <w:tcPr>
            <w:tcW w:w="2553" w:type="dxa"/>
            <w:noWrap/>
            <w:hideMark/>
          </w:tcPr>
          <w:p w14:paraId="5DD451F5" w14:textId="0C0A047E"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Cleveland</w:t>
            </w:r>
          </w:p>
        </w:tc>
        <w:tc>
          <w:tcPr>
            <w:tcW w:w="1260" w:type="dxa"/>
            <w:noWrap/>
            <w:hideMark/>
          </w:tcPr>
          <w:p w14:paraId="35591D50"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1,249,352</w:t>
            </w:r>
          </w:p>
        </w:tc>
      </w:tr>
      <w:tr w:rsidR="00A85E40" w:rsidRPr="00A85E40" w14:paraId="1F069337"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3CA0D8B" w14:textId="77777777" w:rsidR="00A85E40" w:rsidRPr="00673BDA" w:rsidRDefault="00A85E40" w:rsidP="000A0847">
            <w:pPr>
              <w:rPr>
                <w:sz w:val="20"/>
                <w:szCs w:val="20"/>
              </w:rPr>
            </w:pPr>
            <w:r w:rsidRPr="00673BDA">
              <w:rPr>
                <w:sz w:val="20"/>
                <w:szCs w:val="20"/>
              </w:rPr>
              <w:t>Hamilton County</w:t>
            </w:r>
          </w:p>
        </w:tc>
        <w:tc>
          <w:tcPr>
            <w:tcW w:w="997" w:type="dxa"/>
            <w:noWrap/>
            <w:hideMark/>
          </w:tcPr>
          <w:p w14:paraId="297685FC"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OH</w:t>
            </w:r>
          </w:p>
        </w:tc>
        <w:tc>
          <w:tcPr>
            <w:tcW w:w="2553" w:type="dxa"/>
            <w:noWrap/>
            <w:hideMark/>
          </w:tcPr>
          <w:p w14:paraId="42FECB05" w14:textId="775B171C"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Cincinnati</w:t>
            </w:r>
          </w:p>
        </w:tc>
        <w:tc>
          <w:tcPr>
            <w:tcW w:w="1260" w:type="dxa"/>
            <w:noWrap/>
            <w:hideMark/>
          </w:tcPr>
          <w:p w14:paraId="43BF5AAE"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809,099</w:t>
            </w:r>
          </w:p>
        </w:tc>
      </w:tr>
      <w:tr w:rsidR="00A85E40" w:rsidRPr="00A85E40" w14:paraId="2C093491"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A4A5BD4" w14:textId="77777777" w:rsidR="00A85E40" w:rsidRPr="00673BDA" w:rsidRDefault="00A85E40" w:rsidP="000A0847">
            <w:pPr>
              <w:rPr>
                <w:sz w:val="20"/>
                <w:szCs w:val="20"/>
              </w:rPr>
            </w:pPr>
            <w:r w:rsidRPr="00673BDA">
              <w:rPr>
                <w:sz w:val="20"/>
                <w:szCs w:val="20"/>
              </w:rPr>
              <w:t>Lorain County</w:t>
            </w:r>
          </w:p>
        </w:tc>
        <w:tc>
          <w:tcPr>
            <w:tcW w:w="997" w:type="dxa"/>
            <w:noWrap/>
            <w:hideMark/>
          </w:tcPr>
          <w:p w14:paraId="71B1AC5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OH</w:t>
            </w:r>
          </w:p>
        </w:tc>
        <w:tc>
          <w:tcPr>
            <w:tcW w:w="2553" w:type="dxa"/>
            <w:noWrap/>
            <w:hideMark/>
          </w:tcPr>
          <w:p w14:paraId="482DFED1" w14:textId="7C9275FE"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Lorain</w:t>
            </w:r>
          </w:p>
        </w:tc>
        <w:tc>
          <w:tcPr>
            <w:tcW w:w="1260" w:type="dxa"/>
            <w:noWrap/>
            <w:hideMark/>
          </w:tcPr>
          <w:p w14:paraId="27957729"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306,365</w:t>
            </w:r>
          </w:p>
        </w:tc>
      </w:tr>
      <w:tr w:rsidR="00A85E40" w:rsidRPr="00A85E40" w14:paraId="5E846F81"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8325BE4" w14:textId="77777777" w:rsidR="00A85E40" w:rsidRPr="00673BDA" w:rsidRDefault="00A85E40" w:rsidP="000A0847">
            <w:pPr>
              <w:rPr>
                <w:sz w:val="20"/>
                <w:szCs w:val="20"/>
              </w:rPr>
            </w:pPr>
            <w:r w:rsidRPr="00673BDA">
              <w:rPr>
                <w:sz w:val="20"/>
                <w:szCs w:val="20"/>
              </w:rPr>
              <w:t>Lucas County</w:t>
            </w:r>
          </w:p>
        </w:tc>
        <w:tc>
          <w:tcPr>
            <w:tcW w:w="997" w:type="dxa"/>
            <w:noWrap/>
            <w:hideMark/>
          </w:tcPr>
          <w:p w14:paraId="3EFC2307"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OH</w:t>
            </w:r>
          </w:p>
        </w:tc>
        <w:tc>
          <w:tcPr>
            <w:tcW w:w="2553" w:type="dxa"/>
            <w:noWrap/>
            <w:hideMark/>
          </w:tcPr>
          <w:p w14:paraId="69D89E47" w14:textId="19C595F9"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Toledo</w:t>
            </w:r>
          </w:p>
        </w:tc>
        <w:tc>
          <w:tcPr>
            <w:tcW w:w="1260" w:type="dxa"/>
            <w:noWrap/>
            <w:hideMark/>
          </w:tcPr>
          <w:p w14:paraId="363D08B9"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432,488</w:t>
            </w:r>
          </w:p>
        </w:tc>
      </w:tr>
      <w:tr w:rsidR="00A85E40" w:rsidRPr="00A85E40" w14:paraId="49026F86"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19B6A0F3" w14:textId="77777777" w:rsidR="00A85E40" w:rsidRPr="00673BDA" w:rsidRDefault="00A85E40" w:rsidP="000A0847">
            <w:pPr>
              <w:rPr>
                <w:sz w:val="20"/>
                <w:szCs w:val="20"/>
              </w:rPr>
            </w:pPr>
            <w:r w:rsidRPr="00673BDA">
              <w:rPr>
                <w:sz w:val="20"/>
                <w:szCs w:val="20"/>
              </w:rPr>
              <w:t>Mahoning County</w:t>
            </w:r>
          </w:p>
        </w:tc>
        <w:tc>
          <w:tcPr>
            <w:tcW w:w="997" w:type="dxa"/>
            <w:noWrap/>
            <w:hideMark/>
          </w:tcPr>
          <w:p w14:paraId="0E495223"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OH</w:t>
            </w:r>
          </w:p>
        </w:tc>
        <w:tc>
          <w:tcPr>
            <w:tcW w:w="2553" w:type="dxa"/>
            <w:noWrap/>
            <w:hideMark/>
          </w:tcPr>
          <w:p w14:paraId="2DE0C39C" w14:textId="4C173F4F"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Youngstown</w:t>
            </w:r>
          </w:p>
        </w:tc>
        <w:tc>
          <w:tcPr>
            <w:tcW w:w="1260" w:type="dxa"/>
            <w:noWrap/>
            <w:hideMark/>
          </w:tcPr>
          <w:p w14:paraId="22BD08AC"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230,008</w:t>
            </w:r>
          </w:p>
        </w:tc>
      </w:tr>
      <w:tr w:rsidR="00A85E40" w:rsidRPr="00A85E40" w14:paraId="4C8F6F98"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D7D34A1" w14:textId="77777777" w:rsidR="00A85E40" w:rsidRPr="00673BDA" w:rsidRDefault="00A85E40" w:rsidP="000A0847">
            <w:pPr>
              <w:rPr>
                <w:sz w:val="20"/>
                <w:szCs w:val="20"/>
              </w:rPr>
            </w:pPr>
            <w:r w:rsidRPr="00673BDA">
              <w:rPr>
                <w:sz w:val="20"/>
                <w:szCs w:val="20"/>
              </w:rPr>
              <w:t>Montgomery County</w:t>
            </w:r>
          </w:p>
        </w:tc>
        <w:tc>
          <w:tcPr>
            <w:tcW w:w="997" w:type="dxa"/>
            <w:noWrap/>
            <w:hideMark/>
          </w:tcPr>
          <w:p w14:paraId="4758F33B"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OH</w:t>
            </w:r>
          </w:p>
        </w:tc>
        <w:tc>
          <w:tcPr>
            <w:tcW w:w="2553" w:type="dxa"/>
            <w:noWrap/>
            <w:hideMark/>
          </w:tcPr>
          <w:p w14:paraId="3A780A42" w14:textId="32E488F9"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Dayton</w:t>
            </w:r>
          </w:p>
        </w:tc>
        <w:tc>
          <w:tcPr>
            <w:tcW w:w="1260" w:type="dxa"/>
            <w:noWrap/>
            <w:hideMark/>
          </w:tcPr>
          <w:p w14:paraId="2A2E4811"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531,239</w:t>
            </w:r>
          </w:p>
        </w:tc>
      </w:tr>
      <w:tr w:rsidR="00A85E40" w:rsidRPr="00A85E40" w14:paraId="631742C4"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5B8F5A2" w14:textId="77777777" w:rsidR="00A85E40" w:rsidRPr="00673BDA" w:rsidRDefault="00A85E40" w:rsidP="000A0847">
            <w:pPr>
              <w:rPr>
                <w:sz w:val="20"/>
                <w:szCs w:val="20"/>
              </w:rPr>
            </w:pPr>
            <w:r w:rsidRPr="00673BDA">
              <w:rPr>
                <w:sz w:val="20"/>
                <w:szCs w:val="20"/>
              </w:rPr>
              <w:t>Stark County</w:t>
            </w:r>
          </w:p>
        </w:tc>
        <w:tc>
          <w:tcPr>
            <w:tcW w:w="997" w:type="dxa"/>
            <w:noWrap/>
            <w:hideMark/>
          </w:tcPr>
          <w:p w14:paraId="13B41269"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OH</w:t>
            </w:r>
          </w:p>
        </w:tc>
        <w:tc>
          <w:tcPr>
            <w:tcW w:w="2553" w:type="dxa"/>
            <w:noWrap/>
            <w:hideMark/>
          </w:tcPr>
          <w:p w14:paraId="7E32EF5A" w14:textId="0467990B"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Canton</w:t>
            </w:r>
          </w:p>
        </w:tc>
        <w:tc>
          <w:tcPr>
            <w:tcW w:w="1260" w:type="dxa"/>
            <w:noWrap/>
            <w:hideMark/>
          </w:tcPr>
          <w:p w14:paraId="03154C28"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373,612</w:t>
            </w:r>
          </w:p>
        </w:tc>
      </w:tr>
      <w:tr w:rsidR="00A85E40" w:rsidRPr="00A85E40" w14:paraId="47307F16"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E6947CE" w14:textId="77777777" w:rsidR="00A85E40" w:rsidRPr="00673BDA" w:rsidRDefault="00A85E40" w:rsidP="000A0847">
            <w:pPr>
              <w:rPr>
                <w:sz w:val="20"/>
                <w:szCs w:val="20"/>
              </w:rPr>
            </w:pPr>
            <w:r w:rsidRPr="00673BDA">
              <w:rPr>
                <w:sz w:val="20"/>
                <w:szCs w:val="20"/>
              </w:rPr>
              <w:t>Summit County</w:t>
            </w:r>
          </w:p>
        </w:tc>
        <w:tc>
          <w:tcPr>
            <w:tcW w:w="997" w:type="dxa"/>
            <w:noWrap/>
            <w:hideMark/>
          </w:tcPr>
          <w:p w14:paraId="77F451D8"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OH</w:t>
            </w:r>
          </w:p>
        </w:tc>
        <w:tc>
          <w:tcPr>
            <w:tcW w:w="2553" w:type="dxa"/>
            <w:noWrap/>
            <w:hideMark/>
          </w:tcPr>
          <w:p w14:paraId="72F4CB85" w14:textId="1566F3A5"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Akron</w:t>
            </w:r>
          </w:p>
        </w:tc>
        <w:tc>
          <w:tcPr>
            <w:tcW w:w="1260" w:type="dxa"/>
            <w:noWrap/>
            <w:hideMark/>
          </w:tcPr>
          <w:p w14:paraId="3430977E"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540,300</w:t>
            </w:r>
          </w:p>
        </w:tc>
      </w:tr>
      <w:tr w:rsidR="00A85E40" w:rsidRPr="00A85E40" w14:paraId="623A9FBA"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A883F51" w14:textId="77777777" w:rsidR="00A85E40" w:rsidRPr="00673BDA" w:rsidRDefault="00A85E40" w:rsidP="000A0847">
            <w:pPr>
              <w:rPr>
                <w:sz w:val="20"/>
                <w:szCs w:val="20"/>
              </w:rPr>
            </w:pPr>
            <w:r w:rsidRPr="00673BDA">
              <w:rPr>
                <w:sz w:val="20"/>
                <w:szCs w:val="20"/>
              </w:rPr>
              <w:t>Allegheny County</w:t>
            </w:r>
          </w:p>
        </w:tc>
        <w:tc>
          <w:tcPr>
            <w:tcW w:w="997" w:type="dxa"/>
            <w:noWrap/>
            <w:hideMark/>
          </w:tcPr>
          <w:p w14:paraId="47F1D57A"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PA</w:t>
            </w:r>
          </w:p>
        </w:tc>
        <w:tc>
          <w:tcPr>
            <w:tcW w:w="2553" w:type="dxa"/>
            <w:noWrap/>
            <w:hideMark/>
          </w:tcPr>
          <w:p w14:paraId="23977500" w14:textId="299DC0B5"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Pittsburgh</w:t>
            </w:r>
          </w:p>
        </w:tc>
        <w:tc>
          <w:tcPr>
            <w:tcW w:w="1260" w:type="dxa"/>
            <w:noWrap/>
            <w:hideMark/>
          </w:tcPr>
          <w:p w14:paraId="0470460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1,225,365</w:t>
            </w:r>
          </w:p>
        </w:tc>
      </w:tr>
      <w:tr w:rsidR="00A85E40" w:rsidRPr="00A85E40" w14:paraId="1E51C016"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E0E9D13" w14:textId="77777777" w:rsidR="00A85E40" w:rsidRPr="00673BDA" w:rsidRDefault="00A85E40" w:rsidP="000A0847">
            <w:pPr>
              <w:rPr>
                <w:sz w:val="20"/>
                <w:szCs w:val="20"/>
              </w:rPr>
            </w:pPr>
            <w:r w:rsidRPr="00673BDA">
              <w:rPr>
                <w:sz w:val="20"/>
                <w:szCs w:val="20"/>
              </w:rPr>
              <w:t>Berks County</w:t>
            </w:r>
          </w:p>
        </w:tc>
        <w:tc>
          <w:tcPr>
            <w:tcW w:w="997" w:type="dxa"/>
            <w:noWrap/>
            <w:hideMark/>
          </w:tcPr>
          <w:p w14:paraId="11ACE16F"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PA</w:t>
            </w:r>
          </w:p>
        </w:tc>
        <w:tc>
          <w:tcPr>
            <w:tcW w:w="2553" w:type="dxa"/>
            <w:noWrap/>
            <w:hideMark/>
          </w:tcPr>
          <w:p w14:paraId="305118CC" w14:textId="23F6A956"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Reading</w:t>
            </w:r>
          </w:p>
        </w:tc>
        <w:tc>
          <w:tcPr>
            <w:tcW w:w="1260" w:type="dxa"/>
            <w:noWrap/>
            <w:hideMark/>
          </w:tcPr>
          <w:p w14:paraId="323109CD"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414,812</w:t>
            </w:r>
          </w:p>
        </w:tc>
      </w:tr>
      <w:tr w:rsidR="00A85E40" w:rsidRPr="00A85E40" w14:paraId="05CA0513"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4142D1D3" w14:textId="77777777" w:rsidR="00A85E40" w:rsidRPr="00673BDA" w:rsidRDefault="00A85E40" w:rsidP="000A0847">
            <w:pPr>
              <w:rPr>
                <w:sz w:val="20"/>
                <w:szCs w:val="20"/>
              </w:rPr>
            </w:pPr>
            <w:r w:rsidRPr="00673BDA">
              <w:rPr>
                <w:sz w:val="20"/>
                <w:szCs w:val="20"/>
              </w:rPr>
              <w:t>Erie County</w:t>
            </w:r>
          </w:p>
        </w:tc>
        <w:tc>
          <w:tcPr>
            <w:tcW w:w="997" w:type="dxa"/>
            <w:noWrap/>
            <w:hideMark/>
          </w:tcPr>
          <w:p w14:paraId="3B787095"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PA</w:t>
            </w:r>
          </w:p>
        </w:tc>
        <w:tc>
          <w:tcPr>
            <w:tcW w:w="2553" w:type="dxa"/>
            <w:noWrap/>
            <w:hideMark/>
          </w:tcPr>
          <w:p w14:paraId="1683D14F" w14:textId="48CB09F4"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Erie</w:t>
            </w:r>
          </w:p>
        </w:tc>
        <w:tc>
          <w:tcPr>
            <w:tcW w:w="1260" w:type="dxa"/>
            <w:noWrap/>
            <w:hideMark/>
          </w:tcPr>
          <w:p w14:paraId="5A017A9F"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276,207</w:t>
            </w:r>
          </w:p>
        </w:tc>
      </w:tr>
      <w:tr w:rsidR="00A85E40" w:rsidRPr="00A85E40" w14:paraId="0AE7C2C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2315F2D" w14:textId="77777777" w:rsidR="00A85E40" w:rsidRPr="00673BDA" w:rsidRDefault="00A85E40" w:rsidP="000A0847">
            <w:pPr>
              <w:rPr>
                <w:sz w:val="20"/>
                <w:szCs w:val="20"/>
              </w:rPr>
            </w:pPr>
            <w:r w:rsidRPr="00673BDA">
              <w:rPr>
                <w:sz w:val="20"/>
                <w:szCs w:val="20"/>
              </w:rPr>
              <w:t>Lackawanna County</w:t>
            </w:r>
          </w:p>
        </w:tc>
        <w:tc>
          <w:tcPr>
            <w:tcW w:w="997" w:type="dxa"/>
            <w:noWrap/>
            <w:hideMark/>
          </w:tcPr>
          <w:p w14:paraId="2B1D20CF"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PA</w:t>
            </w:r>
          </w:p>
        </w:tc>
        <w:tc>
          <w:tcPr>
            <w:tcW w:w="2553" w:type="dxa"/>
            <w:noWrap/>
            <w:hideMark/>
          </w:tcPr>
          <w:p w14:paraId="1780686A" w14:textId="3049BAF2"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Scranton</w:t>
            </w:r>
          </w:p>
        </w:tc>
        <w:tc>
          <w:tcPr>
            <w:tcW w:w="1260" w:type="dxa"/>
            <w:noWrap/>
            <w:hideMark/>
          </w:tcPr>
          <w:p w14:paraId="34325B5D"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211,321</w:t>
            </w:r>
          </w:p>
        </w:tc>
      </w:tr>
      <w:tr w:rsidR="00A85E40" w:rsidRPr="00A85E40" w14:paraId="6F771A56"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826E98F" w14:textId="77777777" w:rsidR="00A85E40" w:rsidRPr="00673BDA" w:rsidRDefault="00A85E40" w:rsidP="000A0847">
            <w:pPr>
              <w:rPr>
                <w:sz w:val="20"/>
                <w:szCs w:val="20"/>
              </w:rPr>
            </w:pPr>
            <w:r w:rsidRPr="00673BDA">
              <w:rPr>
                <w:sz w:val="20"/>
                <w:szCs w:val="20"/>
              </w:rPr>
              <w:t>Lehigh County</w:t>
            </w:r>
          </w:p>
        </w:tc>
        <w:tc>
          <w:tcPr>
            <w:tcW w:w="997" w:type="dxa"/>
            <w:noWrap/>
            <w:hideMark/>
          </w:tcPr>
          <w:p w14:paraId="07DAFA6E"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PA</w:t>
            </w:r>
          </w:p>
        </w:tc>
        <w:tc>
          <w:tcPr>
            <w:tcW w:w="2553" w:type="dxa"/>
            <w:noWrap/>
            <w:hideMark/>
          </w:tcPr>
          <w:p w14:paraId="76C5FB97" w14:textId="17959F92"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Allentown</w:t>
            </w:r>
          </w:p>
        </w:tc>
        <w:tc>
          <w:tcPr>
            <w:tcW w:w="1260" w:type="dxa"/>
            <w:noWrap/>
            <w:hideMark/>
          </w:tcPr>
          <w:p w14:paraId="2451C17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363,147</w:t>
            </w:r>
          </w:p>
        </w:tc>
      </w:tr>
      <w:tr w:rsidR="00A85E40" w:rsidRPr="00A85E40" w14:paraId="0271CC00"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473A52F9" w14:textId="77777777" w:rsidR="00A85E40" w:rsidRPr="00673BDA" w:rsidRDefault="00A85E40" w:rsidP="000A0847">
            <w:pPr>
              <w:rPr>
                <w:sz w:val="20"/>
                <w:szCs w:val="20"/>
              </w:rPr>
            </w:pPr>
            <w:r w:rsidRPr="00673BDA">
              <w:rPr>
                <w:sz w:val="20"/>
                <w:szCs w:val="20"/>
              </w:rPr>
              <w:t>Northampton County</w:t>
            </w:r>
          </w:p>
        </w:tc>
        <w:tc>
          <w:tcPr>
            <w:tcW w:w="997" w:type="dxa"/>
            <w:noWrap/>
            <w:hideMark/>
          </w:tcPr>
          <w:p w14:paraId="238DEC81"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PA</w:t>
            </w:r>
          </w:p>
        </w:tc>
        <w:tc>
          <w:tcPr>
            <w:tcW w:w="2553" w:type="dxa"/>
            <w:noWrap/>
            <w:hideMark/>
          </w:tcPr>
          <w:p w14:paraId="16B6E6BC" w14:textId="62176CB8"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Bethlehem</w:t>
            </w:r>
          </w:p>
        </w:tc>
        <w:tc>
          <w:tcPr>
            <w:tcW w:w="1260" w:type="dxa"/>
            <w:noWrap/>
            <w:hideMark/>
          </w:tcPr>
          <w:p w14:paraId="01BE73EC"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302,294</w:t>
            </w:r>
          </w:p>
        </w:tc>
      </w:tr>
      <w:tr w:rsidR="00A85E40" w:rsidRPr="00A85E40" w14:paraId="44C82272"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2ABD65F" w14:textId="77777777" w:rsidR="00A85E40" w:rsidRPr="00673BDA" w:rsidRDefault="00A85E40" w:rsidP="000A0847">
            <w:pPr>
              <w:rPr>
                <w:sz w:val="20"/>
                <w:szCs w:val="20"/>
              </w:rPr>
            </w:pPr>
            <w:r w:rsidRPr="00673BDA">
              <w:rPr>
                <w:sz w:val="20"/>
                <w:szCs w:val="20"/>
              </w:rPr>
              <w:t>Philadelphia County</w:t>
            </w:r>
          </w:p>
        </w:tc>
        <w:tc>
          <w:tcPr>
            <w:tcW w:w="997" w:type="dxa"/>
            <w:noWrap/>
            <w:hideMark/>
          </w:tcPr>
          <w:p w14:paraId="754BD817"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PA</w:t>
            </w:r>
          </w:p>
        </w:tc>
        <w:tc>
          <w:tcPr>
            <w:tcW w:w="2553" w:type="dxa"/>
            <w:noWrap/>
            <w:hideMark/>
          </w:tcPr>
          <w:p w14:paraId="79ADDDE4" w14:textId="37B2B00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Philadelphia</w:t>
            </w:r>
          </w:p>
        </w:tc>
        <w:tc>
          <w:tcPr>
            <w:tcW w:w="1260" w:type="dxa"/>
            <w:noWrap/>
            <w:hideMark/>
          </w:tcPr>
          <w:p w14:paraId="1E2677A1"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1,567,872</w:t>
            </w:r>
          </w:p>
        </w:tc>
      </w:tr>
      <w:tr w:rsidR="00A85E40" w:rsidRPr="00A85E40" w14:paraId="604D2758"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4CDE49C7" w14:textId="77777777" w:rsidR="00A85E40" w:rsidRPr="00673BDA" w:rsidRDefault="00A85E40" w:rsidP="000A0847">
            <w:pPr>
              <w:rPr>
                <w:sz w:val="20"/>
                <w:szCs w:val="20"/>
              </w:rPr>
            </w:pPr>
            <w:r w:rsidRPr="00673BDA">
              <w:rPr>
                <w:sz w:val="20"/>
                <w:szCs w:val="20"/>
              </w:rPr>
              <w:t>Providence County</w:t>
            </w:r>
          </w:p>
        </w:tc>
        <w:tc>
          <w:tcPr>
            <w:tcW w:w="997" w:type="dxa"/>
            <w:noWrap/>
            <w:hideMark/>
          </w:tcPr>
          <w:p w14:paraId="06C13362"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RI</w:t>
            </w:r>
          </w:p>
        </w:tc>
        <w:tc>
          <w:tcPr>
            <w:tcW w:w="2553" w:type="dxa"/>
            <w:noWrap/>
            <w:hideMark/>
          </w:tcPr>
          <w:p w14:paraId="3CDCF325" w14:textId="5D17C692"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Providence</w:t>
            </w:r>
          </w:p>
        </w:tc>
        <w:tc>
          <w:tcPr>
            <w:tcW w:w="1260" w:type="dxa"/>
            <w:noWrap/>
            <w:hideMark/>
          </w:tcPr>
          <w:p w14:paraId="0368A34B"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633,673</w:t>
            </w:r>
          </w:p>
        </w:tc>
      </w:tr>
      <w:tr w:rsidR="00A85E40" w:rsidRPr="00A85E40" w14:paraId="3CB45435"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AEB5687" w14:textId="77777777" w:rsidR="00A85E40" w:rsidRPr="00673BDA" w:rsidRDefault="00A85E40" w:rsidP="000A0847">
            <w:pPr>
              <w:rPr>
                <w:sz w:val="20"/>
                <w:szCs w:val="20"/>
              </w:rPr>
            </w:pPr>
            <w:r w:rsidRPr="00673BDA">
              <w:rPr>
                <w:sz w:val="20"/>
                <w:szCs w:val="20"/>
              </w:rPr>
              <w:t>Jefferson County</w:t>
            </w:r>
          </w:p>
        </w:tc>
        <w:tc>
          <w:tcPr>
            <w:tcW w:w="997" w:type="dxa"/>
            <w:noWrap/>
            <w:hideMark/>
          </w:tcPr>
          <w:p w14:paraId="016340AE"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TX</w:t>
            </w:r>
          </w:p>
        </w:tc>
        <w:tc>
          <w:tcPr>
            <w:tcW w:w="2553" w:type="dxa"/>
            <w:noWrap/>
            <w:hideMark/>
          </w:tcPr>
          <w:p w14:paraId="57B4F933" w14:textId="7429BA8F"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Beaumont</w:t>
            </w:r>
          </w:p>
        </w:tc>
        <w:tc>
          <w:tcPr>
            <w:tcW w:w="1260" w:type="dxa"/>
            <w:noWrap/>
            <w:hideMark/>
          </w:tcPr>
          <w:p w14:paraId="54C8F6E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254,679</w:t>
            </w:r>
          </w:p>
        </w:tc>
      </w:tr>
      <w:tr w:rsidR="00A85E40" w:rsidRPr="00A85E40" w14:paraId="6EF5503D"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6D0F44C0" w14:textId="77777777" w:rsidR="00A85E40" w:rsidRPr="00673BDA" w:rsidRDefault="00A85E40" w:rsidP="000A0847">
            <w:pPr>
              <w:rPr>
                <w:sz w:val="20"/>
                <w:szCs w:val="20"/>
              </w:rPr>
            </w:pPr>
            <w:r w:rsidRPr="00673BDA">
              <w:rPr>
                <w:sz w:val="20"/>
                <w:szCs w:val="20"/>
              </w:rPr>
              <w:t>Roanoke city</w:t>
            </w:r>
          </w:p>
        </w:tc>
        <w:tc>
          <w:tcPr>
            <w:tcW w:w="997" w:type="dxa"/>
            <w:noWrap/>
            <w:hideMark/>
          </w:tcPr>
          <w:p w14:paraId="7DCD6F3C"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VA</w:t>
            </w:r>
          </w:p>
        </w:tc>
        <w:tc>
          <w:tcPr>
            <w:tcW w:w="2553" w:type="dxa"/>
            <w:noWrap/>
            <w:hideMark/>
          </w:tcPr>
          <w:p w14:paraId="4D3149CE" w14:textId="7FE6F2E3"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Roanoke</w:t>
            </w:r>
          </w:p>
        </w:tc>
        <w:tc>
          <w:tcPr>
            <w:tcW w:w="1260" w:type="dxa"/>
            <w:noWrap/>
            <w:hideMark/>
          </w:tcPr>
          <w:p w14:paraId="76E94B29"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99,660</w:t>
            </w:r>
          </w:p>
        </w:tc>
      </w:tr>
      <w:tr w:rsidR="00A85E40" w:rsidRPr="00A85E40" w14:paraId="4CBCB8E2"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414272D" w14:textId="77777777" w:rsidR="00A85E40" w:rsidRPr="00673BDA" w:rsidRDefault="00A85E40" w:rsidP="000A0847">
            <w:pPr>
              <w:rPr>
                <w:sz w:val="20"/>
                <w:szCs w:val="20"/>
              </w:rPr>
            </w:pPr>
            <w:r w:rsidRPr="00673BDA">
              <w:rPr>
                <w:sz w:val="20"/>
                <w:szCs w:val="20"/>
              </w:rPr>
              <w:t>Campbell + Lynchburg, VA</w:t>
            </w:r>
          </w:p>
        </w:tc>
        <w:tc>
          <w:tcPr>
            <w:tcW w:w="997" w:type="dxa"/>
            <w:noWrap/>
            <w:hideMark/>
          </w:tcPr>
          <w:p w14:paraId="242FBC4C"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VA</w:t>
            </w:r>
          </w:p>
        </w:tc>
        <w:tc>
          <w:tcPr>
            <w:tcW w:w="2553" w:type="dxa"/>
            <w:noWrap/>
            <w:hideMark/>
          </w:tcPr>
          <w:p w14:paraId="56576602" w14:textId="5A00E0E1" w:rsidR="00A85E40" w:rsidRPr="00673BDA" w:rsidRDefault="00AD72A0" w:rsidP="000A08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Lynchburg</w:t>
            </w:r>
          </w:p>
        </w:tc>
        <w:tc>
          <w:tcPr>
            <w:tcW w:w="1260" w:type="dxa"/>
            <w:noWrap/>
            <w:hideMark/>
          </w:tcPr>
          <w:p w14:paraId="71F12F9E"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135,164</w:t>
            </w:r>
          </w:p>
        </w:tc>
      </w:tr>
      <w:tr w:rsidR="00A85E40" w:rsidRPr="00A85E40" w14:paraId="439F4425"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F0D92EF" w14:textId="77777777" w:rsidR="00A85E40" w:rsidRPr="00673BDA" w:rsidRDefault="00A85E40" w:rsidP="000A0847">
            <w:pPr>
              <w:rPr>
                <w:sz w:val="20"/>
                <w:szCs w:val="20"/>
              </w:rPr>
            </w:pPr>
            <w:r w:rsidRPr="00673BDA">
              <w:rPr>
                <w:sz w:val="20"/>
                <w:szCs w:val="20"/>
              </w:rPr>
              <w:t>Milwaukee County</w:t>
            </w:r>
          </w:p>
        </w:tc>
        <w:tc>
          <w:tcPr>
            <w:tcW w:w="997" w:type="dxa"/>
            <w:noWrap/>
            <w:hideMark/>
          </w:tcPr>
          <w:p w14:paraId="46CADD0D"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WI</w:t>
            </w:r>
          </w:p>
        </w:tc>
        <w:tc>
          <w:tcPr>
            <w:tcW w:w="2553" w:type="dxa"/>
            <w:noWrap/>
            <w:hideMark/>
          </w:tcPr>
          <w:p w14:paraId="6F8F09DF" w14:textId="6EBFFFA9"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Milwaukee</w:t>
            </w:r>
          </w:p>
        </w:tc>
        <w:tc>
          <w:tcPr>
            <w:tcW w:w="1260" w:type="dxa"/>
            <w:noWrap/>
            <w:hideMark/>
          </w:tcPr>
          <w:p w14:paraId="5D7A9B28"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951,448</w:t>
            </w:r>
          </w:p>
        </w:tc>
      </w:tr>
      <w:tr w:rsidR="00A85E40" w:rsidRPr="00A85E40" w14:paraId="53938807" w14:textId="77777777" w:rsidTr="00DB288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0060786" w14:textId="77777777" w:rsidR="00A85E40" w:rsidRPr="00673BDA" w:rsidRDefault="00A85E40" w:rsidP="000A0847">
            <w:pPr>
              <w:rPr>
                <w:sz w:val="20"/>
                <w:szCs w:val="20"/>
              </w:rPr>
            </w:pPr>
            <w:r w:rsidRPr="00673BDA">
              <w:rPr>
                <w:sz w:val="20"/>
                <w:szCs w:val="20"/>
              </w:rPr>
              <w:t>Racine County</w:t>
            </w:r>
          </w:p>
        </w:tc>
        <w:tc>
          <w:tcPr>
            <w:tcW w:w="997" w:type="dxa"/>
            <w:noWrap/>
            <w:hideMark/>
          </w:tcPr>
          <w:p w14:paraId="125B6F7B" w14:textId="77777777"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WI</w:t>
            </w:r>
          </w:p>
        </w:tc>
        <w:tc>
          <w:tcPr>
            <w:tcW w:w="2553" w:type="dxa"/>
            <w:noWrap/>
            <w:hideMark/>
          </w:tcPr>
          <w:p w14:paraId="58D08651" w14:textId="56BFF420" w:rsidR="00A85E40" w:rsidRPr="00673BDA" w:rsidRDefault="00A85E40" w:rsidP="000A0847">
            <w:pPr>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Racine</w:t>
            </w:r>
          </w:p>
        </w:tc>
        <w:tc>
          <w:tcPr>
            <w:tcW w:w="1260" w:type="dxa"/>
            <w:noWrap/>
            <w:hideMark/>
          </w:tcPr>
          <w:p w14:paraId="52BDB9F3" w14:textId="77777777" w:rsidR="00A85E40" w:rsidRPr="00673BDA" w:rsidRDefault="00A85E40" w:rsidP="000A0847">
            <w:pPr>
              <w:jc w:val="right"/>
              <w:cnfStyle w:val="000000100000" w:firstRow="0" w:lastRow="0" w:firstColumn="0" w:lastColumn="0" w:oddVBand="0" w:evenVBand="0" w:oddHBand="1" w:evenHBand="0" w:firstRowFirstColumn="0" w:firstRowLastColumn="0" w:lastRowFirstColumn="0" w:lastRowLastColumn="0"/>
              <w:rPr>
                <w:sz w:val="20"/>
                <w:szCs w:val="20"/>
              </w:rPr>
            </w:pPr>
            <w:r w:rsidRPr="00673BDA">
              <w:rPr>
                <w:sz w:val="20"/>
                <w:szCs w:val="20"/>
              </w:rPr>
              <w:t>195,140</w:t>
            </w:r>
          </w:p>
        </w:tc>
      </w:tr>
      <w:tr w:rsidR="00A85E40" w:rsidRPr="00A85E40" w14:paraId="41B72BB3" w14:textId="77777777" w:rsidTr="00DB288B">
        <w:trPr>
          <w:trHeight w:val="298"/>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DD64BD5" w14:textId="77777777" w:rsidR="00A85E40" w:rsidRPr="00673BDA" w:rsidRDefault="00A85E40" w:rsidP="000A0847">
            <w:pPr>
              <w:rPr>
                <w:sz w:val="20"/>
                <w:szCs w:val="20"/>
              </w:rPr>
            </w:pPr>
            <w:r w:rsidRPr="00673BDA">
              <w:rPr>
                <w:sz w:val="20"/>
                <w:szCs w:val="20"/>
              </w:rPr>
              <w:t>Rock County</w:t>
            </w:r>
          </w:p>
        </w:tc>
        <w:tc>
          <w:tcPr>
            <w:tcW w:w="997" w:type="dxa"/>
            <w:noWrap/>
            <w:hideMark/>
          </w:tcPr>
          <w:p w14:paraId="01281BAD" w14:textId="77777777"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WI</w:t>
            </w:r>
          </w:p>
        </w:tc>
        <w:tc>
          <w:tcPr>
            <w:tcW w:w="2553" w:type="dxa"/>
            <w:noWrap/>
            <w:hideMark/>
          </w:tcPr>
          <w:p w14:paraId="7ABA6189" w14:textId="1D0541AD" w:rsidR="00A85E40" w:rsidRPr="00673BDA" w:rsidRDefault="00A85E40" w:rsidP="000A0847">
            <w:pPr>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Janesville</w:t>
            </w:r>
          </w:p>
        </w:tc>
        <w:tc>
          <w:tcPr>
            <w:tcW w:w="1260" w:type="dxa"/>
            <w:noWrap/>
            <w:hideMark/>
          </w:tcPr>
          <w:p w14:paraId="5B3CAC9F" w14:textId="77777777" w:rsidR="00A85E40" w:rsidRPr="00673BDA" w:rsidRDefault="00A85E40" w:rsidP="000A0847">
            <w:pPr>
              <w:jc w:val="right"/>
              <w:cnfStyle w:val="000000000000" w:firstRow="0" w:lastRow="0" w:firstColumn="0" w:lastColumn="0" w:oddVBand="0" w:evenVBand="0" w:oddHBand="0" w:evenHBand="0" w:firstRowFirstColumn="0" w:firstRowLastColumn="0" w:lastRowFirstColumn="0" w:lastRowLastColumn="0"/>
              <w:rPr>
                <w:sz w:val="20"/>
                <w:szCs w:val="20"/>
              </w:rPr>
            </w:pPr>
            <w:r w:rsidRPr="00673BDA">
              <w:rPr>
                <w:sz w:val="20"/>
                <w:szCs w:val="20"/>
              </w:rPr>
              <w:t>161,620</w:t>
            </w:r>
          </w:p>
        </w:tc>
      </w:tr>
    </w:tbl>
    <w:p w14:paraId="0E297AA0" w14:textId="5908E60E" w:rsidR="00FE7701" w:rsidRPr="00E12F15" w:rsidRDefault="00E12F15" w:rsidP="000A0847">
      <w:pPr>
        <w:spacing w:after="0" w:line="240" w:lineRule="auto"/>
        <w:rPr>
          <w:i/>
          <w:sz w:val="20"/>
        </w:rPr>
      </w:pPr>
      <w:r w:rsidRPr="00E12F15">
        <w:rPr>
          <w:i/>
          <w:sz w:val="20"/>
        </w:rPr>
        <w:t xml:space="preserve">Source: </w:t>
      </w:r>
      <w:r w:rsidR="00E2187B">
        <w:rPr>
          <w:i/>
          <w:sz w:val="20"/>
        </w:rPr>
        <w:t>Brookings analysis of Moody’s Analytics</w:t>
      </w:r>
      <w:r w:rsidR="008317CB">
        <w:rPr>
          <w:i/>
          <w:sz w:val="20"/>
        </w:rPr>
        <w:t xml:space="preserve"> and U.S. Census Bureau data</w:t>
      </w:r>
    </w:p>
    <w:p w14:paraId="7EDEADE7" w14:textId="77777777" w:rsidR="00E12F15" w:rsidRDefault="00E12F15" w:rsidP="000A0847">
      <w:pPr>
        <w:spacing w:after="0" w:line="240" w:lineRule="auto"/>
      </w:pPr>
    </w:p>
    <w:p w14:paraId="685200CC" w14:textId="592AA244" w:rsidR="00FE7701" w:rsidRPr="00161FC9" w:rsidRDefault="00FE7701" w:rsidP="000A0847">
      <w:pPr>
        <w:pStyle w:val="ListParagraph"/>
        <w:numPr>
          <w:ilvl w:val="0"/>
          <w:numId w:val="8"/>
        </w:numPr>
        <w:spacing w:after="0" w:line="240" w:lineRule="auto"/>
        <w:rPr>
          <w:b/>
          <w:sz w:val="24"/>
        </w:rPr>
      </w:pPr>
      <w:r w:rsidRPr="00161FC9">
        <w:rPr>
          <w:b/>
          <w:sz w:val="24"/>
        </w:rPr>
        <w:t xml:space="preserve">Older industrial </w:t>
      </w:r>
      <w:r w:rsidR="008F3712" w:rsidRPr="00161FC9">
        <w:rPr>
          <w:b/>
          <w:sz w:val="24"/>
        </w:rPr>
        <w:t xml:space="preserve">communities </w:t>
      </w:r>
      <w:r w:rsidRPr="00161FC9">
        <w:rPr>
          <w:b/>
          <w:sz w:val="24"/>
        </w:rPr>
        <w:t xml:space="preserve">exhibit </w:t>
      </w:r>
      <w:r w:rsidR="007A1B81">
        <w:rPr>
          <w:b/>
          <w:sz w:val="24"/>
        </w:rPr>
        <w:t xml:space="preserve">a series of </w:t>
      </w:r>
      <w:r w:rsidRPr="00161FC9">
        <w:rPr>
          <w:b/>
          <w:sz w:val="24"/>
        </w:rPr>
        <w:t xml:space="preserve">important </w:t>
      </w:r>
      <w:r w:rsidR="005846E7">
        <w:rPr>
          <w:b/>
          <w:sz w:val="24"/>
        </w:rPr>
        <w:t xml:space="preserve">group </w:t>
      </w:r>
      <w:r w:rsidRPr="00161FC9">
        <w:rPr>
          <w:b/>
          <w:sz w:val="24"/>
        </w:rPr>
        <w:t xml:space="preserve">attributes </w:t>
      </w:r>
    </w:p>
    <w:p w14:paraId="2CF5868D" w14:textId="77777777" w:rsidR="00FE7701" w:rsidRPr="00487197" w:rsidRDefault="00FE7701" w:rsidP="000A0847">
      <w:pPr>
        <w:spacing w:after="0" w:line="240" w:lineRule="auto"/>
        <w:rPr>
          <w:i/>
        </w:rPr>
      </w:pPr>
      <w:r>
        <w:rPr>
          <w:i/>
        </w:rPr>
        <w:t xml:space="preserve"> </w:t>
      </w:r>
    </w:p>
    <w:p w14:paraId="62378D09" w14:textId="7374CC2B" w:rsidR="00FE7701" w:rsidRDefault="00444210" w:rsidP="000A0847">
      <w:pPr>
        <w:spacing w:after="0" w:line="240" w:lineRule="auto"/>
      </w:pPr>
      <w:r>
        <w:t>Four</w:t>
      </w:r>
      <w:r w:rsidR="007A1B81">
        <w:t xml:space="preserve"> </w:t>
      </w:r>
      <w:r w:rsidR="00FE7701">
        <w:t xml:space="preserve">aspects of </w:t>
      </w:r>
      <w:r w:rsidR="008F3712">
        <w:t>OICs</w:t>
      </w:r>
      <w:r w:rsidR="00E2187B">
        <w:t xml:space="preserve"> </w:t>
      </w:r>
      <w:r w:rsidR="00FE7701">
        <w:t xml:space="preserve">as a group deserve note: their size, location, </w:t>
      </w:r>
      <w:r w:rsidR="007A1B81">
        <w:t>demographics</w:t>
      </w:r>
      <w:r w:rsidR="00161FC9">
        <w:t>, and political</w:t>
      </w:r>
      <w:r w:rsidR="00FE7701">
        <w:t xml:space="preserve"> profile.</w:t>
      </w:r>
    </w:p>
    <w:p w14:paraId="082A8CDB" w14:textId="77777777" w:rsidR="00FE7701" w:rsidRDefault="00FE7701" w:rsidP="000A0847">
      <w:pPr>
        <w:spacing w:after="0" w:line="240" w:lineRule="auto"/>
      </w:pPr>
    </w:p>
    <w:p w14:paraId="636A6754" w14:textId="715AC68D" w:rsidR="00FE7701" w:rsidRDefault="008F3712" w:rsidP="000A0847">
      <w:pPr>
        <w:pStyle w:val="ListParagraph"/>
        <w:numPr>
          <w:ilvl w:val="0"/>
          <w:numId w:val="24"/>
        </w:numPr>
        <w:spacing w:after="0" w:line="240" w:lineRule="auto"/>
      </w:pPr>
      <w:r w:rsidRPr="00161FC9">
        <w:rPr>
          <w:b/>
        </w:rPr>
        <w:t xml:space="preserve">OICs </w:t>
      </w:r>
      <w:r w:rsidR="00FE7701" w:rsidRPr="00161FC9">
        <w:rPr>
          <w:b/>
        </w:rPr>
        <w:t>represent one-eighth of the U.S. population and economy</w:t>
      </w:r>
      <w:r w:rsidR="00FE7701" w:rsidRPr="00216D62">
        <w:rPr>
          <w:i/>
        </w:rPr>
        <w:t>.</w:t>
      </w:r>
      <w:r w:rsidR="00FE7701">
        <w:t xml:space="preserve"> Altogether, the 70 </w:t>
      </w:r>
      <w:r>
        <w:t xml:space="preserve">OICs </w:t>
      </w:r>
      <w:r w:rsidR="00FE7701">
        <w:t xml:space="preserve">occupy just 1 percent of U.S. land mass (34,000 square miles), but contain 38 million residents, or 11.7 percent of U.S. population. </w:t>
      </w:r>
      <w:r w:rsidR="00E2187B">
        <w:t xml:space="preserve">Among the 70 are </w:t>
      </w:r>
      <w:r w:rsidR="00FE7701">
        <w:t>16 cities that rank among the 100 largest in the country, from Philadelphia (1.6 million) to Buffalo (257,000).</w:t>
      </w:r>
      <w:r w:rsidR="00794974">
        <w:rPr>
          <w:rStyle w:val="EndnoteReference"/>
        </w:rPr>
        <w:endnoteReference w:id="57"/>
      </w:r>
      <w:r w:rsidR="00FE7701">
        <w:t xml:space="preserve"> They en</w:t>
      </w:r>
      <w:r w:rsidR="00444210">
        <w:t>compass a slightly larger share</w:t>
      </w:r>
      <w:r w:rsidR="00FE7701">
        <w:t xml:space="preserve"> of U.S. jobs (12.2 percent) and GDP (12.0 percent) than population, indicating their role as centers of commerce within both national and regional economies.</w:t>
      </w:r>
    </w:p>
    <w:p w14:paraId="7044AA3D" w14:textId="31C06FDC" w:rsidR="00DC1651" w:rsidRDefault="00DC1651" w:rsidP="000A0847">
      <w:pPr>
        <w:spacing w:after="0" w:line="240" w:lineRule="auto"/>
      </w:pPr>
    </w:p>
    <w:p w14:paraId="3E90079D" w14:textId="473D19E4" w:rsidR="00DC1651" w:rsidRDefault="008317CB" w:rsidP="000A0847">
      <w:pPr>
        <w:spacing w:after="0" w:line="240" w:lineRule="auto"/>
      </w:pPr>
      <w:r>
        <w:t>[Figure 3.5</w:t>
      </w:r>
      <w:r w:rsidR="00DC1651">
        <w:t>—OICs are significant demographically and economically]</w:t>
      </w:r>
    </w:p>
    <w:p w14:paraId="040ADD15" w14:textId="77777777" w:rsidR="00FE7701" w:rsidRDefault="00FE7701" w:rsidP="000A0847">
      <w:pPr>
        <w:spacing w:after="0" w:line="240" w:lineRule="auto"/>
        <w:ind w:left="720"/>
      </w:pPr>
    </w:p>
    <w:p w14:paraId="04C65A7B" w14:textId="3E627F24" w:rsidR="00FE7701" w:rsidRDefault="008F3712" w:rsidP="000A0847">
      <w:pPr>
        <w:pStyle w:val="ListParagraph"/>
        <w:numPr>
          <w:ilvl w:val="0"/>
          <w:numId w:val="24"/>
        </w:numPr>
        <w:spacing w:after="0" w:line="240" w:lineRule="auto"/>
      </w:pPr>
      <w:r w:rsidRPr="00161FC9">
        <w:rPr>
          <w:b/>
        </w:rPr>
        <w:t xml:space="preserve">OICs </w:t>
      </w:r>
      <w:r w:rsidR="00FE7701" w:rsidRPr="00161FC9">
        <w:rPr>
          <w:b/>
        </w:rPr>
        <w:t>are concentrated in the Midwest and Northeast</w:t>
      </w:r>
      <w:r w:rsidR="00FE7701" w:rsidRPr="00216D62">
        <w:rPr>
          <w:i/>
        </w:rPr>
        <w:t xml:space="preserve">. </w:t>
      </w:r>
      <w:r w:rsidR="00FE7701">
        <w:t xml:space="preserve">As the map of older industrial </w:t>
      </w:r>
      <w:r>
        <w:t xml:space="preserve">cities </w:t>
      </w:r>
      <w:r w:rsidR="00FE7701">
        <w:t>clearly indicates, the vast majority—62 of the 70—are located in Midwestern and Northeastern states. (Two of the remaining eight—Baltimore and Louisville—are in states that abut those regions of the country.) Together they comprise the nation’s historical (and much of its contemporary) industrial belt, forged along major waterways and railways and proximate to the key inputs—agriculture, coal, iron ore, timber—that fueled their rise through the late 19</w:t>
      </w:r>
      <w:r w:rsidR="00FE7701" w:rsidRPr="00216D62">
        <w:rPr>
          <w:vertAlign w:val="superscript"/>
        </w:rPr>
        <w:t>th</w:t>
      </w:r>
      <w:r w:rsidR="00FE7701">
        <w:t xml:space="preserve"> and early 20</w:t>
      </w:r>
      <w:r w:rsidR="00FE7701" w:rsidRPr="00216D62">
        <w:rPr>
          <w:vertAlign w:val="superscript"/>
        </w:rPr>
        <w:t>th</w:t>
      </w:r>
      <w:r w:rsidR="00FE7701">
        <w:t xml:space="preserve"> centuries. As the 20</w:t>
      </w:r>
      <w:r w:rsidR="00FE7701" w:rsidRPr="00216D62">
        <w:rPr>
          <w:vertAlign w:val="superscript"/>
        </w:rPr>
        <w:t>th</w:t>
      </w:r>
      <w:r w:rsidR="00FE7701">
        <w:t xml:space="preserve"> century progressed, much of this industrial activity migrated southward, creating a new map of American manufacturing that includes many cities and regions in the Southeast. Many of those places are struggling today with deindustrialization dynamics that have affected their northern counterparts for several decades, as production further mechanizes and moves offshore. A few counties in Virginia, Alabama, and Georgia already qualify as older industrial places, but many more could in the coming years if current trends persist (see </w:t>
      </w:r>
      <w:r w:rsidR="00216D62">
        <w:t>“Future [Not] older industrial cities?”</w:t>
      </w:r>
      <w:r w:rsidR="00FE7701">
        <w:t xml:space="preserve"> in next chapter).</w:t>
      </w:r>
    </w:p>
    <w:p w14:paraId="63B46A4F" w14:textId="79F7B491" w:rsidR="00E971BB" w:rsidRDefault="00E971BB" w:rsidP="000A0847">
      <w:pPr>
        <w:pStyle w:val="ListParagraph"/>
        <w:spacing w:after="0" w:line="240" w:lineRule="auto"/>
        <w:ind w:left="360"/>
        <w:rPr>
          <w:i/>
        </w:rPr>
      </w:pPr>
    </w:p>
    <w:p w14:paraId="2ED724F3" w14:textId="11F1393A" w:rsidR="00E971BB" w:rsidRDefault="00E971BB" w:rsidP="000A0847">
      <w:pPr>
        <w:pStyle w:val="ListParagraph"/>
        <w:spacing w:after="0" w:line="240" w:lineRule="auto"/>
        <w:ind w:left="360"/>
      </w:pPr>
      <w:r>
        <w:t xml:space="preserve">One consequence of OICs’ regional clustering is that they hold considerable economic sway in a number of </w:t>
      </w:r>
      <w:r w:rsidR="000651D1">
        <w:t xml:space="preserve">important </w:t>
      </w:r>
      <w:r>
        <w:t>states</w:t>
      </w:r>
      <w:r w:rsidR="002F1357">
        <w:t xml:space="preserve">. In Indiana and Ohio, which have nine OICs each, those counties represent 40 percent of statewide population, and generate nearly half of their states’ GDP. OIC shares of statewide GDP exceed one-third in Massachusetts and Pennsylvania, reach 31 percent in New Jersey, and </w:t>
      </w:r>
      <w:r w:rsidR="000651D1">
        <w:t xml:space="preserve">equal </w:t>
      </w:r>
      <w:r w:rsidR="002F1357">
        <w:t>one-quarter in Michigan and New York.</w:t>
      </w:r>
      <w:r w:rsidR="007A1B81">
        <w:rPr>
          <w:rStyle w:val="EndnoteReference"/>
        </w:rPr>
        <w:endnoteReference w:id="58"/>
      </w:r>
    </w:p>
    <w:p w14:paraId="523155B3" w14:textId="1D9E2529" w:rsidR="000651D1" w:rsidRDefault="000651D1" w:rsidP="000A0847">
      <w:pPr>
        <w:spacing w:after="0" w:line="240" w:lineRule="auto"/>
      </w:pPr>
    </w:p>
    <w:p w14:paraId="57045429" w14:textId="0BD39291" w:rsidR="000651D1" w:rsidRDefault="008317CB" w:rsidP="000A0847">
      <w:pPr>
        <w:spacing w:after="0" w:line="240" w:lineRule="auto"/>
      </w:pPr>
      <w:r>
        <w:rPr>
          <w:b/>
        </w:rPr>
        <w:t>Figure 3.6</w:t>
      </w:r>
      <w:r w:rsidR="000651D1">
        <w:rPr>
          <w:b/>
        </w:rPr>
        <w:t>—OICs account for significant shares of population and economic activity in several states</w:t>
      </w:r>
    </w:p>
    <w:p w14:paraId="17C6E1A5" w14:textId="0505206B" w:rsidR="000651D1" w:rsidRDefault="000651D1" w:rsidP="000A0847">
      <w:pPr>
        <w:spacing w:after="0" w:line="240" w:lineRule="auto"/>
      </w:pPr>
      <w:r>
        <w:t>OIC share of statewide totals for states with OICs, 2016</w:t>
      </w:r>
    </w:p>
    <w:tbl>
      <w:tblPr>
        <w:tblStyle w:val="GridTable4-Accent1"/>
        <w:tblW w:w="0" w:type="auto"/>
        <w:tblLook w:val="04A0" w:firstRow="1" w:lastRow="0" w:firstColumn="1" w:lastColumn="0" w:noHBand="0" w:noVBand="1"/>
      </w:tblPr>
      <w:tblGrid>
        <w:gridCol w:w="2425"/>
        <w:gridCol w:w="1350"/>
        <w:gridCol w:w="1620"/>
        <w:gridCol w:w="1350"/>
        <w:gridCol w:w="1324"/>
      </w:tblGrid>
      <w:tr w:rsidR="00E530B8" w:rsidRPr="0009491F" w14:paraId="6DACC7E4" w14:textId="77777777" w:rsidTr="0009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EAF01F" w14:textId="77777777" w:rsidR="00E530B8" w:rsidRPr="0009491F" w:rsidRDefault="00E530B8" w:rsidP="000A0847">
            <w:r w:rsidRPr="0009491F">
              <w:t>State</w:t>
            </w:r>
          </w:p>
        </w:tc>
        <w:tc>
          <w:tcPr>
            <w:tcW w:w="1350" w:type="dxa"/>
          </w:tcPr>
          <w:p w14:paraId="360A9686" w14:textId="77777777" w:rsidR="00E530B8" w:rsidRPr="0009491F" w:rsidRDefault="00E530B8" w:rsidP="000A0847">
            <w:pPr>
              <w:jc w:val="right"/>
              <w:cnfStyle w:val="100000000000" w:firstRow="1" w:lastRow="0" w:firstColumn="0" w:lastColumn="0" w:oddVBand="0" w:evenVBand="0" w:oddHBand="0" w:evenHBand="0" w:firstRowFirstColumn="0" w:firstRowLastColumn="0" w:lastRowFirstColumn="0" w:lastRowLastColumn="0"/>
            </w:pPr>
            <w:r w:rsidRPr="0009491F">
              <w:t>OICs (#)</w:t>
            </w:r>
          </w:p>
        </w:tc>
        <w:tc>
          <w:tcPr>
            <w:tcW w:w="1620" w:type="dxa"/>
          </w:tcPr>
          <w:p w14:paraId="4F3D7489" w14:textId="77777777" w:rsidR="00E530B8" w:rsidRPr="0009491F" w:rsidRDefault="00E530B8" w:rsidP="000A0847">
            <w:pPr>
              <w:jc w:val="right"/>
              <w:cnfStyle w:val="100000000000" w:firstRow="1" w:lastRow="0" w:firstColumn="0" w:lastColumn="0" w:oddVBand="0" w:evenVBand="0" w:oddHBand="0" w:evenHBand="0" w:firstRowFirstColumn="0" w:firstRowLastColumn="0" w:lastRowFirstColumn="0" w:lastRowLastColumn="0"/>
            </w:pPr>
            <w:r w:rsidRPr="0009491F">
              <w:t>Population (%)</w:t>
            </w:r>
          </w:p>
        </w:tc>
        <w:tc>
          <w:tcPr>
            <w:tcW w:w="1350" w:type="dxa"/>
          </w:tcPr>
          <w:p w14:paraId="03AC8E28" w14:textId="77777777" w:rsidR="00E530B8" w:rsidRPr="0009491F" w:rsidRDefault="00E530B8" w:rsidP="000A0847">
            <w:pPr>
              <w:jc w:val="right"/>
              <w:cnfStyle w:val="100000000000" w:firstRow="1" w:lastRow="0" w:firstColumn="0" w:lastColumn="0" w:oddVBand="0" w:evenVBand="0" w:oddHBand="0" w:evenHBand="0" w:firstRowFirstColumn="0" w:firstRowLastColumn="0" w:lastRowFirstColumn="0" w:lastRowLastColumn="0"/>
            </w:pPr>
            <w:r w:rsidRPr="0009491F">
              <w:t>Jobs (%)</w:t>
            </w:r>
          </w:p>
        </w:tc>
        <w:tc>
          <w:tcPr>
            <w:tcW w:w="1324" w:type="dxa"/>
          </w:tcPr>
          <w:p w14:paraId="0DD6349B" w14:textId="77777777" w:rsidR="00E530B8" w:rsidRPr="0009491F" w:rsidRDefault="00E530B8" w:rsidP="000A0847">
            <w:pPr>
              <w:jc w:val="right"/>
              <w:cnfStyle w:val="100000000000" w:firstRow="1" w:lastRow="0" w:firstColumn="0" w:lastColumn="0" w:oddVBand="0" w:evenVBand="0" w:oddHBand="0" w:evenHBand="0" w:firstRowFirstColumn="0" w:firstRowLastColumn="0" w:lastRowFirstColumn="0" w:lastRowLastColumn="0"/>
            </w:pPr>
            <w:r w:rsidRPr="0009491F">
              <w:t>GDP (%)</w:t>
            </w:r>
          </w:p>
        </w:tc>
      </w:tr>
      <w:tr w:rsidR="00E530B8" w14:paraId="0C226F3A"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7D6EC4" w14:textId="77777777" w:rsidR="00E530B8" w:rsidRPr="0009491F" w:rsidRDefault="00E530B8" w:rsidP="000A0847">
            <w:pPr>
              <w:rPr>
                <w:b w:val="0"/>
              </w:rPr>
            </w:pPr>
            <w:r w:rsidRPr="0009491F">
              <w:rPr>
                <w:b w:val="0"/>
              </w:rPr>
              <w:t>Connecticut</w:t>
            </w:r>
          </w:p>
        </w:tc>
        <w:tc>
          <w:tcPr>
            <w:tcW w:w="1350" w:type="dxa"/>
          </w:tcPr>
          <w:p w14:paraId="1F0F0F46"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w:t>
            </w:r>
          </w:p>
        </w:tc>
        <w:tc>
          <w:tcPr>
            <w:tcW w:w="1620" w:type="dxa"/>
          </w:tcPr>
          <w:p w14:paraId="1FC9C181"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75</w:t>
            </w:r>
          </w:p>
        </w:tc>
        <w:tc>
          <w:tcPr>
            <w:tcW w:w="1350" w:type="dxa"/>
          </w:tcPr>
          <w:p w14:paraId="1A1139DF"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80</w:t>
            </w:r>
          </w:p>
        </w:tc>
        <w:tc>
          <w:tcPr>
            <w:tcW w:w="1324" w:type="dxa"/>
          </w:tcPr>
          <w:p w14:paraId="21E5E8D8"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83</w:t>
            </w:r>
          </w:p>
        </w:tc>
      </w:tr>
      <w:tr w:rsidR="00E530B8" w14:paraId="62019CBE"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2011C5DC" w14:textId="77777777" w:rsidR="00E530B8" w:rsidRPr="0009491F" w:rsidRDefault="00E530B8" w:rsidP="000A0847">
            <w:pPr>
              <w:rPr>
                <w:b w:val="0"/>
              </w:rPr>
            </w:pPr>
            <w:r w:rsidRPr="0009491F">
              <w:rPr>
                <w:b w:val="0"/>
              </w:rPr>
              <w:t>Rhode Island</w:t>
            </w:r>
          </w:p>
        </w:tc>
        <w:tc>
          <w:tcPr>
            <w:tcW w:w="1350" w:type="dxa"/>
          </w:tcPr>
          <w:p w14:paraId="64E04ED4"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0C3D06EA"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60</w:t>
            </w:r>
          </w:p>
        </w:tc>
        <w:tc>
          <w:tcPr>
            <w:tcW w:w="1350" w:type="dxa"/>
          </w:tcPr>
          <w:p w14:paraId="1C3F0811"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61</w:t>
            </w:r>
          </w:p>
        </w:tc>
        <w:tc>
          <w:tcPr>
            <w:tcW w:w="1324" w:type="dxa"/>
          </w:tcPr>
          <w:p w14:paraId="39252B79"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61</w:t>
            </w:r>
          </w:p>
        </w:tc>
      </w:tr>
      <w:tr w:rsidR="00E530B8" w14:paraId="0B2A7A22"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2E7126A" w14:textId="77777777" w:rsidR="00E530B8" w:rsidRPr="0009491F" w:rsidRDefault="00E530B8" w:rsidP="000A0847">
            <w:pPr>
              <w:rPr>
                <w:b w:val="0"/>
              </w:rPr>
            </w:pPr>
            <w:r w:rsidRPr="0009491F">
              <w:rPr>
                <w:b w:val="0"/>
              </w:rPr>
              <w:t>Indiana</w:t>
            </w:r>
          </w:p>
        </w:tc>
        <w:tc>
          <w:tcPr>
            <w:tcW w:w="1350" w:type="dxa"/>
          </w:tcPr>
          <w:p w14:paraId="25BA743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9</w:t>
            </w:r>
          </w:p>
        </w:tc>
        <w:tc>
          <w:tcPr>
            <w:tcW w:w="1620" w:type="dxa"/>
          </w:tcPr>
          <w:p w14:paraId="7D08C6EE"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40</w:t>
            </w:r>
          </w:p>
        </w:tc>
        <w:tc>
          <w:tcPr>
            <w:tcW w:w="1350" w:type="dxa"/>
          </w:tcPr>
          <w:p w14:paraId="54C482B5"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47</w:t>
            </w:r>
          </w:p>
        </w:tc>
        <w:tc>
          <w:tcPr>
            <w:tcW w:w="1324" w:type="dxa"/>
          </w:tcPr>
          <w:p w14:paraId="11D7497A"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48</w:t>
            </w:r>
          </w:p>
        </w:tc>
      </w:tr>
      <w:tr w:rsidR="00E530B8" w14:paraId="7B648E6B"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779C0F4A" w14:textId="77777777" w:rsidR="00E530B8" w:rsidRPr="0009491F" w:rsidRDefault="00E530B8" w:rsidP="000A0847">
            <w:pPr>
              <w:rPr>
                <w:b w:val="0"/>
              </w:rPr>
            </w:pPr>
            <w:r w:rsidRPr="0009491F">
              <w:rPr>
                <w:b w:val="0"/>
              </w:rPr>
              <w:t>Ohio</w:t>
            </w:r>
          </w:p>
        </w:tc>
        <w:tc>
          <w:tcPr>
            <w:tcW w:w="1350" w:type="dxa"/>
          </w:tcPr>
          <w:p w14:paraId="390378C7"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9</w:t>
            </w:r>
          </w:p>
        </w:tc>
        <w:tc>
          <w:tcPr>
            <w:tcW w:w="1620" w:type="dxa"/>
          </w:tcPr>
          <w:p w14:paraId="553D3D8A"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40</w:t>
            </w:r>
          </w:p>
        </w:tc>
        <w:tc>
          <w:tcPr>
            <w:tcW w:w="1350" w:type="dxa"/>
          </w:tcPr>
          <w:p w14:paraId="296EA968"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45</w:t>
            </w:r>
          </w:p>
        </w:tc>
        <w:tc>
          <w:tcPr>
            <w:tcW w:w="1324" w:type="dxa"/>
          </w:tcPr>
          <w:p w14:paraId="1565BF32"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46</w:t>
            </w:r>
          </w:p>
        </w:tc>
      </w:tr>
      <w:tr w:rsidR="00E530B8" w14:paraId="798836AD"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B893FC" w14:textId="77777777" w:rsidR="00E530B8" w:rsidRPr="0009491F" w:rsidRDefault="00E530B8" w:rsidP="000A0847">
            <w:pPr>
              <w:rPr>
                <w:b w:val="0"/>
              </w:rPr>
            </w:pPr>
            <w:r w:rsidRPr="0009491F">
              <w:rPr>
                <w:b w:val="0"/>
              </w:rPr>
              <w:t>Massachusetts</w:t>
            </w:r>
          </w:p>
        </w:tc>
        <w:tc>
          <w:tcPr>
            <w:tcW w:w="1350" w:type="dxa"/>
          </w:tcPr>
          <w:p w14:paraId="531200CA"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5</w:t>
            </w:r>
          </w:p>
        </w:tc>
        <w:tc>
          <w:tcPr>
            <w:tcW w:w="1620" w:type="dxa"/>
          </w:tcPr>
          <w:p w14:paraId="74B521D7"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49</w:t>
            </w:r>
          </w:p>
        </w:tc>
        <w:tc>
          <w:tcPr>
            <w:tcW w:w="1350" w:type="dxa"/>
          </w:tcPr>
          <w:p w14:paraId="63E03ADA"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42</w:t>
            </w:r>
          </w:p>
        </w:tc>
        <w:tc>
          <w:tcPr>
            <w:tcW w:w="1324" w:type="dxa"/>
          </w:tcPr>
          <w:p w14:paraId="2C3E9FE1"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39</w:t>
            </w:r>
          </w:p>
        </w:tc>
      </w:tr>
      <w:tr w:rsidR="00E530B8" w14:paraId="645534A4"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79A69709" w14:textId="77777777" w:rsidR="00E530B8" w:rsidRPr="0009491F" w:rsidRDefault="00E530B8" w:rsidP="000A0847">
            <w:pPr>
              <w:rPr>
                <w:b w:val="0"/>
              </w:rPr>
            </w:pPr>
            <w:r w:rsidRPr="0009491F">
              <w:rPr>
                <w:b w:val="0"/>
              </w:rPr>
              <w:t>Pennsylvania</w:t>
            </w:r>
          </w:p>
        </w:tc>
        <w:tc>
          <w:tcPr>
            <w:tcW w:w="1350" w:type="dxa"/>
          </w:tcPr>
          <w:p w14:paraId="06FD2EC8"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7</w:t>
            </w:r>
          </w:p>
        </w:tc>
        <w:tc>
          <w:tcPr>
            <w:tcW w:w="1620" w:type="dxa"/>
          </w:tcPr>
          <w:p w14:paraId="39F86189"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34</w:t>
            </w:r>
          </w:p>
        </w:tc>
        <w:tc>
          <w:tcPr>
            <w:tcW w:w="1350" w:type="dxa"/>
          </w:tcPr>
          <w:p w14:paraId="08C28510"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36</w:t>
            </w:r>
          </w:p>
        </w:tc>
        <w:tc>
          <w:tcPr>
            <w:tcW w:w="1324" w:type="dxa"/>
          </w:tcPr>
          <w:p w14:paraId="29776472"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36</w:t>
            </w:r>
          </w:p>
        </w:tc>
      </w:tr>
      <w:tr w:rsidR="00E530B8" w14:paraId="3E3483EC"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D15F81" w14:textId="77777777" w:rsidR="00E530B8" w:rsidRPr="0009491F" w:rsidRDefault="00E530B8" w:rsidP="000A0847">
            <w:pPr>
              <w:rPr>
                <w:b w:val="0"/>
              </w:rPr>
            </w:pPr>
            <w:r w:rsidRPr="0009491F">
              <w:rPr>
                <w:b w:val="0"/>
              </w:rPr>
              <w:t>New Jersey</w:t>
            </w:r>
          </w:p>
        </w:tc>
        <w:tc>
          <w:tcPr>
            <w:tcW w:w="1350" w:type="dxa"/>
          </w:tcPr>
          <w:p w14:paraId="0249AF3C"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6</w:t>
            </w:r>
          </w:p>
        </w:tc>
        <w:tc>
          <w:tcPr>
            <w:tcW w:w="1620" w:type="dxa"/>
          </w:tcPr>
          <w:p w14:paraId="5FD43C5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32</w:t>
            </w:r>
          </w:p>
        </w:tc>
        <w:tc>
          <w:tcPr>
            <w:tcW w:w="1350" w:type="dxa"/>
          </w:tcPr>
          <w:p w14:paraId="6C1B50CF"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32</w:t>
            </w:r>
          </w:p>
        </w:tc>
        <w:tc>
          <w:tcPr>
            <w:tcW w:w="1324" w:type="dxa"/>
          </w:tcPr>
          <w:p w14:paraId="6EF8146D"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31</w:t>
            </w:r>
          </w:p>
        </w:tc>
      </w:tr>
      <w:tr w:rsidR="00E530B8" w14:paraId="1907BD5E"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7FB5C4FB" w14:textId="77777777" w:rsidR="00E530B8" w:rsidRPr="0009491F" w:rsidRDefault="00E530B8" w:rsidP="000A0847">
            <w:pPr>
              <w:rPr>
                <w:b w:val="0"/>
              </w:rPr>
            </w:pPr>
            <w:r w:rsidRPr="0009491F">
              <w:rPr>
                <w:b w:val="0"/>
              </w:rPr>
              <w:t>Kentucky</w:t>
            </w:r>
          </w:p>
        </w:tc>
        <w:tc>
          <w:tcPr>
            <w:tcW w:w="1350" w:type="dxa"/>
          </w:tcPr>
          <w:p w14:paraId="7B52BFA0"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308E5370"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17</w:t>
            </w:r>
          </w:p>
        </w:tc>
        <w:tc>
          <w:tcPr>
            <w:tcW w:w="1350" w:type="dxa"/>
          </w:tcPr>
          <w:p w14:paraId="5F23C255"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25</w:t>
            </w:r>
          </w:p>
        </w:tc>
        <w:tc>
          <w:tcPr>
            <w:tcW w:w="1324" w:type="dxa"/>
          </w:tcPr>
          <w:p w14:paraId="79E31E20"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26</w:t>
            </w:r>
          </w:p>
        </w:tc>
      </w:tr>
      <w:tr w:rsidR="00E530B8" w14:paraId="041580A5"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8F88FD8" w14:textId="77777777" w:rsidR="00E530B8" w:rsidRPr="0009491F" w:rsidRDefault="00E530B8" w:rsidP="000A0847">
            <w:pPr>
              <w:rPr>
                <w:b w:val="0"/>
              </w:rPr>
            </w:pPr>
            <w:r w:rsidRPr="0009491F">
              <w:rPr>
                <w:b w:val="0"/>
              </w:rPr>
              <w:t>New York</w:t>
            </w:r>
          </w:p>
        </w:tc>
        <w:tc>
          <w:tcPr>
            <w:tcW w:w="1350" w:type="dxa"/>
          </w:tcPr>
          <w:p w14:paraId="52B3435C"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7</w:t>
            </w:r>
          </w:p>
        </w:tc>
        <w:tc>
          <w:tcPr>
            <w:tcW w:w="1620" w:type="dxa"/>
          </w:tcPr>
          <w:p w14:paraId="422BFDDC"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38</w:t>
            </w:r>
          </w:p>
        </w:tc>
        <w:tc>
          <w:tcPr>
            <w:tcW w:w="1350" w:type="dxa"/>
          </w:tcPr>
          <w:p w14:paraId="2CB6A7CE"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29</w:t>
            </w:r>
          </w:p>
        </w:tc>
        <w:tc>
          <w:tcPr>
            <w:tcW w:w="1324" w:type="dxa"/>
          </w:tcPr>
          <w:p w14:paraId="76505D3A"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26</w:t>
            </w:r>
          </w:p>
        </w:tc>
      </w:tr>
      <w:tr w:rsidR="00E530B8" w14:paraId="3186A636"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47F4F61C" w14:textId="77777777" w:rsidR="00E530B8" w:rsidRPr="0009491F" w:rsidRDefault="00E530B8" w:rsidP="000A0847">
            <w:pPr>
              <w:rPr>
                <w:b w:val="0"/>
              </w:rPr>
            </w:pPr>
            <w:r w:rsidRPr="0009491F">
              <w:rPr>
                <w:b w:val="0"/>
              </w:rPr>
              <w:t>Michigan</w:t>
            </w:r>
          </w:p>
        </w:tc>
        <w:tc>
          <w:tcPr>
            <w:tcW w:w="1350" w:type="dxa"/>
          </w:tcPr>
          <w:p w14:paraId="1B92648B"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4</w:t>
            </w:r>
          </w:p>
        </w:tc>
        <w:tc>
          <w:tcPr>
            <w:tcW w:w="1620" w:type="dxa"/>
          </w:tcPr>
          <w:p w14:paraId="5A27F034"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26</w:t>
            </w:r>
          </w:p>
        </w:tc>
        <w:tc>
          <w:tcPr>
            <w:tcW w:w="1350" w:type="dxa"/>
          </w:tcPr>
          <w:p w14:paraId="4936CE36"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25</w:t>
            </w:r>
          </w:p>
        </w:tc>
        <w:tc>
          <w:tcPr>
            <w:tcW w:w="1324" w:type="dxa"/>
          </w:tcPr>
          <w:p w14:paraId="5691C6DB"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25</w:t>
            </w:r>
          </w:p>
        </w:tc>
      </w:tr>
      <w:tr w:rsidR="00E530B8" w14:paraId="0F753D9F"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A3399D" w14:textId="77777777" w:rsidR="00E530B8" w:rsidRPr="0009491F" w:rsidRDefault="00E530B8" w:rsidP="000A0847">
            <w:pPr>
              <w:rPr>
                <w:b w:val="0"/>
              </w:rPr>
            </w:pPr>
            <w:r w:rsidRPr="0009491F">
              <w:rPr>
                <w:b w:val="0"/>
              </w:rPr>
              <w:t>Wisconsin</w:t>
            </w:r>
          </w:p>
        </w:tc>
        <w:tc>
          <w:tcPr>
            <w:tcW w:w="1350" w:type="dxa"/>
          </w:tcPr>
          <w:p w14:paraId="31E6074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w:t>
            </w:r>
          </w:p>
        </w:tc>
        <w:tc>
          <w:tcPr>
            <w:tcW w:w="1620" w:type="dxa"/>
          </w:tcPr>
          <w:p w14:paraId="60B17D4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23</w:t>
            </w:r>
          </w:p>
        </w:tc>
        <w:tc>
          <w:tcPr>
            <w:tcW w:w="1350" w:type="dxa"/>
          </w:tcPr>
          <w:p w14:paraId="141F7113"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22</w:t>
            </w:r>
          </w:p>
        </w:tc>
        <w:tc>
          <w:tcPr>
            <w:tcW w:w="1324" w:type="dxa"/>
          </w:tcPr>
          <w:p w14:paraId="15419170"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22</w:t>
            </w:r>
          </w:p>
        </w:tc>
      </w:tr>
      <w:tr w:rsidR="00E530B8" w14:paraId="7BA91783"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1FC9BEA0" w14:textId="77777777" w:rsidR="00E530B8" w:rsidRPr="0009491F" w:rsidRDefault="00E530B8" w:rsidP="000A0847">
            <w:pPr>
              <w:rPr>
                <w:b w:val="0"/>
              </w:rPr>
            </w:pPr>
            <w:r w:rsidRPr="0009491F">
              <w:rPr>
                <w:b w:val="0"/>
              </w:rPr>
              <w:t>Alabama</w:t>
            </w:r>
          </w:p>
        </w:tc>
        <w:tc>
          <w:tcPr>
            <w:tcW w:w="1350" w:type="dxa"/>
          </w:tcPr>
          <w:p w14:paraId="19A2CD01"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159F60C7"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14</w:t>
            </w:r>
          </w:p>
        </w:tc>
        <w:tc>
          <w:tcPr>
            <w:tcW w:w="1350" w:type="dxa"/>
          </w:tcPr>
          <w:p w14:paraId="1E507BBA"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19</w:t>
            </w:r>
          </w:p>
        </w:tc>
        <w:tc>
          <w:tcPr>
            <w:tcW w:w="1324" w:type="dxa"/>
          </w:tcPr>
          <w:p w14:paraId="10A74259"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20</w:t>
            </w:r>
          </w:p>
        </w:tc>
      </w:tr>
      <w:tr w:rsidR="00E530B8" w14:paraId="79E9D773"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F7EBDC" w14:textId="77777777" w:rsidR="00E530B8" w:rsidRPr="0009491F" w:rsidRDefault="00E530B8" w:rsidP="000A0847">
            <w:pPr>
              <w:rPr>
                <w:b w:val="0"/>
              </w:rPr>
            </w:pPr>
            <w:r w:rsidRPr="0009491F">
              <w:rPr>
                <w:b w:val="0"/>
              </w:rPr>
              <w:t>Iowa</w:t>
            </w:r>
          </w:p>
        </w:tc>
        <w:tc>
          <w:tcPr>
            <w:tcW w:w="1350" w:type="dxa"/>
          </w:tcPr>
          <w:p w14:paraId="622026B8"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w:t>
            </w:r>
          </w:p>
        </w:tc>
        <w:tc>
          <w:tcPr>
            <w:tcW w:w="1620" w:type="dxa"/>
          </w:tcPr>
          <w:p w14:paraId="067A4BD8"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13</w:t>
            </w:r>
          </w:p>
        </w:tc>
        <w:tc>
          <w:tcPr>
            <w:tcW w:w="1350" w:type="dxa"/>
          </w:tcPr>
          <w:p w14:paraId="1CBC5FA2"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15</w:t>
            </w:r>
          </w:p>
        </w:tc>
        <w:tc>
          <w:tcPr>
            <w:tcW w:w="1324" w:type="dxa"/>
          </w:tcPr>
          <w:p w14:paraId="01AD8C3E"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13</w:t>
            </w:r>
          </w:p>
        </w:tc>
      </w:tr>
      <w:tr w:rsidR="00E530B8" w14:paraId="778AEAA4"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1AFB4813" w14:textId="77777777" w:rsidR="00E530B8" w:rsidRPr="0009491F" w:rsidRDefault="00E530B8" w:rsidP="000A0847">
            <w:pPr>
              <w:rPr>
                <w:b w:val="0"/>
              </w:rPr>
            </w:pPr>
            <w:r w:rsidRPr="0009491F">
              <w:rPr>
                <w:b w:val="0"/>
              </w:rPr>
              <w:t>Maryland</w:t>
            </w:r>
          </w:p>
        </w:tc>
        <w:tc>
          <w:tcPr>
            <w:tcW w:w="1350" w:type="dxa"/>
          </w:tcPr>
          <w:p w14:paraId="3508BDAC"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2B612EE0"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10</w:t>
            </w:r>
          </w:p>
        </w:tc>
        <w:tc>
          <w:tcPr>
            <w:tcW w:w="1350" w:type="dxa"/>
          </w:tcPr>
          <w:p w14:paraId="4A50147A"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13</w:t>
            </w:r>
          </w:p>
        </w:tc>
        <w:tc>
          <w:tcPr>
            <w:tcW w:w="1324" w:type="dxa"/>
          </w:tcPr>
          <w:p w14:paraId="7D2E62A2"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12</w:t>
            </w:r>
          </w:p>
        </w:tc>
      </w:tr>
      <w:tr w:rsidR="00E530B8" w14:paraId="1CEB90A9"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589748" w14:textId="77777777" w:rsidR="00E530B8" w:rsidRPr="0009491F" w:rsidRDefault="00E530B8" w:rsidP="000A0847">
            <w:pPr>
              <w:rPr>
                <w:b w:val="0"/>
              </w:rPr>
            </w:pPr>
            <w:r w:rsidRPr="0009491F">
              <w:rPr>
                <w:b w:val="0"/>
              </w:rPr>
              <w:t>Minnesota</w:t>
            </w:r>
          </w:p>
        </w:tc>
        <w:tc>
          <w:tcPr>
            <w:tcW w:w="1350" w:type="dxa"/>
          </w:tcPr>
          <w:p w14:paraId="0CB068D2"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w:t>
            </w:r>
          </w:p>
        </w:tc>
        <w:tc>
          <w:tcPr>
            <w:tcW w:w="1620" w:type="dxa"/>
          </w:tcPr>
          <w:p w14:paraId="66B1F496"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10</w:t>
            </w:r>
          </w:p>
        </w:tc>
        <w:tc>
          <w:tcPr>
            <w:tcW w:w="1350" w:type="dxa"/>
          </w:tcPr>
          <w:p w14:paraId="5401167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12</w:t>
            </w:r>
          </w:p>
        </w:tc>
        <w:tc>
          <w:tcPr>
            <w:tcW w:w="1324" w:type="dxa"/>
          </w:tcPr>
          <w:p w14:paraId="48C73290"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12</w:t>
            </w:r>
          </w:p>
        </w:tc>
      </w:tr>
      <w:tr w:rsidR="00E530B8" w14:paraId="769C849B"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14196EC7" w14:textId="77777777" w:rsidR="00E530B8" w:rsidRPr="0009491F" w:rsidRDefault="00E530B8" w:rsidP="000A0847">
            <w:pPr>
              <w:rPr>
                <w:b w:val="0"/>
              </w:rPr>
            </w:pPr>
            <w:r w:rsidRPr="0009491F">
              <w:rPr>
                <w:b w:val="0"/>
              </w:rPr>
              <w:t>Missouri</w:t>
            </w:r>
          </w:p>
        </w:tc>
        <w:tc>
          <w:tcPr>
            <w:tcW w:w="1350" w:type="dxa"/>
          </w:tcPr>
          <w:p w14:paraId="2EBB716E"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67FB5815"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5</w:t>
            </w:r>
          </w:p>
        </w:tc>
        <w:tc>
          <w:tcPr>
            <w:tcW w:w="1350" w:type="dxa"/>
          </w:tcPr>
          <w:p w14:paraId="306F16A4"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8</w:t>
            </w:r>
          </w:p>
        </w:tc>
        <w:tc>
          <w:tcPr>
            <w:tcW w:w="1324" w:type="dxa"/>
          </w:tcPr>
          <w:p w14:paraId="30C45278"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9</w:t>
            </w:r>
          </w:p>
        </w:tc>
      </w:tr>
      <w:tr w:rsidR="00E530B8" w14:paraId="3154712C"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98254B" w14:textId="77777777" w:rsidR="00E530B8" w:rsidRPr="0009491F" w:rsidRDefault="00E530B8" w:rsidP="000A0847">
            <w:pPr>
              <w:rPr>
                <w:b w:val="0"/>
              </w:rPr>
            </w:pPr>
            <w:r w:rsidRPr="0009491F">
              <w:rPr>
                <w:b w:val="0"/>
              </w:rPr>
              <w:t>Illinois</w:t>
            </w:r>
          </w:p>
        </w:tc>
        <w:tc>
          <w:tcPr>
            <w:tcW w:w="1350" w:type="dxa"/>
          </w:tcPr>
          <w:p w14:paraId="00DB992C"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5</w:t>
            </w:r>
          </w:p>
        </w:tc>
        <w:tc>
          <w:tcPr>
            <w:tcW w:w="1620" w:type="dxa"/>
          </w:tcPr>
          <w:p w14:paraId="038FE842"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5</w:t>
            </w:r>
          </w:p>
        </w:tc>
        <w:tc>
          <w:tcPr>
            <w:tcW w:w="1350" w:type="dxa"/>
          </w:tcPr>
          <w:p w14:paraId="42CDD317"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5</w:t>
            </w:r>
          </w:p>
        </w:tc>
        <w:tc>
          <w:tcPr>
            <w:tcW w:w="1324" w:type="dxa"/>
          </w:tcPr>
          <w:p w14:paraId="6D27F7A5"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w:t>
            </w:r>
          </w:p>
        </w:tc>
      </w:tr>
      <w:tr w:rsidR="00E530B8" w14:paraId="09FA467D"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0F86851F" w14:textId="77777777" w:rsidR="00E530B8" w:rsidRPr="0009491F" w:rsidRDefault="00E530B8" w:rsidP="000A0847">
            <w:pPr>
              <w:rPr>
                <w:b w:val="0"/>
              </w:rPr>
            </w:pPr>
            <w:r w:rsidRPr="0009491F">
              <w:rPr>
                <w:b w:val="0"/>
              </w:rPr>
              <w:t>Georgia</w:t>
            </w:r>
          </w:p>
        </w:tc>
        <w:tc>
          <w:tcPr>
            <w:tcW w:w="1350" w:type="dxa"/>
          </w:tcPr>
          <w:p w14:paraId="36ADAB76"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4</w:t>
            </w:r>
          </w:p>
        </w:tc>
        <w:tc>
          <w:tcPr>
            <w:tcW w:w="1620" w:type="dxa"/>
          </w:tcPr>
          <w:p w14:paraId="3F97A65C"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w:t>
            </w:r>
          </w:p>
        </w:tc>
        <w:tc>
          <w:tcPr>
            <w:tcW w:w="1350" w:type="dxa"/>
          </w:tcPr>
          <w:p w14:paraId="37D5DEC1"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3</w:t>
            </w:r>
          </w:p>
        </w:tc>
        <w:tc>
          <w:tcPr>
            <w:tcW w:w="1324" w:type="dxa"/>
          </w:tcPr>
          <w:p w14:paraId="22CF68F5"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3</w:t>
            </w:r>
          </w:p>
        </w:tc>
      </w:tr>
      <w:tr w:rsidR="00E530B8" w14:paraId="7917B989"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6EE7D3" w14:textId="77777777" w:rsidR="00E530B8" w:rsidRPr="0009491F" w:rsidRDefault="00E530B8" w:rsidP="000A0847">
            <w:pPr>
              <w:rPr>
                <w:b w:val="0"/>
              </w:rPr>
            </w:pPr>
            <w:r w:rsidRPr="0009491F">
              <w:rPr>
                <w:b w:val="0"/>
              </w:rPr>
              <w:t>Virginia</w:t>
            </w:r>
          </w:p>
        </w:tc>
        <w:tc>
          <w:tcPr>
            <w:tcW w:w="1350" w:type="dxa"/>
          </w:tcPr>
          <w:p w14:paraId="76C06F41"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2</w:t>
            </w:r>
          </w:p>
        </w:tc>
        <w:tc>
          <w:tcPr>
            <w:tcW w:w="1620" w:type="dxa"/>
          </w:tcPr>
          <w:p w14:paraId="4F78F62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w:t>
            </w:r>
          </w:p>
        </w:tc>
        <w:tc>
          <w:tcPr>
            <w:tcW w:w="1350" w:type="dxa"/>
          </w:tcPr>
          <w:p w14:paraId="6E87A1B6"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4</w:t>
            </w:r>
          </w:p>
        </w:tc>
        <w:tc>
          <w:tcPr>
            <w:tcW w:w="1324" w:type="dxa"/>
          </w:tcPr>
          <w:p w14:paraId="6453ACC4" w14:textId="77777777" w:rsidR="00E530B8" w:rsidRDefault="00E530B8" w:rsidP="000A0847">
            <w:pPr>
              <w:jc w:val="right"/>
              <w:cnfStyle w:val="000000100000" w:firstRow="0" w:lastRow="0" w:firstColumn="0" w:lastColumn="0" w:oddVBand="0" w:evenVBand="0" w:oddHBand="1" w:evenHBand="0" w:firstRowFirstColumn="0" w:firstRowLastColumn="0" w:lastRowFirstColumn="0" w:lastRowLastColumn="0"/>
            </w:pPr>
            <w:r>
              <w:t>3</w:t>
            </w:r>
          </w:p>
        </w:tc>
      </w:tr>
      <w:tr w:rsidR="00E530B8" w14:paraId="7B125E52" w14:textId="77777777" w:rsidTr="0009491F">
        <w:tc>
          <w:tcPr>
            <w:cnfStyle w:val="001000000000" w:firstRow="0" w:lastRow="0" w:firstColumn="1" w:lastColumn="0" w:oddVBand="0" w:evenVBand="0" w:oddHBand="0" w:evenHBand="0" w:firstRowFirstColumn="0" w:firstRowLastColumn="0" w:lastRowFirstColumn="0" w:lastRowLastColumn="0"/>
            <w:tcW w:w="2425" w:type="dxa"/>
          </w:tcPr>
          <w:p w14:paraId="1E35B0E9" w14:textId="77777777" w:rsidR="00E530B8" w:rsidRPr="0009491F" w:rsidRDefault="00E530B8" w:rsidP="000A0847">
            <w:pPr>
              <w:rPr>
                <w:b w:val="0"/>
              </w:rPr>
            </w:pPr>
            <w:r w:rsidRPr="0009491F">
              <w:rPr>
                <w:b w:val="0"/>
              </w:rPr>
              <w:t>Texas</w:t>
            </w:r>
          </w:p>
        </w:tc>
        <w:tc>
          <w:tcPr>
            <w:tcW w:w="1350" w:type="dxa"/>
          </w:tcPr>
          <w:p w14:paraId="0CD0A31B"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620" w:type="dxa"/>
          </w:tcPr>
          <w:p w14:paraId="3B0DE8B9"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350" w:type="dxa"/>
          </w:tcPr>
          <w:p w14:paraId="1FA5D79A"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1</w:t>
            </w:r>
          </w:p>
        </w:tc>
        <w:tc>
          <w:tcPr>
            <w:tcW w:w="1324" w:type="dxa"/>
          </w:tcPr>
          <w:p w14:paraId="384CF2FB" w14:textId="77777777" w:rsidR="00E530B8" w:rsidRDefault="00E530B8" w:rsidP="000A0847">
            <w:pPr>
              <w:jc w:val="right"/>
              <w:cnfStyle w:val="000000000000" w:firstRow="0" w:lastRow="0" w:firstColumn="0" w:lastColumn="0" w:oddVBand="0" w:evenVBand="0" w:oddHBand="0" w:evenHBand="0" w:firstRowFirstColumn="0" w:firstRowLastColumn="0" w:lastRowFirstColumn="0" w:lastRowLastColumn="0"/>
            </w:pPr>
            <w:r>
              <w:t>2</w:t>
            </w:r>
          </w:p>
        </w:tc>
      </w:tr>
    </w:tbl>
    <w:p w14:paraId="02482B36" w14:textId="65FBFAA9" w:rsidR="000651D1" w:rsidRPr="000651D1" w:rsidRDefault="000651D1" w:rsidP="000A0847">
      <w:pPr>
        <w:spacing w:after="0" w:line="240" w:lineRule="auto"/>
        <w:rPr>
          <w:i/>
          <w:sz w:val="20"/>
        </w:rPr>
      </w:pPr>
      <w:r w:rsidRPr="000651D1">
        <w:rPr>
          <w:i/>
          <w:sz w:val="20"/>
        </w:rPr>
        <w:t>Source: Brookings analysis of Moody’s Analytics and U.S. Census Bureau data</w:t>
      </w:r>
    </w:p>
    <w:p w14:paraId="4889DF19" w14:textId="77777777" w:rsidR="00FE7701" w:rsidRDefault="00FE7701" w:rsidP="000A0847">
      <w:pPr>
        <w:spacing w:after="0" w:line="240" w:lineRule="auto"/>
        <w:ind w:left="720"/>
      </w:pPr>
    </w:p>
    <w:p w14:paraId="5FE1ABD3" w14:textId="041E789C" w:rsidR="00B45C22" w:rsidRDefault="008F3712" w:rsidP="000A0847">
      <w:pPr>
        <w:pStyle w:val="ListParagraph"/>
        <w:numPr>
          <w:ilvl w:val="0"/>
          <w:numId w:val="24"/>
        </w:numPr>
        <w:spacing w:after="0" w:line="240" w:lineRule="auto"/>
      </w:pPr>
      <w:r w:rsidRPr="00161FC9">
        <w:rPr>
          <w:b/>
        </w:rPr>
        <w:t xml:space="preserve">OICs </w:t>
      </w:r>
      <w:r w:rsidR="00FE7701" w:rsidRPr="00161FC9">
        <w:rPr>
          <w:b/>
        </w:rPr>
        <w:t>contain significant shares of the nation’s</w:t>
      </w:r>
      <w:r w:rsidRPr="00161FC9">
        <w:rPr>
          <w:b/>
        </w:rPr>
        <w:t xml:space="preserve"> working class</w:t>
      </w:r>
      <w:r w:rsidR="00337C72" w:rsidRPr="00161FC9">
        <w:rPr>
          <w:b/>
        </w:rPr>
        <w:t xml:space="preserve"> individuals—both black and white</w:t>
      </w:r>
      <w:r w:rsidR="00FE7701" w:rsidRPr="00216D62">
        <w:rPr>
          <w:i/>
        </w:rPr>
        <w:t>.</w:t>
      </w:r>
      <w:r w:rsidR="00FE7701">
        <w:t xml:space="preserve"> Demographically, older industrial </w:t>
      </w:r>
      <w:r>
        <w:t>cities</w:t>
      </w:r>
      <w:r w:rsidR="00FE7701">
        <w:t xml:space="preserve"> anchor a region of the country that experienced its most rapid growth during an era of mass immigration from Europe and the “Great Migration” of African Americans from the South, groups that sought new opportunity in booming urban factories. While recent decades have seen black population slowly return to the South and new groups of Hispanic and Asian immigrants and refugees populate the Northeast and Midwest, older industrial </w:t>
      </w:r>
      <w:r>
        <w:t xml:space="preserve">communities remain predominantly white and </w:t>
      </w:r>
      <w:r w:rsidR="00FE7701">
        <w:t xml:space="preserve">black </w:t>
      </w:r>
      <w:r>
        <w:t>places</w:t>
      </w:r>
      <w:r w:rsidR="00FE7701">
        <w:t xml:space="preserve">. In 2016, the population of the 70 older industrial counties was 59 percent white, 21 percent black, 13 percent Hispanic, and 6 percent Asian. </w:t>
      </w:r>
      <w:r w:rsidR="00337C72">
        <w:t>(</w:t>
      </w:r>
      <w:r w:rsidR="001336CE">
        <w:t>Three—Bibb and Dougherty counties in Georgia (home to Macon and Albany), and Baltimore City—are majority-black places.</w:t>
      </w:r>
      <w:r w:rsidR="001336CE">
        <w:rPr>
          <w:rStyle w:val="EndnoteReference"/>
        </w:rPr>
        <w:endnoteReference w:id="59"/>
      </w:r>
      <w:r w:rsidR="00337C72">
        <w:t>)</w:t>
      </w:r>
      <w:r w:rsidR="001336CE">
        <w:t xml:space="preserve"> </w:t>
      </w:r>
    </w:p>
    <w:p w14:paraId="3E0EBFE3" w14:textId="77777777" w:rsidR="00B45C22" w:rsidRDefault="00B45C22" w:rsidP="000A0847">
      <w:pPr>
        <w:pStyle w:val="ListParagraph"/>
        <w:spacing w:after="0" w:line="240" w:lineRule="auto"/>
      </w:pPr>
    </w:p>
    <w:p w14:paraId="6C40A7AF" w14:textId="2235156C" w:rsidR="00FE7701" w:rsidRDefault="00FE7701" w:rsidP="000A0847">
      <w:pPr>
        <w:pStyle w:val="ListParagraph"/>
        <w:spacing w:after="0" w:line="240" w:lineRule="auto"/>
        <w:ind w:left="360"/>
      </w:pPr>
      <w:r>
        <w:t xml:space="preserve">Given their historic strength in production industries that offered plentiful employment to workers without higher education, these counties today contain a diverse cross-section of America’s so-called working class, adults who do not possess a college degree and whose labor market outcomes have suffered in recent decades. Older industrial counties house 11 percent of the nation’s white working class, similar to their overall share of U.S. population, but nearly 20 percent of its black working class. These places thus represent an important geographic locus for understanding and addressing the economic prospects of </w:t>
      </w:r>
      <w:r w:rsidR="00290AEA">
        <w:t xml:space="preserve">racially diverse </w:t>
      </w:r>
      <w:r>
        <w:t>demographic groups left behind in recent economic cycles.</w:t>
      </w:r>
      <w:r w:rsidR="00B45C22">
        <w:t xml:space="preserve"> </w:t>
      </w:r>
    </w:p>
    <w:p w14:paraId="2951591B" w14:textId="35BFBB36" w:rsidR="00161FC9" w:rsidRDefault="00161FC9" w:rsidP="000A0847">
      <w:pPr>
        <w:spacing w:after="0" w:line="240" w:lineRule="auto"/>
      </w:pPr>
    </w:p>
    <w:p w14:paraId="19EF2615" w14:textId="7711968D" w:rsidR="00FE7701" w:rsidRDefault="00DC1651" w:rsidP="000A0847">
      <w:pPr>
        <w:spacing w:after="0" w:line="240" w:lineRule="auto"/>
        <w:rPr>
          <w:noProof/>
        </w:rPr>
      </w:pPr>
      <w:r>
        <w:rPr>
          <w:noProof/>
        </w:rPr>
        <w:t>[Figure 3.</w:t>
      </w:r>
      <w:r w:rsidR="008317CB">
        <w:rPr>
          <w:noProof/>
        </w:rPr>
        <w:t>7</w:t>
      </w:r>
      <w:r>
        <w:rPr>
          <w:noProof/>
        </w:rPr>
        <w:t>—</w:t>
      </w:r>
      <w:r w:rsidR="008317CB">
        <w:rPr>
          <w:noProof/>
        </w:rPr>
        <w:t>OICs</w:t>
      </w:r>
      <w:r>
        <w:rPr>
          <w:noProof/>
        </w:rPr>
        <w:t xml:space="preserve"> contain a disproportionate share of America’s black working class]</w:t>
      </w:r>
    </w:p>
    <w:p w14:paraId="615659D8" w14:textId="518FA613" w:rsidR="00DC1651" w:rsidRDefault="00DC1651" w:rsidP="000A0847">
      <w:pPr>
        <w:spacing w:after="0" w:line="240" w:lineRule="auto"/>
      </w:pPr>
    </w:p>
    <w:p w14:paraId="0EE31AF8" w14:textId="269DEF90" w:rsidR="007A1B81" w:rsidRDefault="007A1B81" w:rsidP="000A0847">
      <w:pPr>
        <w:pStyle w:val="ListParagraph"/>
        <w:numPr>
          <w:ilvl w:val="0"/>
          <w:numId w:val="24"/>
        </w:numPr>
        <w:spacing w:after="0" w:line="240" w:lineRule="auto"/>
      </w:pPr>
      <w:r>
        <w:rPr>
          <w:b/>
        </w:rPr>
        <w:t xml:space="preserve">OICs anchor politically contested areas of the country. </w:t>
      </w:r>
      <w:r w:rsidR="001D22C8">
        <w:t>Older industrial citi</w:t>
      </w:r>
      <w:r w:rsidR="00444210">
        <w:t xml:space="preserve">es are numerous in many of the </w:t>
      </w:r>
      <w:r w:rsidR="001D22C8">
        <w:t>swing states that traditionally decide presidential elections and the balance of power in Congress, including Michigan, Ohio, Pennsylvania, and Wisconsin. More than that, these urban areas anchor wider regions that were closely contested between the Democratic and Republican presidential tickets</w:t>
      </w:r>
      <w:r w:rsidR="008B08B8">
        <w:t xml:space="preserve"> in 2016</w:t>
      </w:r>
      <w:r w:rsidR="001D22C8">
        <w:t xml:space="preserve">. To be sure, OICs themselves </w:t>
      </w:r>
      <w:r w:rsidR="0078375A">
        <w:t xml:space="preserve">remain fairly “blue.” Overall, Hillary Clinton captured 59 percent of total votes in OICs, compared to 36 percent for Donald Trump, and Clinton carried 51 of the 70 counties. In this respect, </w:t>
      </w:r>
      <w:r w:rsidR="00BD0E93">
        <w:t>OICs</w:t>
      </w:r>
      <w:r w:rsidR="0078375A">
        <w:t xml:space="preserve"> leaned slightly more Democratic than urban counties nationally. Yet the counties adjacent to OICs were more “purple,” with 50 percent of their voters choosing Clinton, and 44 percent choosing Trump. Trump won a majority of votes in 224 of those OIC-adjacent counties, compared to only 50 for Clinton. These patterns suggest that the economic fortunes of many of the places that matter most to the nation’</w:t>
      </w:r>
      <w:r w:rsidR="00BD0E93">
        <w:t>s politics</w:t>
      </w:r>
      <w:r w:rsidR="0078375A">
        <w:t xml:space="preserve"> are closely linked with those of older industrial cities.</w:t>
      </w:r>
    </w:p>
    <w:p w14:paraId="63410410" w14:textId="0E2E3455" w:rsidR="0078375A" w:rsidRDefault="0078375A" w:rsidP="000A0847">
      <w:pPr>
        <w:spacing w:after="0" w:line="240" w:lineRule="auto"/>
      </w:pPr>
    </w:p>
    <w:p w14:paraId="119B6673" w14:textId="1B54018B" w:rsidR="0078375A" w:rsidRDefault="008317CB" w:rsidP="000A0847">
      <w:pPr>
        <w:spacing w:after="0" w:line="240" w:lineRule="auto"/>
      </w:pPr>
      <w:r>
        <w:rPr>
          <w:b/>
        </w:rPr>
        <w:t>Figure 3.8</w:t>
      </w:r>
      <w:r w:rsidR="0078375A">
        <w:rPr>
          <w:b/>
        </w:rPr>
        <w:t>—OICs voted “blue” in 2016, but their surrounding areas were more “purple”</w:t>
      </w:r>
    </w:p>
    <w:p w14:paraId="2B534DEC" w14:textId="77777777" w:rsidR="0078375A" w:rsidRDefault="0078375A" w:rsidP="000A0847">
      <w:pPr>
        <w:spacing w:after="0" w:line="240" w:lineRule="auto"/>
      </w:pPr>
      <w:r>
        <w:t>Presidential vote totals by county type, 2016</w:t>
      </w:r>
    </w:p>
    <w:tbl>
      <w:tblPr>
        <w:tblStyle w:val="GridTable4-Accent1"/>
        <w:tblW w:w="0" w:type="auto"/>
        <w:tblLook w:val="04A0" w:firstRow="1" w:lastRow="0" w:firstColumn="1" w:lastColumn="0" w:noHBand="0" w:noVBand="1"/>
      </w:tblPr>
      <w:tblGrid>
        <w:gridCol w:w="1558"/>
        <w:gridCol w:w="1558"/>
        <w:gridCol w:w="1558"/>
        <w:gridCol w:w="1558"/>
        <w:gridCol w:w="1559"/>
        <w:gridCol w:w="1559"/>
      </w:tblGrid>
      <w:tr w:rsidR="0078375A" w:rsidRPr="0009491F" w14:paraId="489A976A" w14:textId="77777777" w:rsidTr="0009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DACD210" w14:textId="4DD37726" w:rsidR="0078375A" w:rsidRPr="0009491F" w:rsidRDefault="0078375A" w:rsidP="000A0847">
            <w:r w:rsidRPr="0009491F">
              <w:t>County type</w:t>
            </w:r>
          </w:p>
        </w:tc>
        <w:tc>
          <w:tcPr>
            <w:tcW w:w="1558" w:type="dxa"/>
          </w:tcPr>
          <w:p w14:paraId="3A036AE5" w14:textId="6732BAEB" w:rsidR="0078375A" w:rsidRPr="0009491F" w:rsidRDefault="0078375A" w:rsidP="000A0847">
            <w:pPr>
              <w:jc w:val="right"/>
              <w:cnfStyle w:val="100000000000" w:firstRow="1" w:lastRow="0" w:firstColumn="0" w:lastColumn="0" w:oddVBand="0" w:evenVBand="0" w:oddHBand="0" w:evenHBand="0" w:firstRowFirstColumn="0" w:firstRowLastColumn="0" w:lastRowFirstColumn="0" w:lastRowLastColumn="0"/>
            </w:pPr>
            <w:r w:rsidRPr="0009491F">
              <w:t>Clinton (%)</w:t>
            </w:r>
          </w:p>
        </w:tc>
        <w:tc>
          <w:tcPr>
            <w:tcW w:w="1558" w:type="dxa"/>
          </w:tcPr>
          <w:p w14:paraId="3028A26E" w14:textId="680C7353" w:rsidR="0078375A" w:rsidRPr="0009491F" w:rsidRDefault="0078375A" w:rsidP="000A0847">
            <w:pPr>
              <w:jc w:val="right"/>
              <w:cnfStyle w:val="100000000000" w:firstRow="1" w:lastRow="0" w:firstColumn="0" w:lastColumn="0" w:oddVBand="0" w:evenVBand="0" w:oddHBand="0" w:evenHBand="0" w:firstRowFirstColumn="0" w:firstRowLastColumn="0" w:lastRowFirstColumn="0" w:lastRowLastColumn="0"/>
            </w:pPr>
            <w:r w:rsidRPr="0009491F">
              <w:t>Trump (%)</w:t>
            </w:r>
          </w:p>
        </w:tc>
        <w:tc>
          <w:tcPr>
            <w:tcW w:w="1558" w:type="dxa"/>
          </w:tcPr>
          <w:p w14:paraId="21EC1FD8" w14:textId="522E62CF" w:rsidR="0078375A" w:rsidRPr="0009491F" w:rsidRDefault="0078375A" w:rsidP="000A0847">
            <w:pPr>
              <w:jc w:val="right"/>
              <w:cnfStyle w:val="100000000000" w:firstRow="1" w:lastRow="0" w:firstColumn="0" w:lastColumn="0" w:oddVBand="0" w:evenVBand="0" w:oddHBand="0" w:evenHBand="0" w:firstRowFirstColumn="0" w:firstRowLastColumn="0" w:lastRowFirstColumn="0" w:lastRowLastColumn="0"/>
            </w:pPr>
            <w:r w:rsidRPr="0009491F">
              <w:t>Other (%)</w:t>
            </w:r>
          </w:p>
        </w:tc>
        <w:tc>
          <w:tcPr>
            <w:tcW w:w="1559" w:type="dxa"/>
          </w:tcPr>
          <w:p w14:paraId="7A8E58B0" w14:textId="134CD876" w:rsidR="0078375A" w:rsidRPr="0009491F" w:rsidRDefault="0078375A" w:rsidP="000A0847">
            <w:pPr>
              <w:jc w:val="right"/>
              <w:cnfStyle w:val="100000000000" w:firstRow="1" w:lastRow="0" w:firstColumn="0" w:lastColumn="0" w:oddVBand="0" w:evenVBand="0" w:oddHBand="0" w:evenHBand="0" w:firstRowFirstColumn="0" w:firstRowLastColumn="0" w:lastRowFirstColumn="0" w:lastRowLastColumn="0"/>
            </w:pPr>
            <w:r w:rsidRPr="0009491F">
              <w:t>Clinton counties</w:t>
            </w:r>
            <w:r w:rsidR="0009491F" w:rsidRPr="0009491F">
              <w:t xml:space="preserve"> (#)</w:t>
            </w:r>
          </w:p>
        </w:tc>
        <w:tc>
          <w:tcPr>
            <w:tcW w:w="1559" w:type="dxa"/>
          </w:tcPr>
          <w:p w14:paraId="41ED531F" w14:textId="47948A3C" w:rsidR="0078375A" w:rsidRPr="0009491F" w:rsidRDefault="0078375A" w:rsidP="000A0847">
            <w:pPr>
              <w:jc w:val="right"/>
              <w:cnfStyle w:val="100000000000" w:firstRow="1" w:lastRow="0" w:firstColumn="0" w:lastColumn="0" w:oddVBand="0" w:evenVBand="0" w:oddHBand="0" w:evenHBand="0" w:firstRowFirstColumn="0" w:firstRowLastColumn="0" w:lastRowFirstColumn="0" w:lastRowLastColumn="0"/>
            </w:pPr>
            <w:r w:rsidRPr="0009491F">
              <w:t>Trump counties</w:t>
            </w:r>
            <w:r w:rsidR="0009491F" w:rsidRPr="0009491F">
              <w:t xml:space="preserve"> (#)</w:t>
            </w:r>
          </w:p>
        </w:tc>
      </w:tr>
      <w:tr w:rsidR="0078375A" w14:paraId="4D8245FB"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DAF9E76" w14:textId="49249D9B" w:rsidR="0078375A" w:rsidRPr="0009491F" w:rsidRDefault="00BD0E93" w:rsidP="000A0847">
            <w:pPr>
              <w:rPr>
                <w:b w:val="0"/>
              </w:rPr>
            </w:pPr>
            <w:r w:rsidRPr="0009491F">
              <w:rPr>
                <w:b w:val="0"/>
              </w:rPr>
              <w:t>Total</w:t>
            </w:r>
          </w:p>
        </w:tc>
        <w:tc>
          <w:tcPr>
            <w:tcW w:w="1558" w:type="dxa"/>
          </w:tcPr>
          <w:p w14:paraId="055F16B9" w14:textId="3175232C"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rsidRPr="00BD0E93">
              <w:t>48.1</w:t>
            </w:r>
          </w:p>
        </w:tc>
        <w:tc>
          <w:tcPr>
            <w:tcW w:w="1558" w:type="dxa"/>
          </w:tcPr>
          <w:p w14:paraId="2BF76271" w14:textId="7ADC470A"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45.9</w:t>
            </w:r>
          </w:p>
        </w:tc>
        <w:tc>
          <w:tcPr>
            <w:tcW w:w="1558" w:type="dxa"/>
          </w:tcPr>
          <w:p w14:paraId="4C885B79" w14:textId="0EC21617"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6.0</w:t>
            </w:r>
          </w:p>
        </w:tc>
        <w:tc>
          <w:tcPr>
            <w:tcW w:w="1559" w:type="dxa"/>
          </w:tcPr>
          <w:p w14:paraId="262A034E" w14:textId="0658BD8A"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474</w:t>
            </w:r>
          </w:p>
        </w:tc>
        <w:tc>
          <w:tcPr>
            <w:tcW w:w="1559" w:type="dxa"/>
          </w:tcPr>
          <w:p w14:paraId="34CD92B7" w14:textId="769BBF2F"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2,610</w:t>
            </w:r>
          </w:p>
        </w:tc>
      </w:tr>
      <w:tr w:rsidR="0078375A" w14:paraId="35D5E50B" w14:textId="77777777" w:rsidTr="0009491F">
        <w:tc>
          <w:tcPr>
            <w:cnfStyle w:val="001000000000" w:firstRow="0" w:lastRow="0" w:firstColumn="1" w:lastColumn="0" w:oddVBand="0" w:evenVBand="0" w:oddHBand="0" w:evenHBand="0" w:firstRowFirstColumn="0" w:firstRowLastColumn="0" w:lastRowFirstColumn="0" w:lastRowLastColumn="0"/>
            <w:tcW w:w="1558" w:type="dxa"/>
          </w:tcPr>
          <w:p w14:paraId="19C37D4F" w14:textId="75BF2045" w:rsidR="0078375A" w:rsidRPr="0009491F" w:rsidRDefault="00BD0E93" w:rsidP="000A0847">
            <w:pPr>
              <w:rPr>
                <w:b w:val="0"/>
              </w:rPr>
            </w:pPr>
            <w:r w:rsidRPr="0009491F">
              <w:rPr>
                <w:b w:val="0"/>
              </w:rPr>
              <w:t>Urban</w:t>
            </w:r>
          </w:p>
        </w:tc>
        <w:tc>
          <w:tcPr>
            <w:tcW w:w="1558" w:type="dxa"/>
          </w:tcPr>
          <w:p w14:paraId="7BAB1258" w14:textId="35EEDE2B" w:rsidR="0078375A"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55.2</w:t>
            </w:r>
          </w:p>
        </w:tc>
        <w:tc>
          <w:tcPr>
            <w:tcW w:w="1558" w:type="dxa"/>
          </w:tcPr>
          <w:p w14:paraId="6CEBA138" w14:textId="16311C15" w:rsidR="0078375A"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38.4</w:t>
            </w:r>
          </w:p>
        </w:tc>
        <w:tc>
          <w:tcPr>
            <w:tcW w:w="1558" w:type="dxa"/>
          </w:tcPr>
          <w:p w14:paraId="2694C6E0" w14:textId="12FBA9FA" w:rsidR="0078375A"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6.4</w:t>
            </w:r>
          </w:p>
        </w:tc>
        <w:tc>
          <w:tcPr>
            <w:tcW w:w="1559" w:type="dxa"/>
          </w:tcPr>
          <w:p w14:paraId="349E37A6" w14:textId="61EDABFB" w:rsidR="0078375A"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189</w:t>
            </w:r>
          </w:p>
        </w:tc>
        <w:tc>
          <w:tcPr>
            <w:tcW w:w="1559" w:type="dxa"/>
          </w:tcPr>
          <w:p w14:paraId="34C99E97" w14:textId="2D60C435" w:rsidR="0078375A"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175</w:t>
            </w:r>
          </w:p>
        </w:tc>
      </w:tr>
      <w:tr w:rsidR="0078375A" w14:paraId="215FB78D"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9C096D5" w14:textId="5F6EA8FD" w:rsidR="0078375A" w:rsidRPr="0009491F" w:rsidRDefault="00BD0E93" w:rsidP="000A0847">
            <w:pPr>
              <w:rPr>
                <w:b w:val="0"/>
              </w:rPr>
            </w:pPr>
            <w:r w:rsidRPr="0009491F">
              <w:rPr>
                <w:b w:val="0"/>
              </w:rPr>
              <w:t>OIC</w:t>
            </w:r>
          </w:p>
        </w:tc>
        <w:tc>
          <w:tcPr>
            <w:tcW w:w="1558" w:type="dxa"/>
          </w:tcPr>
          <w:p w14:paraId="1C67604B" w14:textId="00C0CBDC"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59.3</w:t>
            </w:r>
          </w:p>
        </w:tc>
        <w:tc>
          <w:tcPr>
            <w:tcW w:w="1558" w:type="dxa"/>
          </w:tcPr>
          <w:p w14:paraId="44E5DAD6" w14:textId="0E0C3719"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35.7</w:t>
            </w:r>
          </w:p>
        </w:tc>
        <w:tc>
          <w:tcPr>
            <w:tcW w:w="1558" w:type="dxa"/>
          </w:tcPr>
          <w:p w14:paraId="4109296C" w14:textId="01ACD806"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5.0</w:t>
            </w:r>
          </w:p>
        </w:tc>
        <w:tc>
          <w:tcPr>
            <w:tcW w:w="1559" w:type="dxa"/>
          </w:tcPr>
          <w:p w14:paraId="1786DA5F" w14:textId="7075004C"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51</w:t>
            </w:r>
          </w:p>
        </w:tc>
        <w:tc>
          <w:tcPr>
            <w:tcW w:w="1559" w:type="dxa"/>
          </w:tcPr>
          <w:p w14:paraId="2B742297" w14:textId="2E40A915" w:rsidR="0078375A" w:rsidRPr="00BD0E93" w:rsidRDefault="00BD0E93" w:rsidP="000A0847">
            <w:pPr>
              <w:jc w:val="right"/>
              <w:cnfStyle w:val="000000100000" w:firstRow="0" w:lastRow="0" w:firstColumn="0" w:lastColumn="0" w:oddVBand="0" w:evenVBand="0" w:oddHBand="1" w:evenHBand="0" w:firstRowFirstColumn="0" w:firstRowLastColumn="0" w:lastRowFirstColumn="0" w:lastRowLastColumn="0"/>
            </w:pPr>
            <w:r>
              <w:t>19</w:t>
            </w:r>
          </w:p>
        </w:tc>
      </w:tr>
      <w:tr w:rsidR="00BD0E93" w14:paraId="049EEFF4" w14:textId="77777777" w:rsidTr="0009491F">
        <w:tc>
          <w:tcPr>
            <w:cnfStyle w:val="001000000000" w:firstRow="0" w:lastRow="0" w:firstColumn="1" w:lastColumn="0" w:oddVBand="0" w:evenVBand="0" w:oddHBand="0" w:evenHBand="0" w:firstRowFirstColumn="0" w:firstRowLastColumn="0" w:lastRowFirstColumn="0" w:lastRowLastColumn="0"/>
            <w:tcW w:w="1558" w:type="dxa"/>
          </w:tcPr>
          <w:p w14:paraId="3C3B05DB" w14:textId="5EDF3293" w:rsidR="00BD0E93" w:rsidRPr="0009491F" w:rsidRDefault="00BD0E93" w:rsidP="000A0847">
            <w:pPr>
              <w:rPr>
                <w:b w:val="0"/>
              </w:rPr>
            </w:pPr>
            <w:r w:rsidRPr="0009491F">
              <w:rPr>
                <w:b w:val="0"/>
              </w:rPr>
              <w:t>OIC-adjacent</w:t>
            </w:r>
          </w:p>
        </w:tc>
        <w:tc>
          <w:tcPr>
            <w:tcW w:w="1558" w:type="dxa"/>
          </w:tcPr>
          <w:p w14:paraId="3F5C8264" w14:textId="4A1D6089" w:rsidR="00BD0E93"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50.4</w:t>
            </w:r>
          </w:p>
        </w:tc>
        <w:tc>
          <w:tcPr>
            <w:tcW w:w="1558" w:type="dxa"/>
          </w:tcPr>
          <w:p w14:paraId="5B031C61" w14:textId="30F3C5C7" w:rsidR="00BD0E93"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44.0</w:t>
            </w:r>
          </w:p>
        </w:tc>
        <w:tc>
          <w:tcPr>
            <w:tcW w:w="1558" w:type="dxa"/>
          </w:tcPr>
          <w:p w14:paraId="21649E37" w14:textId="6BF5C7FD" w:rsidR="00BD0E93"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5.6</w:t>
            </w:r>
          </w:p>
        </w:tc>
        <w:tc>
          <w:tcPr>
            <w:tcW w:w="1559" w:type="dxa"/>
          </w:tcPr>
          <w:p w14:paraId="2C1669D1" w14:textId="576BF281" w:rsidR="00BD0E93"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50</w:t>
            </w:r>
          </w:p>
        </w:tc>
        <w:tc>
          <w:tcPr>
            <w:tcW w:w="1559" w:type="dxa"/>
          </w:tcPr>
          <w:p w14:paraId="72E6357D" w14:textId="4A258DC5" w:rsidR="00BD0E93" w:rsidRPr="00BD0E93" w:rsidRDefault="00BD0E93" w:rsidP="000A0847">
            <w:pPr>
              <w:jc w:val="right"/>
              <w:cnfStyle w:val="000000000000" w:firstRow="0" w:lastRow="0" w:firstColumn="0" w:lastColumn="0" w:oddVBand="0" w:evenVBand="0" w:oddHBand="0" w:evenHBand="0" w:firstRowFirstColumn="0" w:firstRowLastColumn="0" w:lastRowFirstColumn="0" w:lastRowLastColumn="0"/>
            </w:pPr>
            <w:r>
              <w:t>224</w:t>
            </w:r>
          </w:p>
        </w:tc>
      </w:tr>
    </w:tbl>
    <w:p w14:paraId="1D9A5FF9" w14:textId="19E01781" w:rsidR="0078375A" w:rsidRPr="00BD0E93" w:rsidRDefault="0078375A" w:rsidP="000A0847">
      <w:pPr>
        <w:spacing w:after="0" w:line="240" w:lineRule="auto"/>
        <w:rPr>
          <w:i/>
        </w:rPr>
      </w:pPr>
      <w:r w:rsidRPr="00BD0E93">
        <w:rPr>
          <w:sz w:val="20"/>
        </w:rPr>
        <w:t xml:space="preserve"> </w:t>
      </w:r>
      <w:r w:rsidR="00BD0E93" w:rsidRPr="00BD0E93">
        <w:rPr>
          <w:i/>
          <w:sz w:val="20"/>
        </w:rPr>
        <w:t>Source: Brookings analysis of data from Wall Street Journal</w:t>
      </w:r>
      <w:r w:rsidR="00BD0E93">
        <w:rPr>
          <w:i/>
        </w:rPr>
        <w:t xml:space="preserve"> </w:t>
      </w:r>
    </w:p>
    <w:p w14:paraId="1853A3C8" w14:textId="77777777" w:rsidR="007A1B81" w:rsidRDefault="007A1B81" w:rsidP="000A0847">
      <w:pPr>
        <w:pStyle w:val="ListParagraph"/>
        <w:spacing w:after="0" w:line="240" w:lineRule="auto"/>
        <w:ind w:left="360"/>
      </w:pPr>
    </w:p>
    <w:p w14:paraId="5818F700" w14:textId="137FB3F9" w:rsidR="00FE7701" w:rsidRPr="006B258A" w:rsidRDefault="00FE7701" w:rsidP="000A0847">
      <w:pPr>
        <w:spacing w:after="0" w:line="240" w:lineRule="auto"/>
      </w:pPr>
      <w:r>
        <w:t xml:space="preserve">Notwithstanding their collective importance and distinctive profile, older industrial counties are a diverse lot. The next chapter introduces a typology of these counties based on recent economic trends, but one immediately apparent source of their diversity is size. The 70 counties range in population from just 83,000 (Howard County, Indiana, home to Kokomo) to 2.6 million (Kings County, New York, equivalent to </w:t>
      </w:r>
      <w:r w:rsidR="00337C72">
        <w:t>the borough of Brooklyn). Of those</w:t>
      </w:r>
      <w:r>
        <w:t xml:space="preserve"> 70 counties, 29 are large (populations exceeding </w:t>
      </w:r>
      <w:r w:rsidR="0053245D">
        <w:t>500,000), 22</w:t>
      </w:r>
      <w:r>
        <w:t xml:space="preserve"> are </w:t>
      </w:r>
      <w:r w:rsidR="0053245D">
        <w:t>small (populations less than 250</w:t>
      </w:r>
      <w:r>
        <w:t xml:space="preserve">,000), and the remaining </w:t>
      </w:r>
      <w:r w:rsidR="0053245D">
        <w:t>19</w:t>
      </w:r>
      <w:r>
        <w:t xml:space="preserve"> are medium-sized (populations from 200,000 to 500,000). Small older industrial counties are, in general, more concentrated in the Midwest—the state of Indiana alone accounts for five—while larger older industrial counties </w:t>
      </w:r>
      <w:r w:rsidR="00337C72">
        <w:t xml:space="preserve">are more often located in </w:t>
      </w:r>
      <w:r>
        <w:t>the No</w:t>
      </w:r>
      <w:r w:rsidR="00337C72">
        <w:t>rtheast, reflecting</w:t>
      </w:r>
      <w:r>
        <w:t xml:space="preserve"> regional differences in political/administrative geography as well as di</w:t>
      </w:r>
      <w:r w:rsidR="00337C72">
        <w:t>fferences in economic geography</w:t>
      </w:r>
      <w:r>
        <w:t xml:space="preserve">. Size is not the only differentiator among older industrial counties, nor necessarily the most important one, but </w:t>
      </w:r>
      <w:r w:rsidR="008B08B8">
        <w:t xml:space="preserve">as the subsequent analysis shows, it </w:t>
      </w:r>
      <w:r>
        <w:t xml:space="preserve">does </w:t>
      </w:r>
      <w:r w:rsidR="00DC1651">
        <w:t>seem</w:t>
      </w:r>
      <w:r w:rsidR="008F3712">
        <w:t xml:space="preserve"> to be associated with</w:t>
      </w:r>
      <w:r>
        <w:t xml:space="preserve"> the economic opportunities and challenges facing these places in the years ahead.</w:t>
      </w:r>
    </w:p>
    <w:p w14:paraId="50C8B1E9" w14:textId="05E90D03" w:rsidR="00EB395A" w:rsidRDefault="00EB395A" w:rsidP="000A0847">
      <w:pPr>
        <w:spacing w:after="0" w:line="240" w:lineRule="auto"/>
        <w:rPr>
          <w:rFonts w:ascii="Calibri" w:hAnsi="Calibri" w:cs="Times New Roman"/>
          <w:color w:val="000000"/>
        </w:rPr>
      </w:pPr>
      <w:r>
        <w:rPr>
          <w:rFonts w:ascii="Calibri" w:hAnsi="Calibri"/>
          <w:color w:val="000000"/>
        </w:rPr>
        <w:br w:type="page"/>
      </w:r>
    </w:p>
    <w:p w14:paraId="48B428C0" w14:textId="29C74195" w:rsidR="00EB395A" w:rsidRPr="005D52E5" w:rsidRDefault="008A1099" w:rsidP="000A0847">
      <w:pPr>
        <w:pStyle w:val="ListParagraph"/>
        <w:numPr>
          <w:ilvl w:val="0"/>
          <w:numId w:val="26"/>
        </w:numPr>
        <w:spacing w:after="0" w:line="240" w:lineRule="auto"/>
        <w:rPr>
          <w:b/>
          <w:sz w:val="24"/>
        </w:rPr>
      </w:pPr>
      <w:bookmarkStart w:id="1" w:name="Performance"/>
      <w:bookmarkEnd w:id="1"/>
      <w:r>
        <w:rPr>
          <w:b/>
          <w:sz w:val="24"/>
        </w:rPr>
        <w:t xml:space="preserve">Performance: </w:t>
      </w:r>
      <w:r w:rsidR="00EB395A" w:rsidRPr="005D52E5">
        <w:rPr>
          <w:b/>
          <w:sz w:val="24"/>
        </w:rPr>
        <w:t>How are older industrial cities faring?</w:t>
      </w:r>
    </w:p>
    <w:p w14:paraId="428C3B25" w14:textId="77777777" w:rsidR="00EB395A" w:rsidRDefault="00EB395A" w:rsidP="000A0847">
      <w:pPr>
        <w:spacing w:after="0" w:line="240" w:lineRule="auto"/>
      </w:pPr>
    </w:p>
    <w:p w14:paraId="18C5DBC7" w14:textId="5FE28861" w:rsidR="00EB395A" w:rsidRDefault="00EB395A" w:rsidP="000A0847">
      <w:pPr>
        <w:spacing w:after="0" w:line="240" w:lineRule="auto"/>
      </w:pPr>
      <w:r>
        <w:t xml:space="preserve">To properly assess the future economic potential of the nation’s older industrial communities, it helps to understand their past. Analyzing how older industrial counties have fared economically not only points to the general sorts of economic challenges these cities and their residents continue to face, but also suggests a typology of communities that </w:t>
      </w:r>
      <w:r w:rsidR="00337C72">
        <w:t xml:space="preserve">points to </w:t>
      </w:r>
      <w:r>
        <w:t xml:space="preserve">different pathways </w:t>
      </w:r>
      <w:r w:rsidR="00337C72">
        <w:t>for securing</w:t>
      </w:r>
      <w:r>
        <w:t xml:space="preserve"> </w:t>
      </w:r>
      <w:r w:rsidR="008B08B8">
        <w:t xml:space="preserve">their </w:t>
      </w:r>
      <w:r>
        <w:t>future economic prosperity.</w:t>
      </w:r>
    </w:p>
    <w:p w14:paraId="798D12E4" w14:textId="77777777" w:rsidR="00EB395A" w:rsidRDefault="00EB395A" w:rsidP="000A0847">
      <w:pPr>
        <w:spacing w:after="0" w:line="240" w:lineRule="auto"/>
      </w:pPr>
    </w:p>
    <w:p w14:paraId="341ABE79" w14:textId="77777777" w:rsidR="00EB395A" w:rsidRPr="005846E7" w:rsidRDefault="00EB395A" w:rsidP="000A0847">
      <w:pPr>
        <w:pStyle w:val="ListParagraph"/>
        <w:numPr>
          <w:ilvl w:val="0"/>
          <w:numId w:val="14"/>
        </w:numPr>
        <w:spacing w:after="0" w:line="240" w:lineRule="auto"/>
        <w:rPr>
          <w:b/>
          <w:sz w:val="24"/>
        </w:rPr>
      </w:pPr>
      <w:r w:rsidRPr="005846E7">
        <w:rPr>
          <w:b/>
          <w:sz w:val="24"/>
        </w:rPr>
        <w:t>Economic success combines growth, prosperity, and inclusion</w:t>
      </w:r>
    </w:p>
    <w:p w14:paraId="0109F55D" w14:textId="77777777" w:rsidR="00EB395A" w:rsidRDefault="00EB395A" w:rsidP="000A0847">
      <w:pPr>
        <w:spacing w:after="0" w:line="240" w:lineRule="auto"/>
      </w:pPr>
    </w:p>
    <w:p w14:paraId="7616963F" w14:textId="02231C61" w:rsidR="00EB395A" w:rsidRDefault="00EB395A" w:rsidP="000A0847">
      <w:pPr>
        <w:spacing w:after="0" w:line="240" w:lineRule="auto"/>
      </w:pPr>
      <w:r>
        <w:t xml:space="preserve">We </w:t>
      </w:r>
      <w:r w:rsidR="00337C72">
        <w:t xml:space="preserve">assess the performance </w:t>
      </w:r>
      <w:r>
        <w:t>of local and regional economies based on a more expansive definition than typical headline metrics such as population, job g</w:t>
      </w:r>
      <w:r w:rsidR="00337C72">
        <w:t>rowth, or the unemployment rate.</w:t>
      </w:r>
      <w:r>
        <w:t xml:space="preserve"> </w:t>
      </w:r>
      <w:r w:rsidR="00337C72">
        <w:t xml:space="preserve">We </w:t>
      </w:r>
      <w:r w:rsidR="006C3BE2">
        <w:t>adapt</w:t>
      </w:r>
      <w:r>
        <w:t xml:space="preserve"> </w:t>
      </w:r>
      <w:r w:rsidR="00337C72">
        <w:t xml:space="preserve">the definition </w:t>
      </w:r>
      <w:r>
        <w:t>from a framework developed for Brookings’s Metro Monitor.</w:t>
      </w:r>
      <w:r w:rsidR="00337C72">
        <w:rPr>
          <w:rStyle w:val="EndnoteReference"/>
        </w:rPr>
        <w:endnoteReference w:id="60"/>
      </w:r>
      <w:r>
        <w:t xml:space="preserve"> </w:t>
      </w:r>
      <w:r w:rsidR="006C3BE2">
        <w:t>While headline statistics</w:t>
      </w:r>
      <w:r>
        <w:t xml:space="preserve"> </w:t>
      </w:r>
      <w:r w:rsidR="006C3BE2">
        <w:t xml:space="preserve">measure outcomes that </w:t>
      </w:r>
      <w:r>
        <w:t xml:space="preserve">certainly matter, they constitute only part of what true economic development should seek to achieve: putting local economies on a higher trajectory of long-run </w:t>
      </w:r>
      <w:r w:rsidRPr="00814A14">
        <w:rPr>
          <w:i/>
        </w:rPr>
        <w:t>growth</w:t>
      </w:r>
      <w:r>
        <w:t>, by improving the productivity of individuals and firms in order to raise local standards of living (</w:t>
      </w:r>
      <w:r w:rsidRPr="00814A14">
        <w:rPr>
          <w:i/>
        </w:rPr>
        <w:t>prosperity</w:t>
      </w:r>
      <w:r>
        <w:t>) for all people (</w:t>
      </w:r>
      <w:r>
        <w:rPr>
          <w:i/>
        </w:rPr>
        <w:t>inclusion</w:t>
      </w:r>
      <w:r>
        <w:t>). We use a series of indicators to examine outcomes over time in each of these three areas—growth, prosperity, and inclusion—for the 70 older industrial counties. By category, those indicators include:</w:t>
      </w:r>
    </w:p>
    <w:p w14:paraId="5B8EE832" w14:textId="77777777" w:rsidR="00EB395A" w:rsidRDefault="00EB395A" w:rsidP="000A0847">
      <w:pPr>
        <w:spacing w:after="0" w:line="240" w:lineRule="auto"/>
      </w:pPr>
    </w:p>
    <w:p w14:paraId="146EAE8B" w14:textId="77777777" w:rsidR="00EB395A" w:rsidRDefault="00EB395A" w:rsidP="000A0847">
      <w:pPr>
        <w:pStyle w:val="ListParagraph"/>
        <w:numPr>
          <w:ilvl w:val="0"/>
          <w:numId w:val="10"/>
        </w:numPr>
        <w:spacing w:after="0" w:line="240" w:lineRule="auto"/>
      </w:pPr>
      <w:r w:rsidRPr="004A6482">
        <w:rPr>
          <w:b/>
        </w:rPr>
        <w:t>Growth</w:t>
      </w:r>
      <w:r>
        <w:t>: GDP (gross value added); jobs; and jobs at young firms (those less than five years old)</w:t>
      </w:r>
    </w:p>
    <w:p w14:paraId="752ABEF1" w14:textId="77777777" w:rsidR="00EB395A" w:rsidRDefault="00EB395A" w:rsidP="000A0847">
      <w:pPr>
        <w:pStyle w:val="ListParagraph"/>
        <w:numPr>
          <w:ilvl w:val="0"/>
          <w:numId w:val="10"/>
        </w:numPr>
        <w:spacing w:after="0" w:line="240" w:lineRule="auto"/>
      </w:pPr>
      <w:r w:rsidRPr="004A6482">
        <w:rPr>
          <w:b/>
        </w:rPr>
        <w:t>Prosperity</w:t>
      </w:r>
      <w:r>
        <w:t>: GDP per job; and per-capita household income</w:t>
      </w:r>
    </w:p>
    <w:p w14:paraId="03EC2974" w14:textId="77777777" w:rsidR="00EB395A" w:rsidRDefault="00EB395A" w:rsidP="000A0847">
      <w:pPr>
        <w:pStyle w:val="ListParagraph"/>
        <w:numPr>
          <w:ilvl w:val="0"/>
          <w:numId w:val="10"/>
        </w:numPr>
        <w:spacing w:after="0" w:line="240" w:lineRule="auto"/>
      </w:pPr>
      <w:r w:rsidRPr="004A6482">
        <w:rPr>
          <w:b/>
        </w:rPr>
        <w:t>Inclusion</w:t>
      </w:r>
      <w:r>
        <w:t>: Prime-age employment-to-population ratio; and median household income</w:t>
      </w:r>
    </w:p>
    <w:p w14:paraId="15FEEB09" w14:textId="77777777" w:rsidR="00EB395A" w:rsidRDefault="00EB395A" w:rsidP="000A0847">
      <w:pPr>
        <w:spacing w:after="0" w:line="240" w:lineRule="auto"/>
      </w:pPr>
    </w:p>
    <w:p w14:paraId="6F8B6BF8" w14:textId="77777777" w:rsidR="00EB395A" w:rsidRDefault="00EB395A" w:rsidP="000A0847">
      <w:pPr>
        <w:spacing w:after="0" w:line="240" w:lineRule="auto"/>
      </w:pPr>
      <w:r>
        <w:t>We also measure inclusion outcomes within these counties by race/ethnicity, and by place (using measures of concentrated poverty and economic segregation) to determine whether and how well prosperity is shared across population groups and communities.</w:t>
      </w:r>
    </w:p>
    <w:p w14:paraId="52B9EFAB" w14:textId="77777777" w:rsidR="00EB395A" w:rsidRDefault="00EB395A" w:rsidP="000A0847">
      <w:pPr>
        <w:spacing w:after="0" w:line="240" w:lineRule="auto"/>
      </w:pPr>
    </w:p>
    <w:p w14:paraId="422C6696" w14:textId="209D78D7" w:rsidR="00EB395A" w:rsidRDefault="00EB395A" w:rsidP="000A0847">
      <w:pPr>
        <w:spacing w:after="0" w:line="240" w:lineRule="auto"/>
      </w:pPr>
      <w:r>
        <w:t xml:space="preserve">We compare outcomes for older industrial counties overall to those for the wider </w:t>
      </w:r>
      <w:r w:rsidR="006C3BE2">
        <w:t>universes of urban counties (365</w:t>
      </w:r>
      <w:r>
        <w:t xml:space="preserve"> containing a city with at least 50,000 people in 2016) an</w:t>
      </w:r>
      <w:r w:rsidR="006C3BE2">
        <w:t>d urban industrial counties (185</w:t>
      </w:r>
      <w:r>
        <w:t xml:space="preserve"> urban counties where at least 20 percent of jobs were in manufacturing in 1970), as well as for the nation as a whole.</w:t>
      </w:r>
    </w:p>
    <w:p w14:paraId="3C685ECF" w14:textId="77777777" w:rsidR="00EB395A" w:rsidRDefault="00EB395A" w:rsidP="000A0847">
      <w:pPr>
        <w:spacing w:after="0" w:line="240" w:lineRule="auto"/>
      </w:pPr>
    </w:p>
    <w:p w14:paraId="0B0A0EA2" w14:textId="2FADFA51" w:rsidR="00EB395A" w:rsidRPr="005846E7" w:rsidRDefault="00A329DE" w:rsidP="000A0847">
      <w:pPr>
        <w:pStyle w:val="ListParagraph"/>
        <w:numPr>
          <w:ilvl w:val="0"/>
          <w:numId w:val="15"/>
        </w:numPr>
        <w:spacing w:after="0" w:line="240" w:lineRule="auto"/>
        <w:rPr>
          <w:b/>
          <w:sz w:val="24"/>
        </w:rPr>
      </w:pPr>
      <w:r w:rsidRPr="005846E7">
        <w:rPr>
          <w:b/>
          <w:sz w:val="24"/>
        </w:rPr>
        <w:t>OICs</w:t>
      </w:r>
      <w:r w:rsidR="00EB395A" w:rsidRPr="005846E7">
        <w:rPr>
          <w:b/>
          <w:sz w:val="24"/>
        </w:rPr>
        <w:t xml:space="preserve"> have—by definition—grown slowly</w:t>
      </w:r>
    </w:p>
    <w:p w14:paraId="1BE011C1" w14:textId="77777777" w:rsidR="00EB395A" w:rsidRDefault="00EB395A" w:rsidP="000A0847">
      <w:pPr>
        <w:spacing w:after="0" w:line="240" w:lineRule="auto"/>
      </w:pPr>
    </w:p>
    <w:p w14:paraId="7E15D5BA" w14:textId="110A709D" w:rsidR="00EB395A" w:rsidRDefault="00EB395A" w:rsidP="000A0847">
      <w:pPr>
        <w:spacing w:after="0" w:line="240" w:lineRule="auto"/>
      </w:pPr>
      <w:r>
        <w:t>Older industrial counties have experienced less growth over time than urban counties</w:t>
      </w:r>
      <w:r w:rsidR="006C3BE2">
        <w:t xml:space="preserve"> overall</w:t>
      </w:r>
      <w:r>
        <w:t xml:space="preserve">. This is embedded in how we define these places, </w:t>
      </w:r>
      <w:r w:rsidR="00991CC1">
        <w:t>as experiencing</w:t>
      </w:r>
      <w:r>
        <w:t xml:space="preserve"> less job growth from 1970 to 2016 than one would have expected based on their economic structure in 1970.</w:t>
      </w:r>
      <w:r w:rsidR="006C3BE2">
        <w:t xml:space="preserve"> But the growth differences are nonetheless striking.</w:t>
      </w:r>
    </w:p>
    <w:p w14:paraId="26B53EC0" w14:textId="77777777" w:rsidR="00EB395A" w:rsidRDefault="00EB395A" w:rsidP="000A0847">
      <w:pPr>
        <w:spacing w:after="0" w:line="240" w:lineRule="auto"/>
      </w:pPr>
    </w:p>
    <w:p w14:paraId="12352119" w14:textId="6A999A09" w:rsidR="00EB395A" w:rsidRDefault="00EB395A" w:rsidP="000A0847">
      <w:pPr>
        <w:spacing w:after="0" w:line="240" w:lineRule="auto"/>
      </w:pPr>
      <w:r>
        <w:t xml:space="preserve">Although population growth is not a core part of how we define economic success, a lack of such growth—and in many cases, absolute decline—markedly characterizes the experience of older industrial places. In the aggregate, population in the 70 older industrial counties (roughly 37 million) is nearly the same today as it was in 1970. That compares to increases of 42 percent in urban industrial counties, and 71 percent in urban counties over the 46-year period. While not uniform, many older industrial counties suffered significant population declines in the 1970s and 1980s amid rapid contraction in the manufacturing industry and accelerating middle-class migration to suburbs and other regions of the country. </w:t>
      </w:r>
    </w:p>
    <w:p w14:paraId="21B728DB" w14:textId="77777777" w:rsidR="005846E7" w:rsidRDefault="005846E7" w:rsidP="000A0847">
      <w:pPr>
        <w:spacing w:after="0" w:line="240" w:lineRule="auto"/>
      </w:pPr>
    </w:p>
    <w:p w14:paraId="1B436B4A" w14:textId="133055B5" w:rsidR="00EB395A" w:rsidRDefault="00DC1651" w:rsidP="000A0847">
      <w:pPr>
        <w:spacing w:after="0" w:line="240" w:lineRule="auto"/>
      </w:pPr>
      <w:r>
        <w:t>[Figure 4.1—Older industrial communities have not grown in population since 1970]</w:t>
      </w:r>
    </w:p>
    <w:p w14:paraId="0477B9FF" w14:textId="4425C5D0" w:rsidR="00EB395A" w:rsidRDefault="00EB395A" w:rsidP="000A0847">
      <w:pPr>
        <w:spacing w:after="0" w:line="240" w:lineRule="auto"/>
      </w:pPr>
    </w:p>
    <w:p w14:paraId="00272363" w14:textId="36F29AEF" w:rsidR="00EB395A" w:rsidRDefault="00EB395A" w:rsidP="000A0847">
      <w:pPr>
        <w:spacing w:after="0" w:line="240" w:lineRule="auto"/>
      </w:pPr>
      <w:r>
        <w:t xml:space="preserve">The population trend in </w:t>
      </w:r>
      <w:r w:rsidR="00A329DE">
        <w:t xml:space="preserve">OICs </w:t>
      </w:r>
      <w:r>
        <w:t xml:space="preserve">is mirrored in lagging growth in both jobs and GDP in these communities over time. Overall, jobs in these counties rose by nearly one-quarter between 1970 and 2016, equivalent to 3.5 million jobs. That </w:t>
      </w:r>
      <w:r w:rsidR="00A329DE">
        <w:t>OICs</w:t>
      </w:r>
      <w:r>
        <w:t xml:space="preserve"> experienced job growth despite no net population growth reflects the fact that most remain important centers of employment for a local workforce that suburbanized over time. Yet job growth was much stronger in other types of areas—76 percent in urban industrial counties, and 108 percent in urban counties overall. </w:t>
      </w:r>
      <w:r w:rsidR="00A329DE">
        <w:t>OICs</w:t>
      </w:r>
      <w:r>
        <w:t xml:space="preserve"> have kept slightly better pace on GDP growth, with a 78 percent expansion between 1980 and 2016, though still well short of increases in urban industrial (139 percent) and urban (154 percent) counties over time. </w:t>
      </w:r>
      <w:r w:rsidR="00991CC1">
        <w:t xml:space="preserve">That </w:t>
      </w:r>
      <w:r>
        <w:t xml:space="preserve">GDP </w:t>
      </w:r>
      <w:r w:rsidR="008664A4">
        <w:t xml:space="preserve">kept </w:t>
      </w:r>
      <w:r>
        <w:t>growing in older industrial communities even as they shed signi</w:t>
      </w:r>
      <w:r w:rsidR="008664A4">
        <w:t xml:space="preserve">ficant numbers of factory jobs </w:t>
      </w:r>
      <w:r w:rsidR="00991CC1">
        <w:t xml:space="preserve">can be attributed to </w:t>
      </w:r>
      <w:r w:rsidR="008664A4">
        <w:t>productivity gains in the manufacturing sector.</w:t>
      </w:r>
    </w:p>
    <w:p w14:paraId="788545D5" w14:textId="7EAA8F04" w:rsidR="00EB395A" w:rsidRDefault="00EB395A" w:rsidP="000A0847">
      <w:pPr>
        <w:spacing w:after="0" w:line="240" w:lineRule="auto"/>
      </w:pPr>
    </w:p>
    <w:p w14:paraId="703D8144" w14:textId="0B2247F1" w:rsidR="00DC1651" w:rsidRDefault="00DC1651" w:rsidP="000A0847">
      <w:pPr>
        <w:spacing w:after="0" w:line="240" w:lineRule="auto"/>
      </w:pPr>
      <w:r>
        <w:t>[Figure 4.2—</w:t>
      </w:r>
      <w:r w:rsidR="0004772A">
        <w:t>OIC economies have</w:t>
      </w:r>
      <w:r>
        <w:t xml:space="preserve">, by definition, grown more slowly than </w:t>
      </w:r>
      <w:r w:rsidR="0004772A">
        <w:t>others</w:t>
      </w:r>
      <w:r>
        <w:t>]</w:t>
      </w:r>
    </w:p>
    <w:p w14:paraId="3A1C6487" w14:textId="77777777" w:rsidR="00DC1651" w:rsidRDefault="00DC1651" w:rsidP="000A0847">
      <w:pPr>
        <w:spacing w:after="0" w:line="240" w:lineRule="auto"/>
      </w:pPr>
    </w:p>
    <w:p w14:paraId="12B75F88" w14:textId="241D1A54" w:rsidR="00EB395A" w:rsidRDefault="00EB395A" w:rsidP="000A0847">
      <w:pPr>
        <w:spacing w:after="0" w:line="240" w:lineRule="auto"/>
      </w:pPr>
      <w:r>
        <w:t xml:space="preserve">The recent picture is relatively brighter on a key measure of economic dynamism, the number of jobs at firms less than five years old. While this indicator has fallen for the nation as a whole and all types of urban communities over time, </w:t>
      </w:r>
      <w:r w:rsidR="00A329DE">
        <w:t>OICs</w:t>
      </w:r>
      <w:r>
        <w:t xml:space="preserve"> have fared similarly to other places, and have seen modest growth in young-firm employment since 2012. </w:t>
      </w:r>
    </w:p>
    <w:p w14:paraId="1FD891D1" w14:textId="77777777" w:rsidR="00EB395A" w:rsidRDefault="00EB395A" w:rsidP="000A0847">
      <w:pPr>
        <w:spacing w:after="0" w:line="240" w:lineRule="auto"/>
      </w:pPr>
    </w:p>
    <w:p w14:paraId="525EB53F" w14:textId="5F00D0A6" w:rsidR="00EB395A" w:rsidRPr="005846E7" w:rsidRDefault="00A329DE" w:rsidP="000A0847">
      <w:pPr>
        <w:pStyle w:val="ListParagraph"/>
        <w:numPr>
          <w:ilvl w:val="0"/>
          <w:numId w:val="16"/>
        </w:numPr>
        <w:spacing w:after="0" w:line="240" w:lineRule="auto"/>
        <w:rPr>
          <w:b/>
          <w:sz w:val="24"/>
        </w:rPr>
      </w:pPr>
      <w:r w:rsidRPr="005846E7">
        <w:rPr>
          <w:b/>
          <w:sz w:val="24"/>
        </w:rPr>
        <w:t>OICs</w:t>
      </w:r>
      <w:r w:rsidR="00EB395A" w:rsidRPr="005846E7">
        <w:rPr>
          <w:b/>
          <w:sz w:val="24"/>
        </w:rPr>
        <w:t xml:space="preserve"> lag similar places on prosperity</w:t>
      </w:r>
    </w:p>
    <w:p w14:paraId="165C262E" w14:textId="77777777" w:rsidR="00EB395A" w:rsidRDefault="00EB395A" w:rsidP="000A0847">
      <w:pPr>
        <w:spacing w:after="0" w:line="240" w:lineRule="auto"/>
      </w:pPr>
    </w:p>
    <w:p w14:paraId="49A01751" w14:textId="43DC9909" w:rsidR="00EB395A" w:rsidRDefault="00EB395A" w:rsidP="000A0847">
      <w:pPr>
        <w:spacing w:after="0" w:line="240" w:lineRule="auto"/>
      </w:pPr>
      <w:r>
        <w:t>Prosperity reflects the degree to which economic opportunity is accruing to the average worker and household in a local area. In this sense, it measures the “quality” of growth. An economy can expand by adding inputs (e.g., population and workers), but see its prosperity decline if that growth doesn’t result in higher-value, higher-paying jobs and increased income for its residents.</w:t>
      </w:r>
      <w:r w:rsidR="00A329DE">
        <w:t xml:space="preserve"> Likewise, an economy could grow slowly or contract, but could experience increasing prosperity if it sheds lower-value activities in the process.</w:t>
      </w:r>
      <w:r w:rsidR="00A329DE">
        <w:rPr>
          <w:rStyle w:val="EndnoteReference"/>
        </w:rPr>
        <w:endnoteReference w:id="61"/>
      </w:r>
    </w:p>
    <w:p w14:paraId="1FC2158D" w14:textId="77777777" w:rsidR="00A329DE" w:rsidRDefault="00A329DE" w:rsidP="000A0847">
      <w:pPr>
        <w:spacing w:after="0" w:line="240" w:lineRule="auto"/>
      </w:pPr>
    </w:p>
    <w:p w14:paraId="1DAB5DD0" w14:textId="46C969AB" w:rsidR="00EB395A" w:rsidRDefault="00EB395A" w:rsidP="000A0847">
      <w:pPr>
        <w:spacing w:after="0" w:line="240" w:lineRule="auto"/>
      </w:pPr>
      <w:r>
        <w:t xml:space="preserve">Increases in productivity, or the amount of GDP generated per job, contribute to local competitiveness and tend to drive long-term wage growth. In this regard, </w:t>
      </w:r>
      <w:r w:rsidR="00A329DE">
        <w:t>OICs</w:t>
      </w:r>
      <w:r>
        <w:t xml:space="preserve"> have tracked national trends over time, registering steady productivity gains in the 1980s, 1990s, and 2000s, but stalling since 2010. Even as urban and urban industrial counties eked out small productivity gains from 2010 to 2016, older industrial communities essentially flat-lined, suggesting no real improvement during the recovery in the average quality of their jobs. Average GDP per job in </w:t>
      </w:r>
      <w:r w:rsidR="00991CC1">
        <w:t>OICs</w:t>
      </w:r>
      <w:r>
        <w:t xml:space="preserve"> in 2016 was $111,000, below the $118,000 average across urban industrial counties. </w:t>
      </w:r>
    </w:p>
    <w:p w14:paraId="523AB0CE" w14:textId="77777777" w:rsidR="00EB395A" w:rsidRDefault="00EB395A" w:rsidP="000A0847">
      <w:pPr>
        <w:spacing w:after="0" w:line="240" w:lineRule="auto"/>
      </w:pPr>
    </w:p>
    <w:p w14:paraId="309DAA2D" w14:textId="7A8585D4" w:rsidR="00EB395A" w:rsidRDefault="00EB395A" w:rsidP="000A0847">
      <w:pPr>
        <w:spacing w:after="0" w:line="240" w:lineRule="auto"/>
      </w:pPr>
      <w:r>
        <w:t xml:space="preserve">The overall picture on per-capita income in </w:t>
      </w:r>
      <w:r w:rsidR="00A329DE">
        <w:t>OICs</w:t>
      </w:r>
      <w:r>
        <w:t xml:space="preserve"> is somewhat brighter, but only relative to the trend in other places. Average income per household member was $30,900 in older industrial counties in 2016, barely higher than the $30,000 figure in 1999. Urban and urban industrial counties also posted similarly modest increases in per-capita income over that time, though </w:t>
      </w:r>
      <w:r w:rsidR="00A329DE">
        <w:t xml:space="preserve">they </w:t>
      </w:r>
      <w:r w:rsidR="00337C72">
        <w:t>register</w:t>
      </w:r>
      <w:r>
        <w:t xml:space="preserve"> slightly higher averages than </w:t>
      </w:r>
      <w:r w:rsidR="00A329DE">
        <w:t xml:space="preserve">OICs </w:t>
      </w:r>
      <w:r>
        <w:t>on this measure in 2016.</w:t>
      </w:r>
    </w:p>
    <w:p w14:paraId="2B9643EF" w14:textId="55B89DD5" w:rsidR="00EB395A" w:rsidRDefault="00EB395A" w:rsidP="000A0847">
      <w:pPr>
        <w:spacing w:after="0" w:line="240" w:lineRule="auto"/>
      </w:pPr>
    </w:p>
    <w:p w14:paraId="268BCB86" w14:textId="362C3A3D" w:rsidR="00DC1651" w:rsidRDefault="00DC1651" w:rsidP="000A0847">
      <w:pPr>
        <w:spacing w:after="0" w:line="240" w:lineRule="auto"/>
      </w:pPr>
      <w:r>
        <w:t>[Figure 4.3—</w:t>
      </w:r>
      <w:r w:rsidR="0004772A">
        <w:t>OIC</w:t>
      </w:r>
      <w:r>
        <w:t xml:space="preserve"> economies are lagging on prosperity]</w:t>
      </w:r>
    </w:p>
    <w:p w14:paraId="68997250" w14:textId="77777777" w:rsidR="00EB395A" w:rsidRDefault="00EB395A" w:rsidP="000A0847">
      <w:pPr>
        <w:spacing w:after="0" w:line="240" w:lineRule="auto"/>
      </w:pPr>
    </w:p>
    <w:p w14:paraId="61C3634B" w14:textId="62FA69DF" w:rsidR="00EB395A" w:rsidRPr="005846E7" w:rsidRDefault="00EB395A" w:rsidP="000A0847">
      <w:pPr>
        <w:pStyle w:val="ListParagraph"/>
        <w:numPr>
          <w:ilvl w:val="0"/>
          <w:numId w:val="17"/>
        </w:numPr>
        <w:spacing w:after="0" w:line="240" w:lineRule="auto"/>
        <w:rPr>
          <w:b/>
          <w:sz w:val="24"/>
        </w:rPr>
      </w:pPr>
      <w:r w:rsidRPr="005846E7">
        <w:rPr>
          <w:b/>
          <w:sz w:val="24"/>
        </w:rPr>
        <w:t xml:space="preserve">Employment has rebounded, but incomes have not, in </w:t>
      </w:r>
      <w:r w:rsidR="00A329DE" w:rsidRPr="005846E7">
        <w:rPr>
          <w:b/>
          <w:sz w:val="24"/>
        </w:rPr>
        <w:t>OICs</w:t>
      </w:r>
    </w:p>
    <w:p w14:paraId="1FC5143B" w14:textId="77777777" w:rsidR="00EB395A" w:rsidRDefault="00EB395A" w:rsidP="000A0847">
      <w:pPr>
        <w:spacing w:after="0" w:line="240" w:lineRule="auto"/>
      </w:pPr>
    </w:p>
    <w:p w14:paraId="66A5E90F" w14:textId="43B54899" w:rsidR="00EB395A" w:rsidRDefault="00EB395A" w:rsidP="000A0847">
      <w:pPr>
        <w:spacing w:after="0" w:line="240" w:lineRule="auto"/>
      </w:pPr>
      <w:r>
        <w:t xml:space="preserve">Inclusion, a third economic success dimension, reflects how the benefits of growth and prosperity are distributed among individuals, particularly by income, race, and place. Growing inequality of all types in the U.S. economy in recent decades has made economic inclusion an increasingly central concern for public, private, and civic sector officials at all levels. </w:t>
      </w:r>
      <w:r w:rsidR="00337C72">
        <w:t xml:space="preserve"> The two measures here—the share of prime-age adults (25 to 64 years old) who are employed, and median household income—suggest the degree to which local economies are boosting participation for potentially marginalized workers, and delivering earnings gains that accrue to typical households and families.</w:t>
      </w:r>
    </w:p>
    <w:p w14:paraId="05EAC52F" w14:textId="77777777" w:rsidR="00EB395A" w:rsidRDefault="00EB395A" w:rsidP="000A0847">
      <w:pPr>
        <w:spacing w:after="0" w:line="240" w:lineRule="auto"/>
      </w:pPr>
    </w:p>
    <w:p w14:paraId="1A9B62A9" w14:textId="71AD6C5E" w:rsidR="00EB395A" w:rsidRDefault="00EB395A" w:rsidP="000A0847">
      <w:pPr>
        <w:spacing w:after="0" w:line="240" w:lineRule="auto"/>
      </w:pPr>
      <w:r>
        <w:t xml:space="preserve">On </w:t>
      </w:r>
      <w:r w:rsidR="00333777">
        <w:t>employment</w:t>
      </w:r>
      <w:r>
        <w:t xml:space="preserve">, </w:t>
      </w:r>
      <w:r w:rsidR="00A329DE">
        <w:t xml:space="preserve">OICs actually </w:t>
      </w:r>
      <w:r>
        <w:t>fare quite well. Notwithstanding their slower rates of job growth, 73.6 percent of prime-age adults in older industrial communities were employed in 2016, only slightly below the rate for urban industrial counties (74.6 percent</w:t>
      </w:r>
      <w:r w:rsidR="00333777">
        <w:t>)</w:t>
      </w:r>
      <w:r>
        <w:t xml:space="preserve">. </w:t>
      </w:r>
      <w:r w:rsidR="00333777">
        <w:t>Although this statistic masks important within-county disparities (see below), it implies that OICs overall provide employment opportunity roughly on par with that available in similar counties nationwide.</w:t>
      </w:r>
    </w:p>
    <w:p w14:paraId="5624A4EA" w14:textId="77777777" w:rsidR="00EB395A" w:rsidRDefault="00EB395A" w:rsidP="000A0847">
      <w:pPr>
        <w:spacing w:after="0" w:line="240" w:lineRule="auto"/>
      </w:pPr>
    </w:p>
    <w:p w14:paraId="56D795B3" w14:textId="54ABB4E1" w:rsidR="00EB395A" w:rsidRDefault="00EB395A" w:rsidP="000A0847">
      <w:pPr>
        <w:spacing w:after="0" w:line="240" w:lineRule="auto"/>
      </w:pPr>
      <w:r>
        <w:t xml:space="preserve">Despite their near-parity with other types of communities on employment, incomes in older industrial counties remain lower. The median </w:t>
      </w:r>
      <w:r w:rsidR="00A329DE">
        <w:t xml:space="preserve">OIC </w:t>
      </w:r>
      <w:r>
        <w:t xml:space="preserve">household earned $54,000 in 2016, roughly $6,000 below equivalent figures for urban and urban industrial counties. That gap widened in the 2000s, as incomes fell faster in older industrial counties, and in the 2010s, as their incomes recovered somewhat more slowly. The decline of manufacturing employment in these communities, followed by weak productivity growth post-recession, seems to have held back progress on incomes even as employment rebounded. </w:t>
      </w:r>
    </w:p>
    <w:p w14:paraId="2796D510" w14:textId="66793FF2" w:rsidR="00EB395A" w:rsidRDefault="00EB395A" w:rsidP="000A0847">
      <w:pPr>
        <w:spacing w:after="0" w:line="240" w:lineRule="auto"/>
      </w:pPr>
    </w:p>
    <w:p w14:paraId="54971AC1" w14:textId="7894C4A3" w:rsidR="00DC1651" w:rsidRDefault="00DC1651" w:rsidP="000A0847">
      <w:pPr>
        <w:spacing w:after="0" w:line="240" w:lineRule="auto"/>
      </w:pPr>
      <w:r>
        <w:t>[Figure 4.4—</w:t>
      </w:r>
      <w:r w:rsidR="0004772A">
        <w:t>OIC</w:t>
      </w:r>
      <w:r>
        <w:t xml:space="preserve"> economies are rebounding on employment but not income]</w:t>
      </w:r>
    </w:p>
    <w:p w14:paraId="616724E4" w14:textId="2A004308" w:rsidR="00216D62" w:rsidRDefault="00216D62" w:rsidP="000A0847">
      <w:pPr>
        <w:spacing w:after="0" w:line="240" w:lineRule="auto"/>
        <w:rPr>
          <w:b/>
        </w:rPr>
      </w:pPr>
    </w:p>
    <w:p w14:paraId="1657765E" w14:textId="2000A5DC" w:rsidR="00EB395A" w:rsidRPr="005846E7" w:rsidRDefault="005D52E5" w:rsidP="000A0847">
      <w:pPr>
        <w:pStyle w:val="ListParagraph"/>
        <w:numPr>
          <w:ilvl w:val="0"/>
          <w:numId w:val="18"/>
        </w:numPr>
        <w:spacing w:after="0" w:line="240" w:lineRule="auto"/>
        <w:rPr>
          <w:b/>
          <w:sz w:val="24"/>
        </w:rPr>
      </w:pPr>
      <w:r w:rsidRPr="005846E7">
        <w:rPr>
          <w:b/>
          <w:sz w:val="24"/>
        </w:rPr>
        <w:t>Inclusion o</w:t>
      </w:r>
      <w:r w:rsidR="00EB395A" w:rsidRPr="005846E7">
        <w:rPr>
          <w:b/>
          <w:sz w:val="24"/>
        </w:rPr>
        <w:t xml:space="preserve">utcomes </w:t>
      </w:r>
      <w:r w:rsidRPr="005846E7">
        <w:rPr>
          <w:b/>
          <w:sz w:val="24"/>
        </w:rPr>
        <w:t xml:space="preserve">in OICs </w:t>
      </w:r>
      <w:r w:rsidR="00EB395A" w:rsidRPr="005846E7">
        <w:rPr>
          <w:b/>
          <w:sz w:val="24"/>
        </w:rPr>
        <w:t>differ grea</w:t>
      </w:r>
      <w:r w:rsidRPr="005846E7">
        <w:rPr>
          <w:b/>
          <w:sz w:val="24"/>
        </w:rPr>
        <w:t>tly by race</w:t>
      </w:r>
    </w:p>
    <w:p w14:paraId="3464AA8C" w14:textId="77777777" w:rsidR="00EB395A" w:rsidRPr="00CE6F32" w:rsidRDefault="00EB395A" w:rsidP="000A0847">
      <w:pPr>
        <w:spacing w:after="0" w:line="240" w:lineRule="auto"/>
        <w:rPr>
          <w:i/>
        </w:rPr>
      </w:pPr>
    </w:p>
    <w:p w14:paraId="14EF91C2" w14:textId="48F73F3E" w:rsidR="00EB395A" w:rsidRDefault="00EB395A" w:rsidP="000A0847">
      <w:pPr>
        <w:spacing w:after="0" w:line="240" w:lineRule="auto"/>
      </w:pPr>
      <w:r>
        <w:t>These overall inclusion measures mask stark variations by race that characterize older industrial communities more than other urban places:</w:t>
      </w:r>
    </w:p>
    <w:p w14:paraId="45B76B3C" w14:textId="77777777" w:rsidR="00EB395A" w:rsidRDefault="00EB395A" w:rsidP="000A0847">
      <w:pPr>
        <w:spacing w:after="0" w:line="240" w:lineRule="auto"/>
      </w:pPr>
    </w:p>
    <w:p w14:paraId="2899B9A3" w14:textId="5560DFB7" w:rsidR="00EB395A" w:rsidRDefault="00EB395A" w:rsidP="000A0847">
      <w:pPr>
        <w:pStyle w:val="ListParagraph"/>
        <w:numPr>
          <w:ilvl w:val="0"/>
          <w:numId w:val="11"/>
        </w:numPr>
        <w:spacing w:after="0" w:line="240" w:lineRule="auto"/>
      </w:pPr>
      <w:r>
        <w:t xml:space="preserve">On employment, white prime-age adults in </w:t>
      </w:r>
      <w:r w:rsidR="00A329DE">
        <w:t xml:space="preserve">OICs </w:t>
      </w:r>
      <w:r>
        <w:t xml:space="preserve">are just as likely to be in work as their counterparts in other urban counties (and more likely than white Americans overall). Adults of color, on the other hand, are </w:t>
      </w:r>
      <w:r w:rsidRPr="005D2D41">
        <w:rPr>
          <w:i/>
        </w:rPr>
        <w:t>less</w:t>
      </w:r>
      <w:r>
        <w:t xml:space="preserve"> likely than those in other types of counties to be working, by a gap of nearly three percentage points. </w:t>
      </w:r>
    </w:p>
    <w:p w14:paraId="2C7357B7" w14:textId="03BCC7A0" w:rsidR="00EB395A" w:rsidRDefault="00EB395A" w:rsidP="000A0847">
      <w:pPr>
        <w:spacing w:after="0" w:line="240" w:lineRule="auto"/>
      </w:pPr>
    </w:p>
    <w:p w14:paraId="7C42FD18" w14:textId="33C4E258" w:rsidR="003124FC" w:rsidRDefault="003124FC" w:rsidP="000A0847">
      <w:pPr>
        <w:spacing w:after="0" w:line="240" w:lineRule="auto"/>
      </w:pPr>
      <w:r>
        <w:t xml:space="preserve">[Figure 4.5—Employment patterns in </w:t>
      </w:r>
      <w:r w:rsidR="0004772A">
        <w:t>OICs</w:t>
      </w:r>
      <w:r>
        <w:t xml:space="preserve"> exhibit a racial divide]</w:t>
      </w:r>
    </w:p>
    <w:p w14:paraId="6822ACE4" w14:textId="77777777" w:rsidR="00EB395A" w:rsidRDefault="00EB395A" w:rsidP="000A0847">
      <w:pPr>
        <w:pStyle w:val="ListParagraph"/>
        <w:spacing w:after="0" w:line="240" w:lineRule="auto"/>
      </w:pPr>
    </w:p>
    <w:p w14:paraId="154FA589" w14:textId="22564414" w:rsidR="00EB395A" w:rsidRDefault="00EB395A" w:rsidP="000A0847">
      <w:pPr>
        <w:pStyle w:val="ListParagraph"/>
        <w:numPr>
          <w:ilvl w:val="0"/>
          <w:numId w:val="11"/>
        </w:numPr>
        <w:spacing w:after="0" w:line="240" w:lineRule="auto"/>
      </w:pPr>
      <w:r>
        <w:t xml:space="preserve">On income, both white and non-white </w:t>
      </w:r>
      <w:r w:rsidR="00DC234A">
        <w:t xml:space="preserve">OIC </w:t>
      </w:r>
      <w:r>
        <w:t xml:space="preserve">households have lower median incomes than their counterparts in urban counties overall. But the gap for households of color (nearly $8,000 in 2016) is larger than for white households (nearly $5,000). Moreover, the gap is closing for whites, but widening for non-whites. White median household income in </w:t>
      </w:r>
      <w:r w:rsidR="00DC234A">
        <w:t xml:space="preserve">OICs </w:t>
      </w:r>
      <w:r>
        <w:t xml:space="preserve">rose 7 percent from 2010 to 2016, slightly faster than in urban counties overall. At the same time, median income for households of color in </w:t>
      </w:r>
      <w:r w:rsidR="00DC234A">
        <w:t xml:space="preserve">OICs </w:t>
      </w:r>
      <w:r>
        <w:t>rose less than 5 percent, below the growth experienced by those households in urban counties.</w:t>
      </w:r>
    </w:p>
    <w:p w14:paraId="2B8E322B" w14:textId="3189982B" w:rsidR="00EB395A" w:rsidRDefault="00EB395A" w:rsidP="000A0847">
      <w:pPr>
        <w:spacing w:after="0" w:line="240" w:lineRule="auto"/>
      </w:pPr>
    </w:p>
    <w:p w14:paraId="7E363D47" w14:textId="71038FF3" w:rsidR="00EB395A" w:rsidRDefault="00DC234A" w:rsidP="000A0847">
      <w:pPr>
        <w:spacing w:after="0" w:line="240" w:lineRule="auto"/>
      </w:pPr>
      <w:r>
        <w:t>OICs</w:t>
      </w:r>
      <w:r w:rsidR="00EB395A">
        <w:t xml:space="preserve"> also exhibit significant economic inclusion disparities by place:</w:t>
      </w:r>
    </w:p>
    <w:p w14:paraId="01D9D4F1" w14:textId="77777777" w:rsidR="00EB395A" w:rsidRDefault="00EB395A" w:rsidP="000A0847">
      <w:pPr>
        <w:spacing w:after="0" w:line="240" w:lineRule="auto"/>
      </w:pPr>
    </w:p>
    <w:p w14:paraId="1CCAD6AD" w14:textId="2E328DC3" w:rsidR="00EB395A" w:rsidRDefault="00924F05" w:rsidP="000A0847">
      <w:pPr>
        <w:pStyle w:val="ListParagraph"/>
        <w:numPr>
          <w:ilvl w:val="0"/>
          <w:numId w:val="12"/>
        </w:numPr>
        <w:spacing w:after="0" w:line="240" w:lineRule="auto"/>
      </w:pPr>
      <w:r>
        <w:t>C</w:t>
      </w:r>
      <w:r w:rsidR="00EB395A">
        <w:t xml:space="preserve">oncentrated poverty </w:t>
      </w:r>
      <w:r>
        <w:t xml:space="preserve">is more prevalent </w:t>
      </w:r>
      <w:r w:rsidR="00EB395A">
        <w:t xml:space="preserve">in older industrial counties. In 2012-16, nearly one in </w:t>
      </w:r>
      <w:r>
        <w:t xml:space="preserve">12 </w:t>
      </w:r>
      <w:r w:rsidR="00EB395A">
        <w:t xml:space="preserve">individuals in </w:t>
      </w:r>
      <w:r w:rsidR="00991CC1">
        <w:t>OICs</w:t>
      </w:r>
      <w:r w:rsidR="00EB395A">
        <w:t xml:space="preserve"> (and one in </w:t>
      </w:r>
      <w:r>
        <w:t xml:space="preserve">four poor </w:t>
      </w:r>
      <w:r w:rsidR="00EB395A">
        <w:t>residents) lived in a neighborhood where the poverty rate exceeded 40 percent, far higher than in urban counties overall.</w:t>
      </w:r>
      <w:r w:rsidR="00DC234A">
        <w:rPr>
          <w:rStyle w:val="EndnoteReference"/>
        </w:rPr>
        <w:endnoteReference w:id="62"/>
      </w:r>
      <w:r w:rsidR="00EB395A">
        <w:t xml:space="preserve"> Moreover, the gap between older industrial and urban counties on concentrated poverty widened significantly since 2000, meaning that even more low-income individuals in these communities must grapple with not only their own economic challenges, but also the challenges of those around them.</w:t>
      </w:r>
    </w:p>
    <w:p w14:paraId="71496716" w14:textId="78FAAFCC" w:rsidR="003124FC" w:rsidRDefault="003124FC" w:rsidP="000A0847">
      <w:pPr>
        <w:pStyle w:val="ListParagraph"/>
        <w:spacing w:after="0" w:line="240" w:lineRule="auto"/>
        <w:ind w:left="765"/>
      </w:pPr>
    </w:p>
    <w:p w14:paraId="443730C7" w14:textId="1E742B32" w:rsidR="003124FC" w:rsidRDefault="003124FC" w:rsidP="000A0847">
      <w:pPr>
        <w:spacing w:after="0" w:line="240" w:lineRule="auto"/>
      </w:pPr>
      <w:r>
        <w:t xml:space="preserve">[Figure 4.6—Concentrated poverty </w:t>
      </w:r>
      <w:r w:rsidR="0004772A">
        <w:t>rose</w:t>
      </w:r>
      <w:r>
        <w:t xml:space="preserve"> everywhere, but especially in </w:t>
      </w:r>
      <w:r w:rsidR="0004772A">
        <w:t>OICs</w:t>
      </w:r>
      <w:r>
        <w:t>]</w:t>
      </w:r>
    </w:p>
    <w:p w14:paraId="2C9A7C60" w14:textId="77777777" w:rsidR="00EB395A" w:rsidRDefault="00EB395A" w:rsidP="000A0847">
      <w:pPr>
        <w:pStyle w:val="ListParagraph"/>
        <w:spacing w:after="0" w:line="240" w:lineRule="auto"/>
        <w:ind w:left="765"/>
      </w:pPr>
    </w:p>
    <w:p w14:paraId="3DA22AF8" w14:textId="4312C892" w:rsidR="00EB395A" w:rsidRDefault="00EB395A" w:rsidP="000A0847">
      <w:pPr>
        <w:pStyle w:val="ListParagraph"/>
        <w:numPr>
          <w:ilvl w:val="0"/>
          <w:numId w:val="12"/>
        </w:numPr>
        <w:spacing w:after="0" w:line="240" w:lineRule="auto"/>
      </w:pPr>
      <w:r>
        <w:t xml:space="preserve">This segregation occurs not only among the poor in </w:t>
      </w:r>
      <w:r w:rsidR="00991CC1">
        <w:t>OICs</w:t>
      </w:r>
      <w:r>
        <w:t xml:space="preserve">, but also among the well-off. Higher shares of the population in older industrial counties live in low-income </w:t>
      </w:r>
      <w:r w:rsidR="00EB651A">
        <w:rPr>
          <w:i/>
        </w:rPr>
        <w:t>or</w:t>
      </w:r>
      <w:r>
        <w:rPr>
          <w:i/>
        </w:rPr>
        <w:t xml:space="preserve"> </w:t>
      </w:r>
      <w:r>
        <w:t>high-income communities (32 percent) than in urban counties (27 percent) or urban industrial counties (24 percent). By effectively limiting access to well-resourced schools and exposure to diverse environments, this higher degree of economic segregation may create barriers to upward mobility and frustrate efforts to rebuild a stronger middle class.</w:t>
      </w:r>
    </w:p>
    <w:p w14:paraId="1157397F" w14:textId="12C118C8" w:rsidR="00EB395A" w:rsidRDefault="00EB395A" w:rsidP="000A0847">
      <w:pPr>
        <w:spacing w:after="0" w:line="240" w:lineRule="auto"/>
      </w:pPr>
    </w:p>
    <w:p w14:paraId="14E07AD7" w14:textId="5A80B8CD" w:rsidR="003124FC" w:rsidRDefault="003124FC" w:rsidP="000A0847">
      <w:pPr>
        <w:spacing w:after="0" w:line="240" w:lineRule="auto"/>
      </w:pPr>
      <w:r>
        <w:t>[Figure 4.7—</w:t>
      </w:r>
      <w:r w:rsidR="0004772A">
        <w:t>OICs</w:t>
      </w:r>
      <w:r>
        <w:t xml:space="preserve"> also exhibit greater economic segregation]</w:t>
      </w:r>
    </w:p>
    <w:p w14:paraId="0FBF18F2" w14:textId="77777777" w:rsidR="003124FC" w:rsidRDefault="003124FC" w:rsidP="000A0847">
      <w:pPr>
        <w:spacing w:after="0" w:line="240" w:lineRule="auto"/>
      </w:pPr>
    </w:p>
    <w:p w14:paraId="5A4588F6" w14:textId="121D5DB9" w:rsidR="00EB395A" w:rsidRDefault="00EB395A" w:rsidP="000A0847">
      <w:pPr>
        <w:spacing w:after="0" w:line="240" w:lineRule="auto"/>
      </w:pPr>
      <w:r>
        <w:t xml:space="preserve">These place-oriented disparities in older industrial communities relate very directly to the racial disparities described above. </w:t>
      </w:r>
      <w:r w:rsidR="006C3BE2">
        <w:t>OICs</w:t>
      </w:r>
      <w:r>
        <w:t xml:space="preserve"> exhibit higher levels of racial segregation, particularly between blacks and whites, than urban counties</w:t>
      </w:r>
      <w:r w:rsidR="00991CC1">
        <w:t xml:space="preserve"> (see next chapter)</w:t>
      </w:r>
      <w:r>
        <w:t xml:space="preserve">. </w:t>
      </w:r>
    </w:p>
    <w:p w14:paraId="38A43EAD" w14:textId="77777777" w:rsidR="00EB395A" w:rsidRDefault="00EB395A" w:rsidP="000A0847">
      <w:pPr>
        <w:spacing w:after="0" w:line="240" w:lineRule="auto"/>
      </w:pPr>
    </w:p>
    <w:p w14:paraId="10054F9D" w14:textId="32BF0CA0" w:rsidR="00EB395A" w:rsidRDefault="00EB395A" w:rsidP="000A0847">
      <w:pPr>
        <w:spacing w:after="0" w:line="240" w:lineRule="auto"/>
      </w:pPr>
      <w:r>
        <w:t xml:space="preserve">In sum, </w:t>
      </w:r>
      <w:r w:rsidR="006C3BE2">
        <w:t>OICs’</w:t>
      </w:r>
      <w:r>
        <w:t xml:space="preserve"> lagging performance on household income, their stark and widening </w:t>
      </w:r>
      <w:r w:rsidR="006C3BE2">
        <w:t xml:space="preserve">economic </w:t>
      </w:r>
      <w:r>
        <w:t xml:space="preserve">disparities by race, and their higher levels of racial and economic segregation and concentrated poverty are inextricably linked. In many ways, the pathway to more inclusive economic growth in these (and many other) urban areas </w:t>
      </w:r>
      <w:r w:rsidR="0053245D">
        <w:t xml:space="preserve">depends on expanding </w:t>
      </w:r>
      <w:r>
        <w:t>economic opportunity for people and neighborhoods of color.</w:t>
      </w:r>
    </w:p>
    <w:p w14:paraId="36CBE891" w14:textId="77777777" w:rsidR="00EB395A" w:rsidRDefault="00EB395A" w:rsidP="000A0847">
      <w:pPr>
        <w:spacing w:after="0" w:line="240" w:lineRule="auto"/>
      </w:pPr>
    </w:p>
    <w:p w14:paraId="623FCB75" w14:textId="442337D0" w:rsidR="00EB395A" w:rsidRPr="005846E7" w:rsidRDefault="00EB395A" w:rsidP="000A0847">
      <w:pPr>
        <w:pStyle w:val="ListParagraph"/>
        <w:numPr>
          <w:ilvl w:val="0"/>
          <w:numId w:val="19"/>
        </w:numPr>
        <w:spacing w:after="0" w:line="240" w:lineRule="auto"/>
        <w:rPr>
          <w:b/>
          <w:sz w:val="24"/>
        </w:rPr>
      </w:pPr>
      <w:r w:rsidRPr="005846E7">
        <w:rPr>
          <w:b/>
          <w:sz w:val="24"/>
        </w:rPr>
        <w:t xml:space="preserve">A typology of </w:t>
      </w:r>
      <w:r w:rsidR="00762B7E" w:rsidRPr="005846E7">
        <w:rPr>
          <w:b/>
          <w:sz w:val="24"/>
        </w:rPr>
        <w:t>OICs</w:t>
      </w:r>
      <w:r w:rsidRPr="005846E7">
        <w:rPr>
          <w:b/>
          <w:sz w:val="24"/>
        </w:rPr>
        <w:t xml:space="preserve"> reflects their economic performance</w:t>
      </w:r>
    </w:p>
    <w:p w14:paraId="446D1FD8" w14:textId="77777777" w:rsidR="00EB395A" w:rsidRDefault="00EB395A" w:rsidP="000A0847">
      <w:pPr>
        <w:spacing w:after="0" w:line="240" w:lineRule="auto"/>
      </w:pPr>
    </w:p>
    <w:p w14:paraId="296B813B" w14:textId="77777777" w:rsidR="00EB395A" w:rsidRDefault="00EB395A" w:rsidP="000A0847">
      <w:pPr>
        <w:spacing w:after="0" w:line="240" w:lineRule="auto"/>
      </w:pPr>
      <w:r>
        <w:t xml:space="preserve">While older industrial communities overall face clear deficits in their metrics of economic well-being, those measures risk painting these places with somewhat too broad a brush. Notwithstanding similarities in their economic heritage and long-term transition struggles, Worcester, Mass. is not Waterloo, Iowa. Battle Creek, Mich. is not Baltimore, Md. </w:t>
      </w:r>
    </w:p>
    <w:p w14:paraId="1C496D28" w14:textId="77777777" w:rsidR="00EB395A" w:rsidRDefault="00EB395A" w:rsidP="000A0847">
      <w:pPr>
        <w:spacing w:after="0" w:line="240" w:lineRule="auto"/>
      </w:pPr>
    </w:p>
    <w:p w14:paraId="262936B0" w14:textId="77777777" w:rsidR="008E2E9B" w:rsidRDefault="008E2E9B" w:rsidP="000A0847">
      <w:pPr>
        <w:spacing w:after="0" w:line="240" w:lineRule="auto"/>
      </w:pPr>
      <w:r>
        <w:t xml:space="preserve">In light of that, we develop a typology of </w:t>
      </w:r>
      <w:r w:rsidR="00EB395A">
        <w:t xml:space="preserve">the 70 </w:t>
      </w:r>
      <w:r w:rsidR="00762B7E">
        <w:t>OICs</w:t>
      </w:r>
      <w:r w:rsidR="00EB395A">
        <w:t xml:space="preserve"> based on their medium-run economic performance</w:t>
      </w:r>
      <w:r w:rsidR="005007E9">
        <w:t>.</w:t>
      </w:r>
      <w:r w:rsidR="00EB395A">
        <w:t xml:space="preserve"> </w:t>
      </w:r>
      <w:r w:rsidR="005007E9">
        <w:t>The typology</w:t>
      </w:r>
      <w:r w:rsidR="00EB395A">
        <w:t xml:space="preserve">, in turn, informs how we analyze their underlying economic assets and challenges, </w:t>
      </w:r>
      <w:r w:rsidR="005007E9">
        <w:t xml:space="preserve">and pinpoints factors that might matter more </w:t>
      </w:r>
      <w:r w:rsidR="00EB395A">
        <w:t xml:space="preserve">for advancing their future economic success. </w:t>
      </w:r>
      <w:r>
        <w:t>W</w:t>
      </w:r>
      <w:r w:rsidR="00EB395A">
        <w:t>e score 360 urban counties on the seven growth, prosperity, and inclusion indicators described above, measured from 2000 to 2016, and develop a combined index of their performance.</w:t>
      </w:r>
      <w:r w:rsidR="008664A4">
        <w:rPr>
          <w:rStyle w:val="EndnoteReference"/>
        </w:rPr>
        <w:endnoteReference w:id="63"/>
      </w:r>
      <w:r w:rsidR="00EB395A">
        <w:t xml:space="preserve"> </w:t>
      </w:r>
    </w:p>
    <w:p w14:paraId="2EFBDE2D" w14:textId="77777777" w:rsidR="008E2E9B" w:rsidRDefault="008E2E9B" w:rsidP="000A0847">
      <w:pPr>
        <w:spacing w:after="0" w:line="240" w:lineRule="auto"/>
      </w:pPr>
    </w:p>
    <w:p w14:paraId="34B33958" w14:textId="3EDC992C" w:rsidR="00EB395A" w:rsidRDefault="008E2E9B" w:rsidP="000A0847">
      <w:pPr>
        <w:spacing w:after="0" w:line="240" w:lineRule="auto"/>
      </w:pPr>
      <w:r>
        <w:t xml:space="preserve">The index reflects that on average, older industrial counties lag other counties on economic performance. </w:t>
      </w:r>
      <w:r w:rsidR="00EB395A">
        <w:t xml:space="preserve">The average </w:t>
      </w:r>
      <w:r>
        <w:t xml:space="preserve">OIC </w:t>
      </w:r>
      <w:r w:rsidR="00EB395A">
        <w:t xml:space="preserve">ranks 246 </w:t>
      </w:r>
      <w:r>
        <w:t xml:space="preserve">out of 360 counties </w:t>
      </w:r>
      <w:r w:rsidR="00EB395A">
        <w:t xml:space="preserve">on this index, compared to 204 for the average urban industrial county. </w:t>
      </w:r>
      <w:r>
        <w:t xml:space="preserve">Although </w:t>
      </w:r>
      <w:r w:rsidR="00EB395A">
        <w:t xml:space="preserve">they cluster toward the bottom, </w:t>
      </w:r>
      <w:r w:rsidR="00762B7E">
        <w:t>OICs</w:t>
      </w:r>
      <w:r w:rsidR="00EB395A">
        <w:t xml:space="preserve"> appear throughout the index distribution, including seven </w:t>
      </w:r>
      <w:r>
        <w:t xml:space="preserve">that place </w:t>
      </w:r>
      <w:r w:rsidR="00EB395A">
        <w:t xml:space="preserve">within the top </w:t>
      </w:r>
      <w:r>
        <w:t xml:space="preserve">25 percent </w:t>
      </w:r>
      <w:r w:rsidR="00EB395A">
        <w:t>of all urban counties.</w:t>
      </w:r>
    </w:p>
    <w:p w14:paraId="5AABC6E6" w14:textId="08829DDE" w:rsidR="00EB395A" w:rsidRDefault="00EB395A" w:rsidP="000A0847">
      <w:pPr>
        <w:spacing w:after="0" w:line="240" w:lineRule="auto"/>
      </w:pPr>
    </w:p>
    <w:p w14:paraId="15EF0D44" w14:textId="211366EB" w:rsidR="003124FC" w:rsidRDefault="003124FC" w:rsidP="000A0847">
      <w:pPr>
        <w:spacing w:after="0" w:line="240" w:lineRule="auto"/>
      </w:pPr>
      <w:r>
        <w:t>[Figure 4.8—</w:t>
      </w:r>
      <w:r w:rsidR="00CE76CC">
        <w:t>OICs</w:t>
      </w:r>
      <w:r>
        <w:t xml:space="preserve"> vary in their performance on growth, prosperity, and inclusion]</w:t>
      </w:r>
    </w:p>
    <w:p w14:paraId="0AFA4EE8" w14:textId="77777777" w:rsidR="00EB395A" w:rsidRDefault="00EB395A" w:rsidP="000A0847">
      <w:pPr>
        <w:spacing w:after="0" w:line="240" w:lineRule="auto"/>
      </w:pPr>
    </w:p>
    <w:p w14:paraId="358B3A8C" w14:textId="4BFE8361" w:rsidR="00EB395A" w:rsidRDefault="00EB395A" w:rsidP="000A0847">
      <w:pPr>
        <w:spacing w:after="0" w:line="240" w:lineRule="auto"/>
      </w:pPr>
      <w:r>
        <w:t xml:space="preserve">Based on their index scores, we identify four groups of </w:t>
      </w:r>
      <w:r w:rsidR="00762B7E">
        <w:t>OICs</w:t>
      </w:r>
      <w:r>
        <w:t xml:space="preserve"> that exhibit different levels of economic success over the past decade and a half:</w:t>
      </w:r>
      <w:r w:rsidR="00EB651A">
        <w:rPr>
          <w:rStyle w:val="EndnoteReference"/>
        </w:rPr>
        <w:endnoteReference w:id="64"/>
      </w:r>
    </w:p>
    <w:p w14:paraId="3951D88A" w14:textId="77777777" w:rsidR="00EB395A" w:rsidRDefault="00EB395A" w:rsidP="000A0847">
      <w:pPr>
        <w:spacing w:after="0" w:line="240" w:lineRule="auto"/>
      </w:pPr>
    </w:p>
    <w:p w14:paraId="13ECEB25" w14:textId="46F612A6" w:rsidR="00EB395A" w:rsidRDefault="00EB395A" w:rsidP="000A0847">
      <w:pPr>
        <w:pStyle w:val="ListParagraph"/>
        <w:numPr>
          <w:ilvl w:val="0"/>
          <w:numId w:val="13"/>
        </w:numPr>
        <w:spacing w:after="0" w:line="240" w:lineRule="auto"/>
      </w:pPr>
      <w:r w:rsidRPr="00E444F1">
        <w:rPr>
          <w:b/>
        </w:rPr>
        <w:t>Strong</w:t>
      </w:r>
      <w:r>
        <w:t xml:space="preserve"> </w:t>
      </w:r>
      <w:r w:rsidR="00991CC1">
        <w:t>OICs</w:t>
      </w:r>
      <w:r>
        <w:t xml:space="preserve"> rank among the top half of all urban counties on the performance index. While most of these 16 counties are not growing particularly rapidly, they tend to achieve high marks on prosperity and inclusion, suggesting that the economic well-being of their existing residents is improving over time. Most of these counties cluster along the eastern seaboard, including those in New York City (Brooklyn and Queens), and within the orbit of Boston (Bristol, Essex, Norfolk, and Worcester counties) and Philadelphia (including the city itself, </w:t>
      </w:r>
      <w:r w:rsidR="00EB651A">
        <w:t>and the counties surround</w:t>
      </w:r>
      <w:r w:rsidR="00991CC1">
        <w:t>ing</w:t>
      </w:r>
      <w:r w:rsidR="00EB651A">
        <w:t xml:space="preserve"> Bethlehem, Pa. and Trenton, N.J.</w:t>
      </w:r>
      <w:r>
        <w:t xml:space="preserve">). Buffalo, St. Louis, and Waterloo, Iowa </w:t>
      </w:r>
      <w:r w:rsidR="00991CC1">
        <w:t>are</w:t>
      </w:r>
      <w:r>
        <w:t xml:space="preserve"> strong performers in the interior.</w:t>
      </w:r>
    </w:p>
    <w:p w14:paraId="0305A916" w14:textId="77777777" w:rsidR="00EB395A" w:rsidRDefault="00EB395A" w:rsidP="000A0847">
      <w:pPr>
        <w:pStyle w:val="ListParagraph"/>
        <w:spacing w:after="0" w:line="240" w:lineRule="auto"/>
      </w:pPr>
    </w:p>
    <w:p w14:paraId="0B345EC7" w14:textId="2FD3C3D3" w:rsidR="00EB395A" w:rsidRDefault="00EB395A" w:rsidP="000A0847">
      <w:pPr>
        <w:pStyle w:val="ListParagraph"/>
        <w:numPr>
          <w:ilvl w:val="0"/>
          <w:numId w:val="13"/>
        </w:numPr>
        <w:spacing w:after="0" w:line="240" w:lineRule="auto"/>
      </w:pPr>
      <w:r>
        <w:rPr>
          <w:b/>
        </w:rPr>
        <w:t>Emerging</w:t>
      </w:r>
      <w:r>
        <w:t xml:space="preserve"> </w:t>
      </w:r>
      <w:r w:rsidR="00991CC1">
        <w:t>OICs</w:t>
      </w:r>
      <w:r>
        <w:t xml:space="preserve"> include a regionally diverse group of 24 counties that, while also growing relatively slowly, manage average marks among all urban counties on prosperity and inclusion. Many of these </w:t>
      </w:r>
      <w:r w:rsidR="00EB651A">
        <w:t>also locate near the east coast</w:t>
      </w:r>
      <w:r>
        <w:t xml:space="preserve"> in southern New England, upstate New York, New Jersey, and eastern Pennsylvania. </w:t>
      </w:r>
      <w:r w:rsidR="00EB651A">
        <w:t xml:space="preserve">Among emerging OICs, </w:t>
      </w:r>
      <w:r>
        <w:t xml:space="preserve">Louisville, Milwaukee, St. Paul, and Cincinnati in the Midwest, and Birmingham in the South, are all bouncing back strongly from a difficult 2000s decade. </w:t>
      </w:r>
    </w:p>
    <w:p w14:paraId="7324AB18" w14:textId="77777777" w:rsidR="00EB395A" w:rsidRDefault="00EB395A" w:rsidP="000A0847">
      <w:pPr>
        <w:pStyle w:val="ListParagraph"/>
        <w:spacing w:after="0" w:line="240" w:lineRule="auto"/>
      </w:pPr>
    </w:p>
    <w:p w14:paraId="60C4AE65" w14:textId="41BF07EF" w:rsidR="00EB395A" w:rsidRDefault="00EB395A" w:rsidP="000A0847">
      <w:pPr>
        <w:pStyle w:val="ListParagraph"/>
        <w:numPr>
          <w:ilvl w:val="0"/>
          <w:numId w:val="13"/>
        </w:numPr>
        <w:spacing w:after="0" w:line="240" w:lineRule="auto"/>
      </w:pPr>
      <w:r>
        <w:rPr>
          <w:b/>
        </w:rPr>
        <w:t xml:space="preserve">Stabilizing </w:t>
      </w:r>
      <w:r w:rsidR="00991CC1">
        <w:t>OICs</w:t>
      </w:r>
      <w:r>
        <w:t xml:space="preserve"> </w:t>
      </w:r>
      <w:r w:rsidR="00E60A13">
        <w:t xml:space="preserve">generally rank among the bottom third of all counties on measures of growth, prosperity, and inclusion. </w:t>
      </w:r>
      <w:r w:rsidR="00991CC1">
        <w:t xml:space="preserve">Among the 16 are </w:t>
      </w:r>
      <w:r>
        <w:t xml:space="preserve">a number of small-to-midsized markets in Ohio, Indiana, and Michigan (along with a couple large ones </w:t>
      </w:r>
      <w:r w:rsidR="00B3049F">
        <w:t>such as</w:t>
      </w:r>
      <w:r>
        <w:t xml:space="preserve"> Cleveland and Indianapolis) negatively affected by the manu</w:t>
      </w:r>
      <w:r w:rsidR="00E60A13">
        <w:t>facturing downturn of the 2000s</w:t>
      </w:r>
      <w:r>
        <w:t xml:space="preserve"> that are beginning to regain their footing</w:t>
      </w:r>
      <w:r w:rsidR="00E60A13">
        <w:t>,</w:t>
      </w:r>
      <w:r>
        <w:t xml:space="preserve"> </w:t>
      </w:r>
      <w:r w:rsidR="00E60A13">
        <w:t xml:space="preserve">yet </w:t>
      </w:r>
      <w:r>
        <w:t>still struggling to ensure wider prosperity. Compared to 2000, nearly all of these counties today have fewer jobs, lower incomes, and lower rates of employment, though most remain within shouting distance of those previous peaks.</w:t>
      </w:r>
    </w:p>
    <w:p w14:paraId="74633EF7" w14:textId="77777777" w:rsidR="00EB395A" w:rsidRDefault="00EB395A" w:rsidP="000A0847">
      <w:pPr>
        <w:pStyle w:val="ListParagraph"/>
        <w:spacing w:after="0" w:line="240" w:lineRule="auto"/>
      </w:pPr>
    </w:p>
    <w:p w14:paraId="1E73879D" w14:textId="4B3CB7CF" w:rsidR="00EB395A" w:rsidRPr="00E33F8D" w:rsidRDefault="00EB395A" w:rsidP="000A0847">
      <w:pPr>
        <w:pStyle w:val="ListParagraph"/>
        <w:numPr>
          <w:ilvl w:val="0"/>
          <w:numId w:val="13"/>
        </w:numPr>
        <w:spacing w:after="0" w:line="240" w:lineRule="auto"/>
        <w:rPr>
          <w:b/>
        </w:rPr>
      </w:pPr>
      <w:r>
        <w:rPr>
          <w:b/>
        </w:rPr>
        <w:t xml:space="preserve">Vulnerable </w:t>
      </w:r>
      <w:r w:rsidR="00991CC1">
        <w:t>OICs</w:t>
      </w:r>
      <w:r>
        <w:t>, 14 in all, rank among the bottom 5 percent of all urban counties on the performance index, and in the bottom quartile in each of the index’s three dimensions (growth, prosperity, inclusion). Detroit (Wayne County) is the only large older</w:t>
      </w:r>
      <w:r w:rsidR="00B3049F">
        <w:t xml:space="preserve"> industrial county on this list;</w:t>
      </w:r>
      <w:r>
        <w:t xml:space="preserve"> the rest include smaller cities in Georgia, Illinois, and Indiana. Some of these places, including Albany, Detroit, Flint, Kokomo, and Muncie, are bouncing back this decade. Median household income in Dougherty County, Georgia (around Albany), for instance, is up 19 percent since 2010, and the employment rate in Wayne County, Mich. (around Detroit) has risen 7 percentage points. But given how devastating the 2000s were for nearly all of these counties, they overall remain considerably smaller and poorer than they were at the turn of the century.</w:t>
      </w:r>
    </w:p>
    <w:p w14:paraId="51264B81" w14:textId="1FB2D291" w:rsidR="00EB395A" w:rsidRDefault="00EB395A" w:rsidP="000A0847">
      <w:pPr>
        <w:spacing w:after="0" w:line="240" w:lineRule="auto"/>
        <w:rPr>
          <w:b/>
        </w:rPr>
      </w:pPr>
    </w:p>
    <w:p w14:paraId="2A44CFC1" w14:textId="4234A9CF" w:rsidR="003124FC" w:rsidRPr="003124FC" w:rsidRDefault="003124FC" w:rsidP="000A0847">
      <w:pPr>
        <w:spacing w:after="0" w:line="240" w:lineRule="auto"/>
      </w:pPr>
      <w:r w:rsidRPr="003124FC">
        <w:t xml:space="preserve">[Figure </w:t>
      </w:r>
      <w:r>
        <w:t xml:space="preserve">4.9—Midwestern and smaller </w:t>
      </w:r>
      <w:r w:rsidR="00CE76CC">
        <w:t>OICs</w:t>
      </w:r>
      <w:r>
        <w:t xml:space="preserve"> lag Northeastern and larger counterparts on economic performance]</w:t>
      </w:r>
    </w:p>
    <w:p w14:paraId="452B79EA" w14:textId="06946D9B" w:rsidR="00EB395A" w:rsidRDefault="00EB395A" w:rsidP="000A0847">
      <w:pPr>
        <w:spacing w:after="0" w:line="240" w:lineRule="auto"/>
        <w:rPr>
          <w:b/>
        </w:rPr>
      </w:pPr>
    </w:p>
    <w:p w14:paraId="073D8EBB" w14:textId="44274F5F" w:rsidR="0066220C" w:rsidRDefault="0066220C" w:rsidP="000A0847">
      <w:pPr>
        <w:spacing w:after="0" w:line="240" w:lineRule="auto"/>
        <w:rPr>
          <w:b/>
        </w:rPr>
      </w:pPr>
      <w:r>
        <w:rPr>
          <w:b/>
        </w:rPr>
        <w:t xml:space="preserve">Figure 4.10—Four types of </w:t>
      </w:r>
      <w:r w:rsidR="00CE76CC">
        <w:rPr>
          <w:b/>
        </w:rPr>
        <w:t xml:space="preserve">OICs </w:t>
      </w:r>
      <w:r>
        <w:rPr>
          <w:b/>
        </w:rPr>
        <w:t>reflect their varying economic performance</w:t>
      </w:r>
    </w:p>
    <w:p w14:paraId="3814D620" w14:textId="0A29FED3" w:rsidR="00CE76CC" w:rsidRPr="00CE76CC" w:rsidRDefault="00CE76CC" w:rsidP="000A0847">
      <w:pPr>
        <w:spacing w:after="0" w:line="240" w:lineRule="auto"/>
      </w:pPr>
      <w:r>
        <w:t>Older industrial counties by performance category, 2000-2016</w:t>
      </w:r>
    </w:p>
    <w:tbl>
      <w:tblPr>
        <w:tblStyle w:val="GridTable4-Accent1"/>
        <w:tblW w:w="0" w:type="auto"/>
        <w:tblLook w:val="04A0" w:firstRow="1" w:lastRow="0" w:firstColumn="1" w:lastColumn="0" w:noHBand="0" w:noVBand="1"/>
      </w:tblPr>
      <w:tblGrid>
        <w:gridCol w:w="2337"/>
        <w:gridCol w:w="2337"/>
        <w:gridCol w:w="2338"/>
        <w:gridCol w:w="2338"/>
      </w:tblGrid>
      <w:tr w:rsidR="005F1E26" w:rsidRPr="0009491F" w14:paraId="3DE7075E" w14:textId="77777777" w:rsidTr="0009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7668E9" w14:textId="27AA0FD3" w:rsidR="005F1E26" w:rsidRPr="0009491F" w:rsidRDefault="005F1E26" w:rsidP="000A0847">
            <w:r w:rsidRPr="0009491F">
              <w:t>Strong</w:t>
            </w:r>
          </w:p>
        </w:tc>
        <w:tc>
          <w:tcPr>
            <w:tcW w:w="2337" w:type="dxa"/>
          </w:tcPr>
          <w:p w14:paraId="24A38598" w14:textId="7CBCC453" w:rsidR="005F1E26" w:rsidRPr="0009491F" w:rsidRDefault="005F1E26" w:rsidP="000A0847">
            <w:pPr>
              <w:cnfStyle w:val="100000000000" w:firstRow="1" w:lastRow="0" w:firstColumn="0" w:lastColumn="0" w:oddVBand="0" w:evenVBand="0" w:oddHBand="0" w:evenHBand="0" w:firstRowFirstColumn="0" w:firstRowLastColumn="0" w:lastRowFirstColumn="0" w:lastRowLastColumn="0"/>
            </w:pPr>
            <w:r w:rsidRPr="0009491F">
              <w:t>Emerging</w:t>
            </w:r>
          </w:p>
        </w:tc>
        <w:tc>
          <w:tcPr>
            <w:tcW w:w="2338" w:type="dxa"/>
          </w:tcPr>
          <w:p w14:paraId="3048CE9E" w14:textId="5AC68E80" w:rsidR="005F1E26" w:rsidRPr="0009491F" w:rsidRDefault="005F1E26" w:rsidP="000A0847">
            <w:pPr>
              <w:cnfStyle w:val="100000000000" w:firstRow="1" w:lastRow="0" w:firstColumn="0" w:lastColumn="0" w:oddVBand="0" w:evenVBand="0" w:oddHBand="0" w:evenHBand="0" w:firstRowFirstColumn="0" w:firstRowLastColumn="0" w:lastRowFirstColumn="0" w:lastRowLastColumn="0"/>
            </w:pPr>
            <w:r w:rsidRPr="0009491F">
              <w:t>Stabilizing</w:t>
            </w:r>
          </w:p>
        </w:tc>
        <w:tc>
          <w:tcPr>
            <w:tcW w:w="2338" w:type="dxa"/>
          </w:tcPr>
          <w:p w14:paraId="742B584A" w14:textId="73BA73E8" w:rsidR="005F1E26" w:rsidRPr="0009491F" w:rsidRDefault="005F1E26" w:rsidP="000A0847">
            <w:pPr>
              <w:cnfStyle w:val="100000000000" w:firstRow="1" w:lastRow="0" w:firstColumn="0" w:lastColumn="0" w:oddVBand="0" w:evenVBand="0" w:oddHBand="0" w:evenHBand="0" w:firstRowFirstColumn="0" w:firstRowLastColumn="0" w:lastRowFirstColumn="0" w:lastRowLastColumn="0"/>
            </w:pPr>
            <w:r w:rsidRPr="0009491F">
              <w:t>Vulnerable</w:t>
            </w:r>
          </w:p>
        </w:tc>
      </w:tr>
      <w:tr w:rsidR="005F1E26" w14:paraId="11282903"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127DFC" w14:textId="06B6CD94" w:rsidR="005F1E26" w:rsidRPr="0009491F" w:rsidRDefault="005F1E26" w:rsidP="000A0847">
            <w:pPr>
              <w:rPr>
                <w:b w:val="0"/>
              </w:rPr>
            </w:pPr>
            <w:r w:rsidRPr="0009491F">
              <w:rPr>
                <w:b w:val="0"/>
              </w:rPr>
              <w:t>Brooklyn, N.Y.</w:t>
            </w:r>
          </w:p>
        </w:tc>
        <w:tc>
          <w:tcPr>
            <w:tcW w:w="2337" w:type="dxa"/>
          </w:tcPr>
          <w:p w14:paraId="57780868" w14:textId="071CBD05"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Providence, R.I.</w:t>
            </w:r>
          </w:p>
        </w:tc>
        <w:tc>
          <w:tcPr>
            <w:tcW w:w="2338" w:type="dxa"/>
          </w:tcPr>
          <w:p w14:paraId="32E77225" w14:textId="2E8C6AD0"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Springfield, Ohio</w:t>
            </w:r>
          </w:p>
        </w:tc>
        <w:tc>
          <w:tcPr>
            <w:tcW w:w="2338" w:type="dxa"/>
          </w:tcPr>
          <w:p w14:paraId="7412D2A6" w14:textId="787B99C8"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Dayton, Ohio</w:t>
            </w:r>
          </w:p>
        </w:tc>
      </w:tr>
      <w:tr w:rsidR="005F1E26" w14:paraId="03C2649A"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4CBA118F" w14:textId="2BAA4DB8" w:rsidR="005F1E26" w:rsidRPr="0009491F" w:rsidRDefault="005F1E26" w:rsidP="000A0847">
            <w:pPr>
              <w:rPr>
                <w:b w:val="0"/>
              </w:rPr>
            </w:pPr>
            <w:r w:rsidRPr="0009491F">
              <w:rPr>
                <w:b w:val="0"/>
              </w:rPr>
              <w:t>Queens, N.Y.</w:t>
            </w:r>
          </w:p>
        </w:tc>
        <w:tc>
          <w:tcPr>
            <w:tcW w:w="2337" w:type="dxa"/>
          </w:tcPr>
          <w:p w14:paraId="19408101" w14:textId="2B2D0D20"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Allentown, Pa.</w:t>
            </w:r>
          </w:p>
        </w:tc>
        <w:tc>
          <w:tcPr>
            <w:tcW w:w="2338" w:type="dxa"/>
          </w:tcPr>
          <w:p w14:paraId="5AA1C5F9" w14:textId="02C9DDD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Peoria, Ill.</w:t>
            </w:r>
          </w:p>
        </w:tc>
        <w:tc>
          <w:tcPr>
            <w:tcW w:w="2338" w:type="dxa"/>
          </w:tcPr>
          <w:p w14:paraId="0B34CDA8" w14:textId="1A954EC9"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Albany, Ga.</w:t>
            </w:r>
          </w:p>
        </w:tc>
      </w:tr>
      <w:tr w:rsidR="005F1E26" w14:paraId="457EF882"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9A0EC2" w14:textId="69B64F1F" w:rsidR="005F1E26" w:rsidRPr="0009491F" w:rsidRDefault="005F1E26" w:rsidP="000A0847">
            <w:pPr>
              <w:rPr>
                <w:b w:val="0"/>
              </w:rPr>
            </w:pPr>
            <w:r w:rsidRPr="0009491F">
              <w:rPr>
                <w:b w:val="0"/>
              </w:rPr>
              <w:t>Beaumont, Texas</w:t>
            </w:r>
          </w:p>
        </w:tc>
        <w:tc>
          <w:tcPr>
            <w:tcW w:w="2337" w:type="dxa"/>
          </w:tcPr>
          <w:p w14:paraId="583505C3" w14:textId="0D483819"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Lynchburg, Va.</w:t>
            </w:r>
          </w:p>
        </w:tc>
        <w:tc>
          <w:tcPr>
            <w:tcW w:w="2338" w:type="dxa"/>
          </w:tcPr>
          <w:p w14:paraId="052AE927" w14:textId="7AB1B870"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Battle Creek, Mich.</w:t>
            </w:r>
          </w:p>
        </w:tc>
        <w:tc>
          <w:tcPr>
            <w:tcW w:w="2338" w:type="dxa"/>
          </w:tcPr>
          <w:p w14:paraId="5A3F3271" w14:textId="7A4E8EBC"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Kokomo, Ind.</w:t>
            </w:r>
          </w:p>
        </w:tc>
      </w:tr>
      <w:tr w:rsidR="005F1E26" w14:paraId="1F2FDC11"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33107CCD" w14:textId="545CA6B9" w:rsidR="005F1E26" w:rsidRPr="0009491F" w:rsidRDefault="005F1E26" w:rsidP="000A0847">
            <w:pPr>
              <w:rPr>
                <w:b w:val="0"/>
              </w:rPr>
            </w:pPr>
            <w:r w:rsidRPr="0009491F">
              <w:rPr>
                <w:b w:val="0"/>
              </w:rPr>
              <w:t>Baltimore, Md.</w:t>
            </w:r>
          </w:p>
        </w:tc>
        <w:tc>
          <w:tcPr>
            <w:tcW w:w="2337" w:type="dxa"/>
          </w:tcPr>
          <w:p w14:paraId="1A909BB1" w14:textId="663E7036"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Paterson, N.J.</w:t>
            </w:r>
          </w:p>
        </w:tc>
        <w:tc>
          <w:tcPr>
            <w:tcW w:w="2338" w:type="dxa"/>
          </w:tcPr>
          <w:p w14:paraId="38B19943" w14:textId="6AF2B0A4"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Akron, Ohio</w:t>
            </w:r>
          </w:p>
        </w:tc>
        <w:tc>
          <w:tcPr>
            <w:tcW w:w="2338" w:type="dxa"/>
          </w:tcPr>
          <w:p w14:paraId="10516F84" w14:textId="636FD886"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Decatur, Ill.</w:t>
            </w:r>
          </w:p>
        </w:tc>
      </w:tr>
      <w:tr w:rsidR="005F1E26" w14:paraId="0DAE69E4"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1A4C19" w14:textId="07A478D1" w:rsidR="005F1E26" w:rsidRPr="0009491F" w:rsidRDefault="005F1E26" w:rsidP="000A0847">
            <w:pPr>
              <w:rPr>
                <w:b w:val="0"/>
              </w:rPr>
            </w:pPr>
            <w:r w:rsidRPr="0009491F">
              <w:rPr>
                <w:b w:val="0"/>
              </w:rPr>
              <w:t>Dubuque, Iowa</w:t>
            </w:r>
          </w:p>
        </w:tc>
        <w:tc>
          <w:tcPr>
            <w:tcW w:w="2337" w:type="dxa"/>
          </w:tcPr>
          <w:p w14:paraId="2DE61F58" w14:textId="186D4A78"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Birmingham, Ala.</w:t>
            </w:r>
          </w:p>
        </w:tc>
        <w:tc>
          <w:tcPr>
            <w:tcW w:w="2338" w:type="dxa"/>
          </w:tcPr>
          <w:p w14:paraId="704D38A6" w14:textId="26C76975"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Erie, Pa.</w:t>
            </w:r>
          </w:p>
        </w:tc>
        <w:tc>
          <w:tcPr>
            <w:tcW w:w="2338" w:type="dxa"/>
          </w:tcPr>
          <w:p w14:paraId="5D8335A9" w14:textId="2C815959"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South Bend, Ind.</w:t>
            </w:r>
          </w:p>
        </w:tc>
      </w:tr>
      <w:tr w:rsidR="005F1E26" w14:paraId="50AF53DE"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77210CF7" w14:textId="3E171F8F" w:rsidR="005F1E26" w:rsidRPr="0009491F" w:rsidRDefault="005F1E26" w:rsidP="000A0847">
            <w:pPr>
              <w:rPr>
                <w:b w:val="0"/>
              </w:rPr>
            </w:pPr>
            <w:r w:rsidRPr="0009491F">
              <w:rPr>
                <w:b w:val="0"/>
              </w:rPr>
              <w:t>St. Louis, Mo.</w:t>
            </w:r>
          </w:p>
        </w:tc>
        <w:tc>
          <w:tcPr>
            <w:tcW w:w="2337" w:type="dxa"/>
          </w:tcPr>
          <w:p w14:paraId="49FB6853" w14:textId="52FF451D"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Louisville, Ky.</w:t>
            </w:r>
          </w:p>
        </w:tc>
        <w:tc>
          <w:tcPr>
            <w:tcW w:w="2338" w:type="dxa"/>
          </w:tcPr>
          <w:p w14:paraId="4CDE1716" w14:textId="21F9BA2C"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Cleveland, Ohio</w:t>
            </w:r>
          </w:p>
        </w:tc>
        <w:tc>
          <w:tcPr>
            <w:tcW w:w="2338" w:type="dxa"/>
          </w:tcPr>
          <w:p w14:paraId="7F288626" w14:textId="24F2A05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Roanoke, Va.</w:t>
            </w:r>
          </w:p>
        </w:tc>
      </w:tr>
      <w:tr w:rsidR="005F1E26" w14:paraId="537FCF88"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31536C" w14:textId="73FC6255" w:rsidR="005F1E26" w:rsidRPr="0009491F" w:rsidRDefault="005F1E26" w:rsidP="000A0847">
            <w:pPr>
              <w:rPr>
                <w:b w:val="0"/>
              </w:rPr>
            </w:pPr>
            <w:r w:rsidRPr="0009491F">
              <w:rPr>
                <w:b w:val="0"/>
              </w:rPr>
              <w:t>Pittsburgh, Pa.</w:t>
            </w:r>
          </w:p>
        </w:tc>
        <w:tc>
          <w:tcPr>
            <w:tcW w:w="2337" w:type="dxa"/>
          </w:tcPr>
          <w:p w14:paraId="0C5A4608" w14:textId="2E092D04"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Utica, N.Y.</w:t>
            </w:r>
          </w:p>
        </w:tc>
        <w:tc>
          <w:tcPr>
            <w:tcW w:w="2338" w:type="dxa"/>
          </w:tcPr>
          <w:p w14:paraId="7E3D54AE" w14:textId="7AE982D3"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Rochester, N.Y.</w:t>
            </w:r>
          </w:p>
        </w:tc>
        <w:tc>
          <w:tcPr>
            <w:tcW w:w="2338" w:type="dxa"/>
          </w:tcPr>
          <w:p w14:paraId="11E684C2" w14:textId="28547FF1"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Muncie, Ind.</w:t>
            </w:r>
          </w:p>
        </w:tc>
      </w:tr>
      <w:tr w:rsidR="005F1E26" w14:paraId="12FBCC52"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50B374F8" w14:textId="25D70D46" w:rsidR="005F1E26" w:rsidRPr="0009491F" w:rsidRDefault="005F1E26" w:rsidP="000A0847">
            <w:pPr>
              <w:rPr>
                <w:b w:val="0"/>
              </w:rPr>
            </w:pPr>
            <w:r w:rsidRPr="0009491F">
              <w:rPr>
                <w:b w:val="0"/>
              </w:rPr>
              <w:t>Bethlehem, Pa.</w:t>
            </w:r>
          </w:p>
        </w:tc>
        <w:tc>
          <w:tcPr>
            <w:tcW w:w="2337" w:type="dxa"/>
          </w:tcPr>
          <w:p w14:paraId="0F9B3426" w14:textId="74475A29"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Camden, N.J.</w:t>
            </w:r>
          </w:p>
        </w:tc>
        <w:tc>
          <w:tcPr>
            <w:tcW w:w="2338" w:type="dxa"/>
          </w:tcPr>
          <w:p w14:paraId="502C586A" w14:textId="6A4F5E7F"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Toledo, Ohio</w:t>
            </w:r>
          </w:p>
        </w:tc>
        <w:tc>
          <w:tcPr>
            <w:tcW w:w="2338" w:type="dxa"/>
          </w:tcPr>
          <w:p w14:paraId="5048C6B4" w14:textId="12D9E424"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Janesville, Wisc.</w:t>
            </w:r>
          </w:p>
        </w:tc>
      </w:tr>
      <w:tr w:rsidR="005F1E26" w14:paraId="57763471"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F293E" w14:textId="49C7D723" w:rsidR="005F1E26" w:rsidRPr="0009491F" w:rsidRDefault="005F1E26" w:rsidP="000A0847">
            <w:pPr>
              <w:rPr>
                <w:b w:val="0"/>
              </w:rPr>
            </w:pPr>
            <w:r w:rsidRPr="0009491F">
              <w:rPr>
                <w:b w:val="0"/>
              </w:rPr>
              <w:t>New Bedford, Mass.</w:t>
            </w:r>
          </w:p>
        </w:tc>
        <w:tc>
          <w:tcPr>
            <w:tcW w:w="2337" w:type="dxa"/>
          </w:tcPr>
          <w:p w14:paraId="5DDE0A1C" w14:textId="2140CDB0"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Hartford, Conn.</w:t>
            </w:r>
          </w:p>
        </w:tc>
        <w:tc>
          <w:tcPr>
            <w:tcW w:w="2338" w:type="dxa"/>
          </w:tcPr>
          <w:p w14:paraId="2A36C52A" w14:textId="3EB2D0D1"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Racine, Wisc.</w:t>
            </w:r>
          </w:p>
        </w:tc>
        <w:tc>
          <w:tcPr>
            <w:tcW w:w="2338" w:type="dxa"/>
          </w:tcPr>
          <w:p w14:paraId="1236B2CE" w14:textId="0A984C8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Vineland, N.J.</w:t>
            </w:r>
          </w:p>
        </w:tc>
      </w:tr>
      <w:tr w:rsidR="005F1E26" w14:paraId="08B53C2E"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4CD849C5" w14:textId="69232D93" w:rsidR="005F1E26" w:rsidRPr="0009491F" w:rsidRDefault="005F1E26" w:rsidP="000A0847">
            <w:pPr>
              <w:rPr>
                <w:b w:val="0"/>
              </w:rPr>
            </w:pPr>
            <w:r w:rsidRPr="0009491F">
              <w:rPr>
                <w:b w:val="0"/>
              </w:rPr>
              <w:t>Waterloo, Iowa</w:t>
            </w:r>
          </w:p>
        </w:tc>
        <w:tc>
          <w:tcPr>
            <w:tcW w:w="2337" w:type="dxa"/>
          </w:tcPr>
          <w:p w14:paraId="2092E84E" w14:textId="0F07AF12"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Bridgeport, Conn.</w:t>
            </w:r>
          </w:p>
        </w:tc>
        <w:tc>
          <w:tcPr>
            <w:tcW w:w="2338" w:type="dxa"/>
          </w:tcPr>
          <w:p w14:paraId="3EE6B4BB" w14:textId="7A9D8A74"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Youngstown, Ohio</w:t>
            </w:r>
          </w:p>
        </w:tc>
        <w:tc>
          <w:tcPr>
            <w:tcW w:w="2338" w:type="dxa"/>
          </w:tcPr>
          <w:p w14:paraId="33B02CD8" w14:textId="125B1EE8"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Rockford, Ill.</w:t>
            </w:r>
          </w:p>
        </w:tc>
      </w:tr>
      <w:tr w:rsidR="005F1E26" w14:paraId="1A5C18E9"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22E4E0" w14:textId="2BC7F970" w:rsidR="005F1E26" w:rsidRPr="0009491F" w:rsidRDefault="005F1E26" w:rsidP="000A0847">
            <w:pPr>
              <w:rPr>
                <w:b w:val="0"/>
              </w:rPr>
            </w:pPr>
            <w:r w:rsidRPr="0009491F">
              <w:rPr>
                <w:b w:val="0"/>
              </w:rPr>
              <w:t>Philadelphia, Pa.</w:t>
            </w:r>
          </w:p>
        </w:tc>
        <w:tc>
          <w:tcPr>
            <w:tcW w:w="2337" w:type="dxa"/>
          </w:tcPr>
          <w:p w14:paraId="68B32510" w14:textId="5E963D55"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Newark, N.J.</w:t>
            </w:r>
          </w:p>
        </w:tc>
        <w:tc>
          <w:tcPr>
            <w:tcW w:w="2338" w:type="dxa"/>
          </w:tcPr>
          <w:p w14:paraId="3BA1BFCA" w14:textId="45322201"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Fort Wayne, Ind.</w:t>
            </w:r>
          </w:p>
        </w:tc>
        <w:tc>
          <w:tcPr>
            <w:tcW w:w="2338" w:type="dxa"/>
          </w:tcPr>
          <w:p w14:paraId="47476E37" w14:textId="01944B0D"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Detroit, Mich.</w:t>
            </w:r>
          </w:p>
        </w:tc>
      </w:tr>
      <w:tr w:rsidR="005F1E26" w14:paraId="7E36A898"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79C47027" w14:textId="1CB3AB08" w:rsidR="005F1E26" w:rsidRPr="0009491F" w:rsidRDefault="005F1E26" w:rsidP="000A0847">
            <w:pPr>
              <w:rPr>
                <w:b w:val="0"/>
              </w:rPr>
            </w:pPr>
            <w:r w:rsidRPr="0009491F">
              <w:rPr>
                <w:b w:val="0"/>
              </w:rPr>
              <w:t>Lynn, Mass.</w:t>
            </w:r>
          </w:p>
        </w:tc>
        <w:tc>
          <w:tcPr>
            <w:tcW w:w="2337" w:type="dxa"/>
          </w:tcPr>
          <w:p w14:paraId="000F8F91" w14:textId="3D59E59E"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Scranton, Pa.</w:t>
            </w:r>
          </w:p>
        </w:tc>
        <w:tc>
          <w:tcPr>
            <w:tcW w:w="2338" w:type="dxa"/>
          </w:tcPr>
          <w:p w14:paraId="700369D7" w14:textId="4A9DF9B9"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Indianapolis, Ind.</w:t>
            </w:r>
          </w:p>
        </w:tc>
        <w:tc>
          <w:tcPr>
            <w:tcW w:w="2338" w:type="dxa"/>
          </w:tcPr>
          <w:p w14:paraId="4E0057D7" w14:textId="403BE5F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Anderson, Ind.</w:t>
            </w:r>
          </w:p>
        </w:tc>
      </w:tr>
      <w:tr w:rsidR="005F1E26" w14:paraId="61140B24"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F955F" w14:textId="642C6C7F" w:rsidR="005F1E26" w:rsidRPr="0009491F" w:rsidRDefault="005F1E26" w:rsidP="000A0847">
            <w:pPr>
              <w:rPr>
                <w:b w:val="0"/>
              </w:rPr>
            </w:pPr>
            <w:r w:rsidRPr="0009491F">
              <w:rPr>
                <w:b w:val="0"/>
              </w:rPr>
              <w:t>Buffalo, N.Y.</w:t>
            </w:r>
          </w:p>
        </w:tc>
        <w:tc>
          <w:tcPr>
            <w:tcW w:w="2337" w:type="dxa"/>
          </w:tcPr>
          <w:p w14:paraId="07E21350" w14:textId="778DB472"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New Haven, Conn.</w:t>
            </w:r>
          </w:p>
        </w:tc>
        <w:tc>
          <w:tcPr>
            <w:tcW w:w="2338" w:type="dxa"/>
          </w:tcPr>
          <w:p w14:paraId="070BA794" w14:textId="3646B793"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Lorain, Ohio</w:t>
            </w:r>
          </w:p>
        </w:tc>
        <w:tc>
          <w:tcPr>
            <w:tcW w:w="2338" w:type="dxa"/>
          </w:tcPr>
          <w:p w14:paraId="6528961F" w14:textId="5A8271DD"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Macon, Ga.</w:t>
            </w:r>
          </w:p>
        </w:tc>
      </w:tr>
      <w:tr w:rsidR="005F1E26" w14:paraId="74E2B7B2"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258740CF" w14:textId="03CEC0BE" w:rsidR="005F1E26" w:rsidRPr="0009491F" w:rsidRDefault="005F1E26" w:rsidP="000A0847">
            <w:pPr>
              <w:rPr>
                <w:b w:val="0"/>
              </w:rPr>
            </w:pPr>
            <w:r w:rsidRPr="0009491F">
              <w:rPr>
                <w:b w:val="0"/>
              </w:rPr>
              <w:t>Trenton, N.J.</w:t>
            </w:r>
          </w:p>
        </w:tc>
        <w:tc>
          <w:tcPr>
            <w:tcW w:w="2337" w:type="dxa"/>
          </w:tcPr>
          <w:p w14:paraId="50CDFBE5" w14:textId="567FCCCD"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Syracuse, N.Y.</w:t>
            </w:r>
          </w:p>
        </w:tc>
        <w:tc>
          <w:tcPr>
            <w:tcW w:w="2338" w:type="dxa"/>
          </w:tcPr>
          <w:p w14:paraId="094570F6" w14:textId="41DC153C"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Evansville, Ind.</w:t>
            </w:r>
          </w:p>
        </w:tc>
        <w:tc>
          <w:tcPr>
            <w:tcW w:w="2338" w:type="dxa"/>
          </w:tcPr>
          <w:p w14:paraId="480B4F01" w14:textId="5A422CB5"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Flint, Mich.</w:t>
            </w:r>
          </w:p>
        </w:tc>
      </w:tr>
      <w:tr w:rsidR="005F1E26" w14:paraId="0E4EB95B"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48A2BC" w14:textId="1B59DDE7" w:rsidR="005F1E26" w:rsidRPr="0009491F" w:rsidRDefault="005F1E26" w:rsidP="000A0847">
            <w:pPr>
              <w:rPr>
                <w:b w:val="0"/>
              </w:rPr>
            </w:pPr>
            <w:r w:rsidRPr="0009491F">
              <w:rPr>
                <w:b w:val="0"/>
              </w:rPr>
              <w:t>Worcester, Mass.</w:t>
            </w:r>
          </w:p>
        </w:tc>
        <w:tc>
          <w:tcPr>
            <w:tcW w:w="2337" w:type="dxa"/>
          </w:tcPr>
          <w:p w14:paraId="0097FB57" w14:textId="21F6F760"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Elizabeth, N.J.</w:t>
            </w:r>
          </w:p>
        </w:tc>
        <w:tc>
          <w:tcPr>
            <w:tcW w:w="2338" w:type="dxa"/>
          </w:tcPr>
          <w:p w14:paraId="6191E171" w14:textId="6D539973"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r>
              <w:t>Terre Haute, Ind.</w:t>
            </w:r>
          </w:p>
        </w:tc>
        <w:tc>
          <w:tcPr>
            <w:tcW w:w="2338" w:type="dxa"/>
          </w:tcPr>
          <w:p w14:paraId="348285AB"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r>
      <w:tr w:rsidR="005F1E26" w14:paraId="062A0625"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63AC7B98" w14:textId="46639F60" w:rsidR="005F1E26" w:rsidRPr="0009491F" w:rsidRDefault="005F1E26" w:rsidP="000A0847">
            <w:pPr>
              <w:rPr>
                <w:b w:val="0"/>
              </w:rPr>
            </w:pPr>
            <w:r w:rsidRPr="0009491F">
              <w:rPr>
                <w:b w:val="0"/>
              </w:rPr>
              <w:t>Quincy, Mass.</w:t>
            </w:r>
          </w:p>
        </w:tc>
        <w:tc>
          <w:tcPr>
            <w:tcW w:w="2337" w:type="dxa"/>
          </w:tcPr>
          <w:p w14:paraId="6B0E68A2" w14:textId="33AC066F"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Reading, Pa.</w:t>
            </w:r>
          </w:p>
        </w:tc>
        <w:tc>
          <w:tcPr>
            <w:tcW w:w="2338" w:type="dxa"/>
          </w:tcPr>
          <w:p w14:paraId="22D0F6B4" w14:textId="27E215E1"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r>
              <w:t>Kalamazoo, Mich.</w:t>
            </w:r>
          </w:p>
        </w:tc>
        <w:tc>
          <w:tcPr>
            <w:tcW w:w="2338" w:type="dxa"/>
          </w:tcPr>
          <w:p w14:paraId="459527F0"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r>
      <w:tr w:rsidR="005F1E26" w14:paraId="514A03D4"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A0ED01" w14:textId="77777777" w:rsidR="005F1E26" w:rsidRDefault="005F1E26" w:rsidP="000A0847"/>
        </w:tc>
        <w:tc>
          <w:tcPr>
            <w:tcW w:w="2337" w:type="dxa"/>
          </w:tcPr>
          <w:p w14:paraId="23B134A1" w14:textId="29A1E243" w:rsidR="005F1E26" w:rsidRDefault="005F1E26" w:rsidP="000A0847">
            <w:pPr>
              <w:cnfStyle w:val="000000100000" w:firstRow="0" w:lastRow="0" w:firstColumn="0" w:lastColumn="0" w:oddVBand="0" w:evenVBand="0" w:oddHBand="1" w:evenHBand="0" w:firstRowFirstColumn="0" w:firstRowLastColumn="0" w:lastRowFirstColumn="0" w:lastRowLastColumn="0"/>
            </w:pPr>
            <w:r>
              <w:t>Milwaukee, Wisc.</w:t>
            </w:r>
          </w:p>
        </w:tc>
        <w:tc>
          <w:tcPr>
            <w:tcW w:w="2338" w:type="dxa"/>
          </w:tcPr>
          <w:p w14:paraId="603CC23A"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c>
          <w:tcPr>
            <w:tcW w:w="2338" w:type="dxa"/>
          </w:tcPr>
          <w:p w14:paraId="15F41EB0"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r>
      <w:tr w:rsidR="005F1E26" w14:paraId="6B8645F9"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77422787" w14:textId="77777777" w:rsidR="005F1E26" w:rsidRDefault="005F1E26" w:rsidP="000A0847"/>
        </w:tc>
        <w:tc>
          <w:tcPr>
            <w:tcW w:w="2337" w:type="dxa"/>
          </w:tcPr>
          <w:p w14:paraId="3FF35204" w14:textId="437E8476" w:rsidR="005F1E26" w:rsidRDefault="005F1E26" w:rsidP="000A0847">
            <w:pPr>
              <w:cnfStyle w:val="000000000000" w:firstRow="0" w:lastRow="0" w:firstColumn="0" w:lastColumn="0" w:oddVBand="0" w:evenVBand="0" w:oddHBand="0" w:evenHBand="0" w:firstRowFirstColumn="0" w:firstRowLastColumn="0" w:lastRowFirstColumn="0" w:lastRowLastColumn="0"/>
            </w:pPr>
            <w:r>
              <w:t>St. Paul, Minn.</w:t>
            </w:r>
          </w:p>
        </w:tc>
        <w:tc>
          <w:tcPr>
            <w:tcW w:w="2338" w:type="dxa"/>
          </w:tcPr>
          <w:p w14:paraId="749E338C"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c>
          <w:tcPr>
            <w:tcW w:w="2338" w:type="dxa"/>
          </w:tcPr>
          <w:p w14:paraId="742C88BA"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r>
      <w:tr w:rsidR="005F1E26" w14:paraId="19679DF2"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DA21CB" w14:textId="77777777" w:rsidR="005F1E26" w:rsidRDefault="005F1E26" w:rsidP="000A0847"/>
        </w:tc>
        <w:tc>
          <w:tcPr>
            <w:tcW w:w="2337" w:type="dxa"/>
          </w:tcPr>
          <w:p w14:paraId="6F4F6473" w14:textId="707C9DF1" w:rsidR="005F1E26" w:rsidRDefault="005F1E26" w:rsidP="000A0847">
            <w:pPr>
              <w:cnfStyle w:val="000000100000" w:firstRow="0" w:lastRow="0" w:firstColumn="0" w:lastColumn="0" w:oddVBand="0" w:evenVBand="0" w:oddHBand="1" w:evenHBand="0" w:firstRowFirstColumn="0" w:firstRowLastColumn="0" w:lastRowFirstColumn="0" w:lastRowLastColumn="0"/>
            </w:pPr>
            <w:r>
              <w:t>Hammond, Ind.</w:t>
            </w:r>
          </w:p>
        </w:tc>
        <w:tc>
          <w:tcPr>
            <w:tcW w:w="2338" w:type="dxa"/>
          </w:tcPr>
          <w:p w14:paraId="53CD8BC8"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c>
          <w:tcPr>
            <w:tcW w:w="2338" w:type="dxa"/>
          </w:tcPr>
          <w:p w14:paraId="0F78692D"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r>
      <w:tr w:rsidR="005F1E26" w14:paraId="0DB05A7F"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749B3617" w14:textId="77777777" w:rsidR="005F1E26" w:rsidRDefault="005F1E26" w:rsidP="000A0847"/>
        </w:tc>
        <w:tc>
          <w:tcPr>
            <w:tcW w:w="2337" w:type="dxa"/>
          </w:tcPr>
          <w:p w14:paraId="01770446" w14:textId="11E2E105" w:rsidR="005F1E26" w:rsidRDefault="005F1E26" w:rsidP="000A0847">
            <w:pPr>
              <w:cnfStyle w:val="000000000000" w:firstRow="0" w:lastRow="0" w:firstColumn="0" w:lastColumn="0" w:oddVBand="0" w:evenVBand="0" w:oddHBand="0" w:evenHBand="0" w:firstRowFirstColumn="0" w:firstRowLastColumn="0" w:lastRowFirstColumn="0" w:lastRowLastColumn="0"/>
            </w:pPr>
            <w:r>
              <w:t>Canton, Ohio</w:t>
            </w:r>
          </w:p>
        </w:tc>
        <w:tc>
          <w:tcPr>
            <w:tcW w:w="2338" w:type="dxa"/>
          </w:tcPr>
          <w:p w14:paraId="4DEBA4E8"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c>
          <w:tcPr>
            <w:tcW w:w="2338" w:type="dxa"/>
          </w:tcPr>
          <w:p w14:paraId="642229F4"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r>
      <w:tr w:rsidR="005F1E26" w14:paraId="050A392F"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6EDF94" w14:textId="77777777" w:rsidR="005F1E26" w:rsidRDefault="005F1E26" w:rsidP="000A0847"/>
        </w:tc>
        <w:tc>
          <w:tcPr>
            <w:tcW w:w="2337" w:type="dxa"/>
          </w:tcPr>
          <w:p w14:paraId="4E83F912" w14:textId="5E7C5051" w:rsidR="005F1E26" w:rsidRDefault="005F1E26" w:rsidP="000A0847">
            <w:pPr>
              <w:cnfStyle w:val="000000100000" w:firstRow="0" w:lastRow="0" w:firstColumn="0" w:lastColumn="0" w:oddVBand="0" w:evenVBand="0" w:oddHBand="1" w:evenHBand="0" w:firstRowFirstColumn="0" w:firstRowLastColumn="0" w:lastRowFirstColumn="0" w:lastRowLastColumn="0"/>
            </w:pPr>
            <w:r>
              <w:t>Cincinnati, Ohio</w:t>
            </w:r>
          </w:p>
        </w:tc>
        <w:tc>
          <w:tcPr>
            <w:tcW w:w="2338" w:type="dxa"/>
          </w:tcPr>
          <w:p w14:paraId="37F70C3E"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c>
          <w:tcPr>
            <w:tcW w:w="2338" w:type="dxa"/>
          </w:tcPr>
          <w:p w14:paraId="1B9D8529"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r>
      <w:tr w:rsidR="005F1E26" w14:paraId="02D5963D"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0886AD0E" w14:textId="77777777" w:rsidR="005F1E26" w:rsidRDefault="005F1E26" w:rsidP="000A0847"/>
        </w:tc>
        <w:tc>
          <w:tcPr>
            <w:tcW w:w="2337" w:type="dxa"/>
          </w:tcPr>
          <w:p w14:paraId="31A9B0F4" w14:textId="0B4F9525" w:rsidR="005F1E26" w:rsidRDefault="005F1E26" w:rsidP="000A0847">
            <w:pPr>
              <w:cnfStyle w:val="000000000000" w:firstRow="0" w:lastRow="0" w:firstColumn="0" w:lastColumn="0" w:oddVBand="0" w:evenVBand="0" w:oddHBand="0" w:evenHBand="0" w:firstRowFirstColumn="0" w:firstRowLastColumn="0" w:lastRowFirstColumn="0" w:lastRowLastColumn="0"/>
            </w:pPr>
            <w:r>
              <w:t>Schenectady, N.Y.</w:t>
            </w:r>
          </w:p>
        </w:tc>
        <w:tc>
          <w:tcPr>
            <w:tcW w:w="2338" w:type="dxa"/>
          </w:tcPr>
          <w:p w14:paraId="55F64353"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c>
          <w:tcPr>
            <w:tcW w:w="2338" w:type="dxa"/>
          </w:tcPr>
          <w:p w14:paraId="6381BA51"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r>
      <w:tr w:rsidR="005F1E26" w14:paraId="0FFA0582" w14:textId="77777777" w:rsidTr="0009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BDAEF5" w14:textId="77777777" w:rsidR="005F1E26" w:rsidRDefault="005F1E26" w:rsidP="000A0847"/>
        </w:tc>
        <w:tc>
          <w:tcPr>
            <w:tcW w:w="2337" w:type="dxa"/>
          </w:tcPr>
          <w:p w14:paraId="31EDC3C6" w14:textId="50F2A2AE" w:rsidR="005F1E26" w:rsidRDefault="005F1E26" w:rsidP="000A0847">
            <w:pPr>
              <w:cnfStyle w:val="000000100000" w:firstRow="0" w:lastRow="0" w:firstColumn="0" w:lastColumn="0" w:oddVBand="0" w:evenVBand="0" w:oddHBand="1" w:evenHBand="0" w:firstRowFirstColumn="0" w:firstRowLastColumn="0" w:lastRowFirstColumn="0" w:lastRowLastColumn="0"/>
            </w:pPr>
            <w:r>
              <w:t>Davenport, Iowa</w:t>
            </w:r>
          </w:p>
        </w:tc>
        <w:tc>
          <w:tcPr>
            <w:tcW w:w="2338" w:type="dxa"/>
          </w:tcPr>
          <w:p w14:paraId="097C4372"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c>
          <w:tcPr>
            <w:tcW w:w="2338" w:type="dxa"/>
          </w:tcPr>
          <w:p w14:paraId="7F342EF2" w14:textId="77777777" w:rsidR="005F1E26" w:rsidRPr="005F1E26" w:rsidRDefault="005F1E26" w:rsidP="000A0847">
            <w:pPr>
              <w:cnfStyle w:val="000000100000" w:firstRow="0" w:lastRow="0" w:firstColumn="0" w:lastColumn="0" w:oddVBand="0" w:evenVBand="0" w:oddHBand="1" w:evenHBand="0" w:firstRowFirstColumn="0" w:firstRowLastColumn="0" w:lastRowFirstColumn="0" w:lastRowLastColumn="0"/>
            </w:pPr>
          </w:p>
        </w:tc>
      </w:tr>
      <w:tr w:rsidR="005F1E26" w14:paraId="113E0C94" w14:textId="77777777" w:rsidTr="0009491F">
        <w:tc>
          <w:tcPr>
            <w:cnfStyle w:val="001000000000" w:firstRow="0" w:lastRow="0" w:firstColumn="1" w:lastColumn="0" w:oddVBand="0" w:evenVBand="0" w:oddHBand="0" w:evenHBand="0" w:firstRowFirstColumn="0" w:firstRowLastColumn="0" w:lastRowFirstColumn="0" w:lastRowLastColumn="0"/>
            <w:tcW w:w="2337" w:type="dxa"/>
          </w:tcPr>
          <w:p w14:paraId="47BB4DA5" w14:textId="77777777" w:rsidR="005F1E26" w:rsidRDefault="005F1E26" w:rsidP="000A0847"/>
        </w:tc>
        <w:tc>
          <w:tcPr>
            <w:tcW w:w="2337" w:type="dxa"/>
          </w:tcPr>
          <w:p w14:paraId="779E9EE9" w14:textId="749AC1E9" w:rsidR="005F1E26" w:rsidRDefault="005F1E26" w:rsidP="000A0847">
            <w:pPr>
              <w:cnfStyle w:val="000000000000" w:firstRow="0" w:lastRow="0" w:firstColumn="0" w:lastColumn="0" w:oddVBand="0" w:evenVBand="0" w:oddHBand="0" w:evenHBand="0" w:firstRowFirstColumn="0" w:firstRowLastColumn="0" w:lastRowFirstColumn="0" w:lastRowLastColumn="0"/>
            </w:pPr>
            <w:r>
              <w:t>Springfield, Mass.</w:t>
            </w:r>
          </w:p>
        </w:tc>
        <w:tc>
          <w:tcPr>
            <w:tcW w:w="2338" w:type="dxa"/>
          </w:tcPr>
          <w:p w14:paraId="1B434709"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c>
          <w:tcPr>
            <w:tcW w:w="2338" w:type="dxa"/>
          </w:tcPr>
          <w:p w14:paraId="7F08D771" w14:textId="77777777" w:rsidR="005F1E26" w:rsidRPr="005F1E26" w:rsidRDefault="005F1E26" w:rsidP="000A0847">
            <w:pPr>
              <w:cnfStyle w:val="000000000000" w:firstRow="0" w:lastRow="0" w:firstColumn="0" w:lastColumn="0" w:oddVBand="0" w:evenVBand="0" w:oddHBand="0" w:evenHBand="0" w:firstRowFirstColumn="0" w:firstRowLastColumn="0" w:lastRowFirstColumn="0" w:lastRowLastColumn="0"/>
            </w:pPr>
          </w:p>
        </w:tc>
      </w:tr>
    </w:tbl>
    <w:p w14:paraId="00E496AA" w14:textId="42BFC37F" w:rsidR="005F1E26" w:rsidRPr="0066220C" w:rsidRDefault="00CE76CC" w:rsidP="000A0847">
      <w:pPr>
        <w:spacing w:after="0" w:line="240" w:lineRule="auto"/>
        <w:rPr>
          <w:i/>
          <w:sz w:val="20"/>
        </w:rPr>
      </w:pPr>
      <w:r>
        <w:rPr>
          <w:i/>
          <w:sz w:val="20"/>
        </w:rPr>
        <w:t xml:space="preserve">Cities listed are largest within each older industrial county, and are ranked within categories by performance index score. </w:t>
      </w:r>
      <w:r w:rsidR="0066220C" w:rsidRPr="0066220C">
        <w:rPr>
          <w:i/>
          <w:sz w:val="20"/>
        </w:rPr>
        <w:t>Source:</w:t>
      </w:r>
      <w:r w:rsidR="0066220C">
        <w:rPr>
          <w:i/>
          <w:sz w:val="20"/>
        </w:rPr>
        <w:t xml:space="preserve"> Brookings analysis of Moody’s An</w:t>
      </w:r>
      <w:r>
        <w:rPr>
          <w:i/>
          <w:sz w:val="20"/>
        </w:rPr>
        <w:t>alytics and Census Bureau data.</w:t>
      </w:r>
    </w:p>
    <w:p w14:paraId="521EED9D" w14:textId="77777777" w:rsidR="0066220C" w:rsidRDefault="0066220C" w:rsidP="000A0847">
      <w:pPr>
        <w:spacing w:after="0" w:line="240" w:lineRule="auto"/>
        <w:rPr>
          <w:b/>
        </w:rPr>
      </w:pPr>
    </w:p>
    <w:p w14:paraId="34407A11" w14:textId="528496B7" w:rsidR="00817BFB" w:rsidRDefault="00817BFB" w:rsidP="000A0847">
      <w:pPr>
        <w:spacing w:after="0" w:line="240" w:lineRule="auto"/>
      </w:pPr>
      <w:r>
        <w:t>The typology suggests three factors closely associated with recent economic performance of OICs:</w:t>
      </w:r>
    </w:p>
    <w:p w14:paraId="3A6FF1D2" w14:textId="4073EAED" w:rsidR="00817BFB" w:rsidRDefault="00817BFB" w:rsidP="000A0847">
      <w:pPr>
        <w:spacing w:after="0" w:line="240" w:lineRule="auto"/>
      </w:pPr>
    </w:p>
    <w:p w14:paraId="3A08560C" w14:textId="288BBA0F" w:rsidR="00817BFB" w:rsidRDefault="004473EE" w:rsidP="000A0847">
      <w:pPr>
        <w:pStyle w:val="ListParagraph"/>
        <w:numPr>
          <w:ilvl w:val="0"/>
          <w:numId w:val="30"/>
        </w:numPr>
        <w:spacing w:after="0" w:line="240" w:lineRule="auto"/>
      </w:pPr>
      <w:r>
        <w:rPr>
          <w:b/>
        </w:rPr>
        <w:t>Size: l</w:t>
      </w:r>
      <w:r w:rsidR="00817BFB" w:rsidRPr="00991F10">
        <w:rPr>
          <w:b/>
        </w:rPr>
        <w:t xml:space="preserve">arger OICs have done better than smaller OICs. </w:t>
      </w:r>
      <w:r w:rsidR="0066220C">
        <w:t xml:space="preserve">Across all urban counties, larger places performed better than smaller ones from 2000 to 2016. This was even more true among older industrial counties. </w:t>
      </w:r>
      <w:r w:rsidR="00840D40">
        <w:t>The average large OIC (with population over 500,000) ranked 202 out of the 360 counties on the performance index, compared to 253 for medium-sized OICs (populations from 200,000 to 500,000) and 298 for small OICs (populations under 200,000). The higher ranking of larger OICs held not only for the overall index, but in each of the three categories of growth, prosperity, and inclusion.</w:t>
      </w:r>
      <w:r w:rsidR="00FF4EFB">
        <w:t xml:space="preserve"> Many of the largest OICs—Brooklyn and Queens, N.Y., Baltimore, Philadelphia, and the counties surrounding Buffalo and Pittsburgh—rank in the “strong” category.</w:t>
      </w:r>
      <w:r w:rsidR="00386D27">
        <w:t xml:space="preserve"> This pattern comports with research cited in the Introduction finding that larger places have performed better economically in the recovery from the global financial crisis.</w:t>
      </w:r>
    </w:p>
    <w:p w14:paraId="75B9B38C" w14:textId="69840845" w:rsidR="00FF4EFB" w:rsidRDefault="00FF4EFB" w:rsidP="000A0847">
      <w:pPr>
        <w:spacing w:after="0" w:line="240" w:lineRule="auto"/>
      </w:pPr>
    </w:p>
    <w:p w14:paraId="093E23EC" w14:textId="3F396177" w:rsidR="00FF4EFB" w:rsidRDefault="00CE76CC" w:rsidP="000A0847">
      <w:pPr>
        <w:spacing w:after="0" w:line="240" w:lineRule="auto"/>
        <w:rPr>
          <w:b/>
        </w:rPr>
      </w:pPr>
      <w:r>
        <w:rPr>
          <w:b/>
        </w:rPr>
        <w:t>Figure 4.11</w:t>
      </w:r>
      <w:r w:rsidR="00FF4EFB">
        <w:rPr>
          <w:b/>
        </w:rPr>
        <w:t>—Larger OICs have performed better economically</w:t>
      </w:r>
    </w:p>
    <w:p w14:paraId="4DEB9451" w14:textId="0D572230" w:rsidR="00FF4EFB" w:rsidRPr="00FF4EFB" w:rsidRDefault="00FF4EFB" w:rsidP="000A0847">
      <w:pPr>
        <w:spacing w:after="0" w:line="240" w:lineRule="auto"/>
      </w:pPr>
      <w:r>
        <w:t xml:space="preserve">Average performance index rank among 360 urban counties, OICs by </w:t>
      </w:r>
      <w:r w:rsidR="00CE76CC">
        <w:t>population</w:t>
      </w:r>
      <w:r>
        <w:t>, 2000-2016</w:t>
      </w:r>
    </w:p>
    <w:tbl>
      <w:tblPr>
        <w:tblStyle w:val="TableGrid"/>
        <w:tblW w:w="0" w:type="auto"/>
        <w:tblLook w:val="04A0" w:firstRow="1" w:lastRow="0" w:firstColumn="1" w:lastColumn="0" w:noHBand="0" w:noVBand="1"/>
      </w:tblPr>
      <w:tblGrid>
        <w:gridCol w:w="3116"/>
        <w:gridCol w:w="3117"/>
        <w:gridCol w:w="3117"/>
      </w:tblGrid>
      <w:tr w:rsidR="00FF4EFB" w14:paraId="7252E77E" w14:textId="77777777" w:rsidTr="00FF4EFB">
        <w:tc>
          <w:tcPr>
            <w:tcW w:w="3116" w:type="dxa"/>
          </w:tcPr>
          <w:p w14:paraId="6F3D1BA8" w14:textId="67900CF0" w:rsidR="00FF4EFB" w:rsidRPr="00FF4EFB" w:rsidRDefault="00FF4EFB" w:rsidP="000A0847">
            <w:pPr>
              <w:jc w:val="center"/>
              <w:rPr>
                <w:sz w:val="144"/>
                <w:szCs w:val="144"/>
              </w:rPr>
            </w:pPr>
            <w:r>
              <w:rPr>
                <w:sz w:val="144"/>
                <w:szCs w:val="144"/>
              </w:rPr>
              <w:t>202</w:t>
            </w:r>
          </w:p>
        </w:tc>
        <w:tc>
          <w:tcPr>
            <w:tcW w:w="3117" w:type="dxa"/>
          </w:tcPr>
          <w:p w14:paraId="165AF5B8" w14:textId="72993D6B" w:rsidR="00FF4EFB" w:rsidRDefault="00FF4EFB" w:rsidP="000A0847">
            <w:pPr>
              <w:jc w:val="center"/>
            </w:pPr>
            <w:r>
              <w:rPr>
                <w:sz w:val="144"/>
                <w:szCs w:val="144"/>
              </w:rPr>
              <w:t>253</w:t>
            </w:r>
          </w:p>
        </w:tc>
        <w:tc>
          <w:tcPr>
            <w:tcW w:w="3117" w:type="dxa"/>
          </w:tcPr>
          <w:p w14:paraId="3A9146B9" w14:textId="36956D11" w:rsidR="00FF4EFB" w:rsidRDefault="00FF4EFB" w:rsidP="000A0847">
            <w:pPr>
              <w:jc w:val="center"/>
            </w:pPr>
            <w:r>
              <w:rPr>
                <w:sz w:val="144"/>
                <w:szCs w:val="144"/>
              </w:rPr>
              <w:t>298</w:t>
            </w:r>
          </w:p>
        </w:tc>
      </w:tr>
      <w:tr w:rsidR="00FF4EFB" w14:paraId="3D0E666E" w14:textId="77777777" w:rsidTr="00FF4EFB">
        <w:tc>
          <w:tcPr>
            <w:tcW w:w="3116" w:type="dxa"/>
          </w:tcPr>
          <w:p w14:paraId="2563C61E" w14:textId="77777777" w:rsidR="00FF4EFB" w:rsidRDefault="00FF4EFB" w:rsidP="000A0847">
            <w:pPr>
              <w:jc w:val="center"/>
            </w:pPr>
            <w:r>
              <w:t xml:space="preserve">Large OICs </w:t>
            </w:r>
          </w:p>
          <w:p w14:paraId="7187C721" w14:textId="1F5545CF" w:rsidR="00FF4EFB" w:rsidRDefault="00FF4EFB" w:rsidP="000A0847">
            <w:pPr>
              <w:jc w:val="center"/>
            </w:pPr>
            <w:r>
              <w:t>(population over 500,000)</w:t>
            </w:r>
          </w:p>
        </w:tc>
        <w:tc>
          <w:tcPr>
            <w:tcW w:w="3117" w:type="dxa"/>
          </w:tcPr>
          <w:p w14:paraId="53B967A3" w14:textId="77777777" w:rsidR="00FF4EFB" w:rsidRDefault="00FF4EFB" w:rsidP="000A0847">
            <w:pPr>
              <w:jc w:val="center"/>
            </w:pPr>
            <w:r>
              <w:t>Medium OICs</w:t>
            </w:r>
          </w:p>
          <w:p w14:paraId="00EF2EA9" w14:textId="15631F35" w:rsidR="00FF4EFB" w:rsidRDefault="00FF4EFB" w:rsidP="000A0847">
            <w:pPr>
              <w:jc w:val="center"/>
            </w:pPr>
            <w:r>
              <w:t>(population 200,000 to 500,000)</w:t>
            </w:r>
          </w:p>
        </w:tc>
        <w:tc>
          <w:tcPr>
            <w:tcW w:w="3117" w:type="dxa"/>
          </w:tcPr>
          <w:p w14:paraId="63EB2F22" w14:textId="77777777" w:rsidR="00FF4EFB" w:rsidRDefault="00FF4EFB" w:rsidP="000A0847">
            <w:pPr>
              <w:jc w:val="center"/>
            </w:pPr>
            <w:r>
              <w:t>Small OICs</w:t>
            </w:r>
          </w:p>
          <w:p w14:paraId="72DDABA2" w14:textId="6351BF23" w:rsidR="00FF4EFB" w:rsidRDefault="00FF4EFB" w:rsidP="000A0847">
            <w:pPr>
              <w:jc w:val="center"/>
            </w:pPr>
            <w:r>
              <w:t>(population under 200,000)</w:t>
            </w:r>
          </w:p>
        </w:tc>
      </w:tr>
    </w:tbl>
    <w:p w14:paraId="1BEEB0A2" w14:textId="7F42B419" w:rsidR="00FF4EFB" w:rsidRPr="00FF4EFB" w:rsidRDefault="00FF4EFB" w:rsidP="000A0847">
      <w:pPr>
        <w:spacing w:after="0" w:line="240" w:lineRule="auto"/>
        <w:rPr>
          <w:i/>
          <w:sz w:val="20"/>
        </w:rPr>
      </w:pPr>
      <w:r>
        <w:rPr>
          <w:i/>
          <w:sz w:val="20"/>
        </w:rPr>
        <w:t>Source: Brookings analysis of Moody’s Analytics</w:t>
      </w:r>
      <w:r w:rsidR="002B5156">
        <w:rPr>
          <w:i/>
          <w:sz w:val="20"/>
        </w:rPr>
        <w:t>, decennial census, and American Community Survey data</w:t>
      </w:r>
    </w:p>
    <w:p w14:paraId="4448392D" w14:textId="137484EA" w:rsidR="00817BFB" w:rsidRDefault="00817BFB" w:rsidP="000A0847">
      <w:pPr>
        <w:spacing w:after="0" w:line="240" w:lineRule="auto"/>
        <w:rPr>
          <w:b/>
        </w:rPr>
      </w:pPr>
    </w:p>
    <w:p w14:paraId="781BB050" w14:textId="49186072" w:rsidR="00817BFB" w:rsidRPr="00991F10" w:rsidRDefault="004473EE" w:rsidP="000A0847">
      <w:pPr>
        <w:pStyle w:val="ListParagraph"/>
        <w:numPr>
          <w:ilvl w:val="0"/>
          <w:numId w:val="30"/>
        </w:numPr>
        <w:spacing w:after="0" w:line="240" w:lineRule="auto"/>
        <w:rPr>
          <w:b/>
        </w:rPr>
      </w:pPr>
      <w:r>
        <w:rPr>
          <w:b/>
        </w:rPr>
        <w:t xml:space="preserve">Location: </w:t>
      </w:r>
      <w:r w:rsidR="00817BFB" w:rsidRPr="00991F10">
        <w:rPr>
          <w:b/>
        </w:rPr>
        <w:t>East Coast OICs have done better than Midwestern OICs.</w:t>
      </w:r>
      <w:r w:rsidR="00991F10">
        <w:t xml:space="preserve"> </w:t>
      </w:r>
      <w:r w:rsidR="00F360F6">
        <w:t xml:space="preserve">Of the 21 older industrial cities located within 2 hours of the Eastern Seaboard, 20 of them rank in one of the top two performance categories. Conversely, only 8 of the 32 OICs in Midwestern states ranked in those top two categories. </w:t>
      </w:r>
      <w:r w:rsidR="00FF4EFB">
        <w:t xml:space="preserve">While </w:t>
      </w:r>
      <w:r w:rsidR="00F360F6">
        <w:t>East Coast OICs are on average larger than their Midwestern counterparts</w:t>
      </w:r>
      <w:r>
        <w:t xml:space="preserve">, </w:t>
      </w:r>
      <w:r w:rsidR="00FF4EFB">
        <w:t xml:space="preserve">this regional discrepancy </w:t>
      </w:r>
      <w:r>
        <w:t>remains even after controlling for those size differences</w:t>
      </w:r>
      <w:r w:rsidR="00F360F6">
        <w:t>.</w:t>
      </w:r>
      <w:r w:rsidR="00F360F6">
        <w:rPr>
          <w:rStyle w:val="EndnoteReference"/>
        </w:rPr>
        <w:endnoteReference w:id="65"/>
      </w:r>
      <w:r>
        <w:t xml:space="preserve"> Many East Coast OICs are proximate to economically strong city-regions such as New York, Boston, and Washington, D.C. (in the case of Baltimore) and have undoubtedly benefited from spillover effects. </w:t>
      </w:r>
    </w:p>
    <w:p w14:paraId="5A4B2DEE" w14:textId="4535C471" w:rsidR="00817BFB" w:rsidRDefault="00817BFB" w:rsidP="000A0847">
      <w:pPr>
        <w:spacing w:after="0" w:line="240" w:lineRule="auto"/>
        <w:rPr>
          <w:b/>
        </w:rPr>
      </w:pPr>
    </w:p>
    <w:p w14:paraId="12AE112B" w14:textId="50F6C7C3" w:rsidR="00EB395A" w:rsidRDefault="004473EE" w:rsidP="000A0847">
      <w:pPr>
        <w:pStyle w:val="ListParagraph"/>
        <w:numPr>
          <w:ilvl w:val="0"/>
          <w:numId w:val="30"/>
        </w:numPr>
        <w:spacing w:after="0" w:line="240" w:lineRule="auto"/>
      </w:pPr>
      <w:r>
        <w:rPr>
          <w:b/>
        </w:rPr>
        <w:t xml:space="preserve">Racial/ethnic inclusion: </w:t>
      </w:r>
      <w:r w:rsidR="00817BFB" w:rsidRPr="004473EE">
        <w:rPr>
          <w:b/>
        </w:rPr>
        <w:t xml:space="preserve">OIC success </w:t>
      </w:r>
      <w:r w:rsidR="00386D27">
        <w:rPr>
          <w:b/>
        </w:rPr>
        <w:t xml:space="preserve">is highly associated with </w:t>
      </w:r>
      <w:r w:rsidR="00817BFB" w:rsidRPr="004473EE">
        <w:rPr>
          <w:b/>
        </w:rPr>
        <w:t xml:space="preserve">outcomes for communities of color. </w:t>
      </w:r>
      <w:r w:rsidR="00EB395A">
        <w:t xml:space="preserve">The four types of older industrial cities identified here exhibit large differences in outcomes for non-white populations over time. Among 14 strong </w:t>
      </w:r>
      <w:r w:rsidR="00FF4EFB">
        <w:t>OICs</w:t>
      </w:r>
      <w:r w:rsidR="00EB395A">
        <w:t xml:space="preserve"> for which data are available, four posted gains in non-white median household income from 2000 to 2016, versus only one that registered a decline (the remainder saw no change). By contrast, in 10 of the 14 vulnerable </w:t>
      </w:r>
      <w:r w:rsidR="00FF4EFB">
        <w:t>OICs</w:t>
      </w:r>
      <w:r w:rsidR="00EB395A">
        <w:t xml:space="preserve">, non-white household income is </w:t>
      </w:r>
      <w:r w:rsidR="00B3049F">
        <w:t xml:space="preserve">significantly </w:t>
      </w:r>
      <w:r w:rsidR="00EB395A">
        <w:t xml:space="preserve">lower today than in 2000, by an average of nearly $10,000 (the other four counties saw no change). </w:t>
      </w:r>
      <w:r w:rsidR="00386D27">
        <w:t xml:space="preserve">This indicates that </w:t>
      </w:r>
      <w:r w:rsidR="00EB395A">
        <w:t xml:space="preserve">the economic strength of </w:t>
      </w:r>
      <w:r>
        <w:t xml:space="preserve">OICs </w:t>
      </w:r>
      <w:r w:rsidR="00EB395A">
        <w:t>overall, and the economic resiliency of their racial and ethnic minority populations, are closely related.</w:t>
      </w:r>
    </w:p>
    <w:p w14:paraId="3AD56BCC" w14:textId="5ECCFF33" w:rsidR="00EB395A" w:rsidRDefault="00EB395A" w:rsidP="000A0847">
      <w:pPr>
        <w:spacing w:after="0" w:line="240" w:lineRule="auto"/>
      </w:pPr>
    </w:p>
    <w:p w14:paraId="79673478" w14:textId="77777777" w:rsidR="00EC016D" w:rsidRDefault="00EC016D" w:rsidP="000A0847">
      <w:pPr>
        <w:spacing w:after="0" w:line="240" w:lineRule="auto"/>
      </w:pPr>
    </w:p>
    <w:p w14:paraId="28954E66" w14:textId="4F97FC6C"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r>
        <w:rPr>
          <w:b/>
        </w:rPr>
        <w:t>SIDEBAR—Future [Not] Older Industrial Cities?</w:t>
      </w:r>
    </w:p>
    <w:p w14:paraId="02ED5801" w14:textId="77777777"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p>
    <w:p w14:paraId="6655D3A3" w14:textId="20FE7B72"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r>
        <w:t xml:space="preserve">The methodology we use to define older industrial cities is, by its nature, binary—you’re either an </w:t>
      </w:r>
      <w:r w:rsidR="00FF4EFB">
        <w:t>OIC</w:t>
      </w:r>
      <w:r>
        <w:t xml:space="preserve">, or you’re not. However, as the typology in this section shows, underlying economic dynamics vary quite a bit across these cities, and there are also many other urban areas that exhibit performance similar to that of the older industrial places. </w:t>
      </w:r>
    </w:p>
    <w:p w14:paraId="05A4F3AE" w14:textId="77777777"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p>
    <w:p w14:paraId="24250E10" w14:textId="387AC8EA"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r>
        <w:t xml:space="preserve">In fact, our methodology points to a number of places whose status could change from “urban industrial” to “older industrial” in the near future if trends hold. Recall that </w:t>
      </w:r>
      <w:r w:rsidR="00FF4EFB">
        <w:t>OICs</w:t>
      </w:r>
      <w:r>
        <w:t xml:space="preserve">, in addition to containing a significant city and having a history in manufacturing, had at least 3 percent fewer jobs in 2016 than their 1970 economic structure would have predicted, based on national employment trends. There are a number of urban industrial counties that in 2016 did not yet have a significant-enough “competitive deficit” to qualify as older industrial, but were close enough to that threshold, and on a downward trajectory post-recession, that together suggest they might </w:t>
      </w:r>
      <w:r w:rsidR="00991CC1">
        <w:t>reach</w:t>
      </w:r>
      <w:r>
        <w:t xml:space="preserve"> that status within 10 years. </w:t>
      </w:r>
    </w:p>
    <w:p w14:paraId="3C9949F7" w14:textId="77777777"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p>
    <w:p w14:paraId="5FB74D83" w14:textId="070F3987"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r>
        <w:t xml:space="preserve">These 14 counties are more geographically extensive than the 70 </w:t>
      </w:r>
      <w:r w:rsidR="00FF4EFB">
        <w:t>OICs</w:t>
      </w:r>
      <w:r>
        <w:t>, including several in the Southeast that began to deindustrialize later than their Northeast and Midwest counterparts.</w:t>
      </w:r>
      <w:r w:rsidR="00EC016D">
        <w:rPr>
          <w:rStyle w:val="EndnoteReference"/>
        </w:rPr>
        <w:endnoteReference w:id="66"/>
      </w:r>
      <w:r w:rsidR="00EC016D">
        <w:t xml:space="preserve"> </w:t>
      </w:r>
      <w:r>
        <w:t xml:space="preserve">On the 2000-2016 performance index, their average rank among 360 urban counties was 268, lower than two of the </w:t>
      </w:r>
      <w:r w:rsidR="00FF4EFB">
        <w:t>OIC</w:t>
      </w:r>
      <w:r>
        <w:t xml:space="preserve"> types. In light of that, the analysis and recommendations in this report may be as relevant to this near-older industrial group of places as to those “officially” deemed older industrial cities.</w:t>
      </w:r>
    </w:p>
    <w:p w14:paraId="021ACE22" w14:textId="3A75F625" w:rsidR="003124FC" w:rsidRDefault="003124FC" w:rsidP="000A0847">
      <w:pPr>
        <w:pBdr>
          <w:top w:val="single" w:sz="4" w:space="1" w:color="auto"/>
          <w:left w:val="single" w:sz="4" w:space="4" w:color="auto"/>
          <w:bottom w:val="single" w:sz="4" w:space="1" w:color="auto"/>
          <w:right w:val="single" w:sz="4" w:space="4" w:color="auto"/>
        </w:pBdr>
        <w:spacing w:after="0" w:line="240" w:lineRule="auto"/>
      </w:pPr>
    </w:p>
    <w:p w14:paraId="5A70ABE7" w14:textId="363CB69E" w:rsidR="003124FC" w:rsidRDefault="002B5156" w:rsidP="000A0847">
      <w:pPr>
        <w:pBdr>
          <w:top w:val="single" w:sz="4" w:space="1" w:color="auto"/>
          <w:left w:val="single" w:sz="4" w:space="4" w:color="auto"/>
          <w:bottom w:val="single" w:sz="4" w:space="1" w:color="auto"/>
          <w:right w:val="single" w:sz="4" w:space="4" w:color="auto"/>
        </w:pBdr>
        <w:spacing w:after="0" w:line="240" w:lineRule="auto"/>
      </w:pPr>
      <w:r>
        <w:t>[Figure 4.12</w:t>
      </w:r>
      <w:r w:rsidR="003124FC">
        <w:t>—Some counties are trending toward, and others emerging from, older industrial status]</w:t>
      </w:r>
    </w:p>
    <w:p w14:paraId="1625910E" w14:textId="77777777"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p>
    <w:p w14:paraId="12681F35" w14:textId="399D9C3E" w:rsidR="00EB395A" w:rsidRDefault="00EB395A" w:rsidP="000A0847">
      <w:pPr>
        <w:pBdr>
          <w:top w:val="single" w:sz="4" w:space="1" w:color="auto"/>
          <w:left w:val="single" w:sz="4" w:space="4" w:color="auto"/>
          <w:bottom w:val="single" w:sz="4" w:space="1" w:color="auto"/>
          <w:right w:val="single" w:sz="4" w:space="4" w:color="auto"/>
        </w:pBdr>
        <w:spacing w:after="0" w:line="240" w:lineRule="auto"/>
      </w:pPr>
      <w:r>
        <w:t>Similarly, the methodology also highlights a few older industrial places that may emerge from that status in the near future. Bethlehem, Louisville, and Trenton all anchor counties that, if current trends persist, would have relatively small competitive employment deficits a decade from now. This further highlights the dynamic economic processes affecting all urban areas that demand continued vigilance and adaptation among local leaders seeking to accelerate economic growth and opportunity.</w:t>
      </w:r>
    </w:p>
    <w:p w14:paraId="6E7FBED4" w14:textId="35C8AFB8" w:rsidR="00941C30" w:rsidRDefault="00941C30" w:rsidP="000A0847">
      <w:pPr>
        <w:spacing w:after="0" w:line="240" w:lineRule="auto"/>
      </w:pPr>
      <w:r>
        <w:br w:type="page"/>
      </w:r>
    </w:p>
    <w:p w14:paraId="6E5AA5F7" w14:textId="47B68DC2" w:rsidR="00941C30" w:rsidRPr="005D52E5" w:rsidRDefault="008A1099" w:rsidP="000A0847">
      <w:pPr>
        <w:pStyle w:val="ListParagraph"/>
        <w:numPr>
          <w:ilvl w:val="0"/>
          <w:numId w:val="26"/>
        </w:numPr>
        <w:spacing w:after="0" w:line="240" w:lineRule="auto"/>
        <w:rPr>
          <w:rStyle w:val="Strong"/>
          <w:sz w:val="24"/>
        </w:rPr>
      </w:pPr>
      <w:r>
        <w:rPr>
          <w:rStyle w:val="Strong"/>
          <w:sz w:val="24"/>
        </w:rPr>
        <w:t xml:space="preserve">Assets and Challenges: What factors </w:t>
      </w:r>
      <w:r w:rsidR="00941C30" w:rsidRPr="005D52E5">
        <w:rPr>
          <w:rStyle w:val="Strong"/>
          <w:sz w:val="24"/>
        </w:rPr>
        <w:t>influence older industrial cities’ adaptation to major economic and social forces?</w:t>
      </w:r>
    </w:p>
    <w:p w14:paraId="269DF96E" w14:textId="77777777" w:rsidR="00941C30" w:rsidRDefault="00941C30" w:rsidP="000A0847">
      <w:pPr>
        <w:spacing w:after="0" w:line="240" w:lineRule="auto"/>
      </w:pPr>
    </w:p>
    <w:p w14:paraId="1576BED0" w14:textId="0551DA2D" w:rsidR="00941C30" w:rsidRDefault="00E60A13" w:rsidP="000A0847">
      <w:pPr>
        <w:spacing w:after="0" w:line="240" w:lineRule="auto"/>
      </w:pPr>
      <w:r>
        <w:t>Efforts to improve</w:t>
      </w:r>
      <w:r w:rsidR="00941C30">
        <w:t xml:space="preserve"> economic outcomes for residents and communities in older industrial </w:t>
      </w:r>
      <w:r w:rsidR="0053245D">
        <w:t>areas</w:t>
      </w:r>
      <w:r w:rsidR="00941C30">
        <w:t xml:space="preserve"> </w:t>
      </w:r>
      <w:r>
        <w:t xml:space="preserve">are </w:t>
      </w:r>
      <w:r w:rsidR="00941C30">
        <w:t xml:space="preserve">critical not only </w:t>
      </w:r>
      <w:r>
        <w:t xml:space="preserve">for </w:t>
      </w:r>
      <w:r w:rsidR="00941C30">
        <w:t xml:space="preserve">their own </w:t>
      </w:r>
      <w:r>
        <w:t>well-being</w:t>
      </w:r>
      <w:r w:rsidR="00941C30">
        <w:t xml:space="preserve">, but also </w:t>
      </w:r>
      <w:r>
        <w:t xml:space="preserve">for </w:t>
      </w:r>
      <w:r w:rsidR="00941C30">
        <w:t>closing some of the deep divides affecting America’s broader economy and society.</w:t>
      </w:r>
    </w:p>
    <w:p w14:paraId="078300D7" w14:textId="77777777" w:rsidR="00941C30" w:rsidRDefault="00941C30" w:rsidP="000A0847">
      <w:pPr>
        <w:spacing w:after="0" w:line="240" w:lineRule="auto"/>
      </w:pPr>
    </w:p>
    <w:p w14:paraId="47C3F253" w14:textId="339165DC" w:rsidR="00941C30" w:rsidRDefault="00941C30" w:rsidP="000A0847">
      <w:pPr>
        <w:spacing w:after="0" w:line="240" w:lineRule="auto"/>
      </w:pPr>
      <w:r>
        <w:t xml:space="preserve">Like all urban areas, however, older industrial cities are not economies unto themselves. They function amid wider regional, national, and global dynamics that shape opportunities for places through major economic and social forces. Chief among these forces are technological change, urbanization, and demographic transformation (see </w:t>
      </w:r>
      <w:r w:rsidR="00216D62">
        <w:t>“Key factors influencing urban trajectories”</w:t>
      </w:r>
      <w:r>
        <w:t xml:space="preserve">). The fortunes of older industrial cities in coming years will depend greatly on how well their companies, institutions, and residents recognize and navigate those forces. </w:t>
      </w:r>
    </w:p>
    <w:p w14:paraId="43343929" w14:textId="77777777" w:rsidR="00941C30" w:rsidRDefault="00941C30" w:rsidP="000A0847">
      <w:pPr>
        <w:spacing w:after="0" w:line="240" w:lineRule="auto"/>
      </w:pPr>
    </w:p>
    <w:p w14:paraId="4581C006" w14:textId="77777777" w:rsidR="00941C30" w:rsidRDefault="00941C30" w:rsidP="000A0847">
      <w:pPr>
        <w:pBdr>
          <w:top w:val="single" w:sz="4" w:space="1" w:color="auto"/>
          <w:left w:val="single" w:sz="4" w:space="4" w:color="auto"/>
          <w:bottom w:val="single" w:sz="4" w:space="1" w:color="auto"/>
          <w:right w:val="single" w:sz="4" w:space="4" w:color="auto"/>
        </w:pBdr>
        <w:spacing w:after="0" w:line="240" w:lineRule="auto"/>
        <w:rPr>
          <w:b/>
        </w:rPr>
      </w:pPr>
      <w:r>
        <w:rPr>
          <w:b/>
        </w:rPr>
        <w:t>SIDEBAR: Key factors influencing urban trajectories</w:t>
      </w:r>
    </w:p>
    <w:p w14:paraId="1DB06FC3" w14:textId="552C6A3A" w:rsidR="00941C30" w:rsidRDefault="00536026" w:rsidP="000A0847">
      <w:pPr>
        <w:pBdr>
          <w:top w:val="single" w:sz="4" w:space="1" w:color="auto"/>
          <w:left w:val="single" w:sz="4" w:space="4" w:color="auto"/>
          <w:bottom w:val="single" w:sz="4" w:space="1" w:color="auto"/>
          <w:right w:val="single" w:sz="4" w:space="4" w:color="auto"/>
        </w:pBdr>
        <w:spacing w:after="0" w:line="240" w:lineRule="auto"/>
      </w:pPr>
      <w:r>
        <w:t xml:space="preserve">This chapter </w:t>
      </w:r>
      <w:r w:rsidR="00941C30">
        <w:t>examine</w:t>
      </w:r>
      <w:r>
        <w:t>s</w:t>
      </w:r>
      <w:r w:rsidR="00941C30">
        <w:t xml:space="preserve"> three forces that are reshaping local and regional economies</w:t>
      </w:r>
      <w:r w:rsidR="00941C30">
        <w:rPr>
          <w:rFonts w:ascii="Calibri" w:hAnsi="Calibri"/>
        </w:rPr>
        <w:t>—</w:t>
      </w:r>
      <w:r w:rsidR="00941C30">
        <w:t xml:space="preserve">technological change, urbanization, and demographic transformation—through a variety of indicators associated with these trends that illuminate older industrial economies’ assets and challenges. Existing research offers a variety of insights as to the critical influence of these forces on local growth and opportunity: </w:t>
      </w:r>
    </w:p>
    <w:p w14:paraId="14BC4D8E" w14:textId="77777777"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p>
    <w:p w14:paraId="16F7FF87" w14:textId="77777777" w:rsidR="00941C30" w:rsidRPr="003366FF" w:rsidRDefault="00941C30" w:rsidP="000A0847">
      <w:pPr>
        <w:pBdr>
          <w:top w:val="single" w:sz="4" w:space="1" w:color="auto"/>
          <w:left w:val="single" w:sz="4" w:space="4" w:color="auto"/>
          <w:bottom w:val="single" w:sz="4" w:space="1" w:color="auto"/>
          <w:right w:val="single" w:sz="4" w:space="4" w:color="auto"/>
        </w:pBdr>
        <w:spacing w:after="0" w:line="240" w:lineRule="auto"/>
        <w:rPr>
          <w:b/>
        </w:rPr>
      </w:pPr>
      <w:r w:rsidRPr="003366FF">
        <w:rPr>
          <w:b/>
        </w:rPr>
        <w:t>Tech</w:t>
      </w:r>
      <w:r>
        <w:rPr>
          <w:b/>
        </w:rPr>
        <w:t>nological change</w:t>
      </w:r>
      <w:r w:rsidRPr="003366FF">
        <w:rPr>
          <w:b/>
        </w:rPr>
        <w:t xml:space="preserve"> </w:t>
      </w:r>
    </w:p>
    <w:p w14:paraId="4312A7B3" w14:textId="3133C5A5"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r>
        <w:t xml:space="preserve">The technologically advanced economy is a major driver of economic growth. Berkeley economist Enrico Moretti’s research shows that high-tech jobs create large local multiplier effects, </w:t>
      </w:r>
      <w:r w:rsidR="00537AEA">
        <w:t>increasing</w:t>
      </w:r>
      <w:r>
        <w:t xml:space="preserve"> demand for labor at all levels.</w:t>
      </w:r>
      <w:r>
        <w:rPr>
          <w:rStyle w:val="EndnoteReference"/>
        </w:rPr>
        <w:endnoteReference w:id="67"/>
      </w:r>
      <w:r>
        <w:t xml:space="preserve"> While productivity growth has slowed nationally, metro areas that are participating in the tech boom are maintaining higher-than-average increases in productivity</w:t>
      </w:r>
      <w:r w:rsidR="00537AEA">
        <w:t>.</w:t>
      </w:r>
      <w:r>
        <w:rPr>
          <w:rStyle w:val="EndnoteReference"/>
        </w:rPr>
        <w:endnoteReference w:id="68"/>
      </w:r>
      <w:r>
        <w:t xml:space="preserve"> Regions’ success in a technologically advanced economy is strongly related to their human capital base. As our colleague Mark </w:t>
      </w:r>
      <w:proofErr w:type="spellStart"/>
      <w:r>
        <w:t>Muro’s</w:t>
      </w:r>
      <w:proofErr w:type="spellEnd"/>
      <w:r>
        <w:t xml:space="preserve"> work has shown, occupations requiring high levels of digital </w:t>
      </w:r>
      <w:r w:rsidR="00537AEA">
        <w:t>competencies have grown rapidly.</w:t>
      </w:r>
      <w:r>
        <w:rPr>
          <w:rStyle w:val="EndnoteReference"/>
        </w:rPr>
        <w:endnoteReference w:id="69"/>
      </w:r>
      <w:r>
        <w:t xml:space="preserve"> Metros with higher concentrations of STEM workers have higher shares of R&amp;D expenditures, tech transfer, patents, and venture capital, and by extension, higher ou</w:t>
      </w:r>
      <w:r w:rsidR="00537AEA">
        <w:t>tput, productivity, and incomes.</w:t>
      </w:r>
      <w:r>
        <w:rPr>
          <w:rStyle w:val="EndnoteReference"/>
        </w:rPr>
        <w:endnoteReference w:id="70"/>
      </w:r>
      <w:r>
        <w:t xml:space="preserve"> For all its contributions to growth and labor market opportunity, however, technological change can destroy jobs in the short-term. Industrial robots have p</w:t>
      </w:r>
      <w:r w:rsidR="006070EF">
        <w:t xml:space="preserve">roliferated throughout a </w:t>
      </w:r>
      <w:r>
        <w:t xml:space="preserve">corridor from Michigan to Alabama, </w:t>
      </w:r>
      <w:r w:rsidR="00536026">
        <w:t>at the same time</w:t>
      </w:r>
      <w:r>
        <w:t xml:space="preserve"> those regional economies have shed significant manufacturing employment.</w:t>
      </w:r>
      <w:r>
        <w:rPr>
          <w:rStyle w:val="EndnoteReference"/>
        </w:rPr>
        <w:endnoteReference w:id="71"/>
      </w:r>
    </w:p>
    <w:p w14:paraId="3DB846B5" w14:textId="77777777"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p>
    <w:p w14:paraId="617D6EEF" w14:textId="77777777"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r w:rsidRPr="003366FF">
        <w:rPr>
          <w:b/>
        </w:rPr>
        <w:t>Urbanization</w:t>
      </w:r>
    </w:p>
    <w:p w14:paraId="2415B738" w14:textId="471A0DA6"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r>
        <w:t>Urban places concentrate the economic assets that support the f</w:t>
      </w:r>
      <w:r w:rsidR="00537AEA">
        <w:t>unction of the advanced economy.</w:t>
      </w:r>
      <w:r>
        <w:rPr>
          <w:rStyle w:val="EndnoteReference"/>
        </w:rPr>
        <w:endnoteReference w:id="72"/>
      </w:r>
      <w:r>
        <w:t xml:space="preserve"> Specifically, urban agglomeration and density provide a larger, more specialized pool of labor, capital, and services and enable the knowledge spi</w:t>
      </w:r>
      <w:r w:rsidR="00537AEA">
        <w:t>llovers that generate new ideas.</w:t>
      </w:r>
      <w:r>
        <w:rPr>
          <w:rStyle w:val="EndnoteReference"/>
        </w:rPr>
        <w:endnoteReference w:id="73"/>
      </w:r>
      <w:r>
        <w:t xml:space="preserve"> In addition, urban density, infrastructure, and amenities are critical assets for places wishing to attract innovative companies, as the list of attributes in Amazon’s RFP for a second headquarters shows.</w:t>
      </w:r>
      <w:r>
        <w:rPr>
          <w:rStyle w:val="EndnoteReference"/>
        </w:rPr>
        <w:endnoteReference w:id="74"/>
      </w:r>
      <w:r>
        <w:t xml:space="preserve"> </w:t>
      </w:r>
      <w:r w:rsidR="006070EF">
        <w:t>At the same time</w:t>
      </w:r>
      <w:r>
        <w:t>, continued suburban sprawl presents a fiscal challenge for cities with stagnant or declining populations, and creates barriers to employment access for lower-income populations</w:t>
      </w:r>
      <w:r w:rsidR="00537AEA">
        <w:t>.</w:t>
      </w:r>
      <w:r>
        <w:rPr>
          <w:rStyle w:val="EndnoteReference"/>
        </w:rPr>
        <w:endnoteReference w:id="75"/>
      </w:r>
    </w:p>
    <w:p w14:paraId="7022A480" w14:textId="77777777" w:rsidR="00941C30" w:rsidRDefault="00941C30" w:rsidP="000A0847">
      <w:pPr>
        <w:pBdr>
          <w:top w:val="single" w:sz="4" w:space="1" w:color="auto"/>
          <w:left w:val="single" w:sz="4" w:space="4" w:color="auto"/>
          <w:bottom w:val="single" w:sz="4" w:space="1" w:color="auto"/>
          <w:right w:val="single" w:sz="4" w:space="4" w:color="auto"/>
        </w:pBdr>
        <w:spacing w:after="0" w:line="240" w:lineRule="auto"/>
        <w:rPr>
          <w:b/>
        </w:rPr>
      </w:pPr>
    </w:p>
    <w:p w14:paraId="7C0DB570" w14:textId="77777777" w:rsidR="00941C30" w:rsidRPr="003366FF" w:rsidRDefault="00941C30" w:rsidP="000A0847">
      <w:pPr>
        <w:pBdr>
          <w:top w:val="single" w:sz="4" w:space="1" w:color="auto"/>
          <w:left w:val="single" w:sz="4" w:space="4" w:color="auto"/>
          <w:bottom w:val="single" w:sz="4" w:space="1" w:color="auto"/>
          <w:right w:val="single" w:sz="4" w:space="4" w:color="auto"/>
        </w:pBdr>
        <w:spacing w:after="0" w:line="240" w:lineRule="auto"/>
        <w:rPr>
          <w:b/>
        </w:rPr>
      </w:pPr>
      <w:r>
        <w:rPr>
          <w:b/>
        </w:rPr>
        <w:t>Demographic transformation</w:t>
      </w:r>
    </w:p>
    <w:p w14:paraId="34F67C1B" w14:textId="493A97C5" w:rsidR="00941C30" w:rsidRDefault="00941C30" w:rsidP="000A0847">
      <w:pPr>
        <w:pBdr>
          <w:top w:val="single" w:sz="4" w:space="1" w:color="auto"/>
          <w:left w:val="single" w:sz="4" w:space="4" w:color="auto"/>
          <w:bottom w:val="single" w:sz="4" w:space="1" w:color="auto"/>
          <w:right w:val="single" w:sz="4" w:space="4" w:color="auto"/>
        </w:pBdr>
        <w:spacing w:after="0" w:line="240" w:lineRule="auto"/>
      </w:pPr>
      <w:r>
        <w:t xml:space="preserve">As our colleague Bill Frey </w:t>
      </w:r>
      <w:r w:rsidR="006070EF">
        <w:t>documents</w:t>
      </w:r>
      <w:r>
        <w:t>, the United States will become a majority-minority nation by the middle of this century.</w:t>
      </w:r>
      <w:r>
        <w:rPr>
          <w:rStyle w:val="EndnoteReference"/>
        </w:rPr>
        <w:endnoteReference w:id="76"/>
      </w:r>
      <w:r>
        <w:t xml:space="preserve"> There is evidence that diversity is good for growth: more diverse metro areas have more business starts and higher rates of self-employment, which in turn are associated with growth in jobs, output, prod</w:t>
      </w:r>
      <w:r w:rsidR="00537AEA">
        <w:t>uctivity, and per capita income.</w:t>
      </w:r>
      <w:r>
        <w:rPr>
          <w:rStyle w:val="EndnoteReference"/>
        </w:rPr>
        <w:endnoteReference w:id="77"/>
      </w:r>
      <w:r>
        <w:t xml:space="preserve"> But this shift also adds urgency to the imperative to shrink racial and ethnic disparities. The cost of continued racial segregation in these communities is high: research from the Urban Institute shows that black-white segregation is associated with lower incomes for blacks and lower educational attain</w:t>
      </w:r>
      <w:r w:rsidR="00537AEA">
        <w:t>ment for both blacks and whites.</w:t>
      </w:r>
      <w:r>
        <w:rPr>
          <w:rStyle w:val="EndnoteReference"/>
        </w:rPr>
        <w:endnoteReference w:id="78"/>
      </w:r>
      <w:r>
        <w:t xml:space="preserve"> </w:t>
      </w:r>
    </w:p>
    <w:p w14:paraId="39DFABEE" w14:textId="6D11A476" w:rsidR="00301C71" w:rsidRDefault="00301C71" w:rsidP="000A0847">
      <w:pPr>
        <w:pBdr>
          <w:top w:val="single" w:sz="4" w:space="1" w:color="auto"/>
          <w:left w:val="single" w:sz="4" w:space="4" w:color="auto"/>
          <w:bottom w:val="single" w:sz="4" w:space="1" w:color="auto"/>
          <w:right w:val="single" w:sz="4" w:space="4" w:color="auto"/>
        </w:pBdr>
        <w:spacing w:after="0" w:line="240" w:lineRule="auto"/>
      </w:pPr>
    </w:p>
    <w:p w14:paraId="58DF3282" w14:textId="4858F86B" w:rsidR="00301C71" w:rsidRPr="00356E6D" w:rsidRDefault="00301C71" w:rsidP="000A0847">
      <w:pPr>
        <w:pBdr>
          <w:top w:val="single" w:sz="4" w:space="1" w:color="auto"/>
          <w:left w:val="single" w:sz="4" w:space="4" w:color="auto"/>
          <w:bottom w:val="single" w:sz="4" w:space="1" w:color="auto"/>
          <w:right w:val="single" w:sz="4" w:space="4" w:color="auto"/>
        </w:pBdr>
        <w:spacing w:after="0" w:line="240" w:lineRule="auto"/>
      </w:pPr>
      <w:r>
        <w:rPr>
          <w:rFonts w:ascii="Calibri" w:hAnsi="Calibri"/>
          <w:color w:val="000000"/>
        </w:rPr>
        <w:t xml:space="preserve">This chapter explores several OIC attributes in these three areas that may propel market adaptation and progress in the face of ongoing macroeconomic changes, and others that could hold these cities back and </w:t>
      </w:r>
      <w:r w:rsidR="00B73659">
        <w:rPr>
          <w:rFonts w:ascii="Calibri" w:hAnsi="Calibri"/>
          <w:color w:val="000000"/>
        </w:rPr>
        <w:t>contribute to</w:t>
      </w:r>
      <w:r>
        <w:rPr>
          <w:rFonts w:ascii="Calibri" w:hAnsi="Calibri"/>
          <w:color w:val="000000"/>
        </w:rPr>
        <w:t xml:space="preserve"> </w:t>
      </w:r>
      <w:r w:rsidR="00B73659">
        <w:rPr>
          <w:rFonts w:ascii="Calibri" w:hAnsi="Calibri"/>
          <w:color w:val="000000"/>
        </w:rPr>
        <w:t xml:space="preserve">further </w:t>
      </w:r>
      <w:r>
        <w:rPr>
          <w:rFonts w:ascii="Calibri" w:hAnsi="Calibri"/>
          <w:color w:val="000000"/>
        </w:rPr>
        <w:t>decline. To be sure, these are not the only factors that could circ</w:t>
      </w:r>
      <w:r w:rsidR="00F4716C">
        <w:rPr>
          <w:rFonts w:ascii="Calibri" w:hAnsi="Calibri"/>
          <w:color w:val="000000"/>
        </w:rPr>
        <w:t>umscribe OICs’ economic futures, and</w:t>
      </w:r>
      <w:r>
        <w:rPr>
          <w:rFonts w:ascii="Calibri" w:hAnsi="Calibri"/>
          <w:color w:val="000000"/>
        </w:rPr>
        <w:t xml:space="preserve"> </w:t>
      </w:r>
      <w:r w:rsidR="00F4716C">
        <w:rPr>
          <w:rFonts w:ascii="Calibri" w:hAnsi="Calibri"/>
          <w:color w:val="000000"/>
        </w:rPr>
        <w:t>i</w:t>
      </w:r>
      <w:r>
        <w:rPr>
          <w:rFonts w:ascii="Calibri" w:hAnsi="Calibri"/>
          <w:color w:val="000000"/>
        </w:rPr>
        <w:t xml:space="preserve">mportant work </w:t>
      </w:r>
      <w:r w:rsidR="007D344F">
        <w:rPr>
          <w:rFonts w:ascii="Calibri" w:hAnsi="Calibri"/>
          <w:color w:val="000000"/>
        </w:rPr>
        <w:t xml:space="preserve">over the past decade </w:t>
      </w:r>
      <w:r>
        <w:rPr>
          <w:rFonts w:ascii="Calibri" w:hAnsi="Calibri"/>
          <w:color w:val="000000"/>
        </w:rPr>
        <w:t xml:space="preserve">has described and helped </w:t>
      </w:r>
      <w:r w:rsidR="00B73659">
        <w:rPr>
          <w:rFonts w:ascii="Calibri" w:hAnsi="Calibri"/>
          <w:color w:val="000000"/>
        </w:rPr>
        <w:t>address</w:t>
      </w:r>
      <w:r>
        <w:rPr>
          <w:rFonts w:ascii="Calibri" w:hAnsi="Calibri"/>
          <w:color w:val="000000"/>
        </w:rPr>
        <w:t xml:space="preserve"> </w:t>
      </w:r>
      <w:r w:rsidR="00B73659">
        <w:rPr>
          <w:rFonts w:ascii="Calibri" w:hAnsi="Calibri"/>
          <w:color w:val="000000"/>
        </w:rPr>
        <w:t xml:space="preserve">other </w:t>
      </w:r>
      <w:r>
        <w:rPr>
          <w:rFonts w:ascii="Calibri" w:hAnsi="Calibri"/>
          <w:color w:val="000000"/>
        </w:rPr>
        <w:t xml:space="preserve">unique assets and challenges these communities possess. Due to their long-term losses of manufacturing plants and workers, OICs contain disproportionate amounts of </w:t>
      </w:r>
      <w:r w:rsidRPr="00F4716C">
        <w:rPr>
          <w:rFonts w:ascii="Calibri" w:hAnsi="Calibri"/>
          <w:b/>
          <w:color w:val="000000"/>
        </w:rPr>
        <w:t>vacant industrial land and residential properties</w:t>
      </w:r>
      <w:r>
        <w:rPr>
          <w:rFonts w:ascii="Calibri" w:hAnsi="Calibri"/>
          <w:color w:val="000000"/>
        </w:rPr>
        <w:t xml:space="preserve"> in a low-demand environment that complicate efforts to restore urban vitality. Those losses, coupled with “small-box” </w:t>
      </w:r>
      <w:r w:rsidRPr="00F4716C">
        <w:rPr>
          <w:rFonts w:ascii="Calibri" w:hAnsi="Calibri"/>
          <w:b/>
          <w:color w:val="000000"/>
        </w:rPr>
        <w:t>legacy governance structures</w:t>
      </w:r>
      <w:r>
        <w:rPr>
          <w:rFonts w:ascii="Calibri" w:hAnsi="Calibri"/>
          <w:color w:val="000000"/>
        </w:rPr>
        <w:t xml:space="preserve">, have reduced the </w:t>
      </w:r>
      <w:r w:rsidRPr="00F4716C">
        <w:rPr>
          <w:rFonts w:ascii="Calibri" w:hAnsi="Calibri"/>
          <w:b/>
          <w:color w:val="000000"/>
        </w:rPr>
        <w:t xml:space="preserve">fiscal </w:t>
      </w:r>
      <w:r w:rsidR="00F4716C">
        <w:rPr>
          <w:rFonts w:ascii="Calibri" w:hAnsi="Calibri"/>
          <w:b/>
          <w:color w:val="000000"/>
        </w:rPr>
        <w:t xml:space="preserve">and technical </w:t>
      </w:r>
      <w:r w:rsidRPr="00F4716C">
        <w:rPr>
          <w:rFonts w:ascii="Calibri" w:hAnsi="Calibri"/>
          <w:b/>
          <w:color w:val="000000"/>
        </w:rPr>
        <w:t>capacity</w:t>
      </w:r>
      <w:r>
        <w:rPr>
          <w:rFonts w:ascii="Calibri" w:hAnsi="Calibri"/>
          <w:color w:val="000000"/>
        </w:rPr>
        <w:t xml:space="preserve"> of local governments in OICs to engage in strategic economic development while also providing high-quality services to residents and businesses. Moreover, OICs’ uneven population losses mean that most bear burdens of concentrated poverty and economic distress that affect not only avenues to upward mobility for their low-income residents, but also impose increased local costs for core functions like </w:t>
      </w:r>
      <w:r w:rsidRPr="00F4716C">
        <w:rPr>
          <w:rFonts w:ascii="Calibri" w:hAnsi="Calibri"/>
          <w:b/>
          <w:color w:val="000000"/>
        </w:rPr>
        <w:t>schools and safety</w:t>
      </w:r>
      <w:r>
        <w:rPr>
          <w:rFonts w:ascii="Calibri" w:hAnsi="Calibri"/>
          <w:color w:val="000000"/>
        </w:rPr>
        <w:t>.</w:t>
      </w:r>
      <w:r w:rsidR="00B73659">
        <w:rPr>
          <w:rFonts w:ascii="Calibri" w:hAnsi="Calibri"/>
          <w:color w:val="000000"/>
        </w:rPr>
        <w:t xml:space="preserve"> Those higher local expenses carry arguably greater weight in an era of declining federal fiscal assistance to localities and significant legacy costs that many OICs carry in </w:t>
      </w:r>
      <w:r w:rsidR="00F4716C" w:rsidRPr="00F4716C">
        <w:rPr>
          <w:rFonts w:ascii="Calibri" w:hAnsi="Calibri"/>
          <w:b/>
          <w:color w:val="000000"/>
        </w:rPr>
        <w:t>bonded debt and retirement-benefit liabilities</w:t>
      </w:r>
      <w:r w:rsidR="00B73659">
        <w:rPr>
          <w:rFonts w:ascii="Calibri" w:hAnsi="Calibri"/>
          <w:color w:val="000000"/>
        </w:rPr>
        <w:t>.</w:t>
      </w:r>
      <w:r w:rsidR="00F4716C">
        <w:rPr>
          <w:rStyle w:val="EndnoteReference"/>
          <w:rFonts w:ascii="Calibri" w:hAnsi="Calibri"/>
          <w:color w:val="000000"/>
        </w:rPr>
        <w:endnoteReference w:id="79"/>
      </w:r>
      <w:r w:rsidR="00B73659">
        <w:rPr>
          <w:rFonts w:ascii="Calibri" w:hAnsi="Calibri"/>
          <w:color w:val="000000"/>
        </w:rPr>
        <w:t xml:space="preserve"> While these land, governance, and fiscal factors </w:t>
      </w:r>
      <w:r w:rsidR="00F4716C">
        <w:rPr>
          <w:rFonts w:ascii="Calibri" w:hAnsi="Calibri"/>
          <w:color w:val="000000"/>
        </w:rPr>
        <w:t xml:space="preserve">undoubtedly influence </w:t>
      </w:r>
      <w:r w:rsidR="00B73659">
        <w:rPr>
          <w:rFonts w:ascii="Calibri" w:hAnsi="Calibri"/>
          <w:color w:val="000000"/>
        </w:rPr>
        <w:t xml:space="preserve">OIC prospects, this chapter aims to contribute new evidence on </w:t>
      </w:r>
      <w:r w:rsidR="006070EF">
        <w:rPr>
          <w:rFonts w:ascii="Calibri" w:hAnsi="Calibri"/>
          <w:color w:val="000000"/>
        </w:rPr>
        <w:t>their</w:t>
      </w:r>
      <w:r w:rsidR="007D344F">
        <w:rPr>
          <w:rFonts w:ascii="Calibri" w:hAnsi="Calibri"/>
          <w:color w:val="000000"/>
        </w:rPr>
        <w:t xml:space="preserve"> </w:t>
      </w:r>
      <w:r w:rsidR="00B73659">
        <w:rPr>
          <w:rFonts w:ascii="Calibri" w:hAnsi="Calibri"/>
          <w:color w:val="000000"/>
        </w:rPr>
        <w:t>assets and challenges that relate directly to the key economic currents of our time.</w:t>
      </w:r>
    </w:p>
    <w:p w14:paraId="6F03D95E" w14:textId="77777777" w:rsidR="00941C30" w:rsidRDefault="00941C30" w:rsidP="000A0847">
      <w:pPr>
        <w:spacing w:after="0" w:line="240" w:lineRule="auto"/>
      </w:pPr>
    </w:p>
    <w:p w14:paraId="01B6E8E2" w14:textId="1E0F9A64" w:rsidR="00941C30" w:rsidRDefault="00941C30" w:rsidP="000A0847">
      <w:pPr>
        <w:spacing w:after="0" w:line="240" w:lineRule="auto"/>
      </w:pPr>
      <w:r>
        <w:t xml:space="preserve">As this chapter explores, </w:t>
      </w:r>
      <w:r w:rsidR="006070EF">
        <w:t>OICs</w:t>
      </w:r>
      <w:r>
        <w:t xml:space="preserve"> possess significant assets that can enable their continued adaptation to economic pressures ahead. At the same time, they have complicated </w:t>
      </w:r>
      <w:r w:rsidR="00F4716C">
        <w:t xml:space="preserve">economic and social </w:t>
      </w:r>
      <w:r>
        <w:t>legacies that pose unique challenges for their efforts to stimulate growth and broaden access to opportunity. And as differences in their recent performance suggest, those assets and challenges are not distributed equally among older industrial cities. We examine how older industrial cities overall, and types of older industrial cities, are positioned to seize opportunities and steer through currents shaped by ongoing technological change, urbanization, and demographic transformation.</w:t>
      </w:r>
    </w:p>
    <w:p w14:paraId="6110D1C8" w14:textId="77777777" w:rsidR="00941C30" w:rsidRDefault="00941C30" w:rsidP="000A0847">
      <w:pPr>
        <w:spacing w:after="0" w:line="240" w:lineRule="auto"/>
      </w:pPr>
    </w:p>
    <w:p w14:paraId="5D4CE1E3" w14:textId="77777777" w:rsidR="00941C30" w:rsidRPr="005846E7" w:rsidRDefault="00941C30" w:rsidP="000A0847">
      <w:pPr>
        <w:pStyle w:val="ListParagraph"/>
        <w:numPr>
          <w:ilvl w:val="0"/>
          <w:numId w:val="27"/>
        </w:numPr>
        <w:spacing w:after="0" w:line="240" w:lineRule="auto"/>
        <w:rPr>
          <w:sz w:val="24"/>
        </w:rPr>
      </w:pPr>
      <w:r w:rsidRPr="005846E7">
        <w:rPr>
          <w:b/>
          <w:sz w:val="24"/>
        </w:rPr>
        <w:t>Older industrial cities possess significant technological know-how, but have struggled to convert those assets into technology-enabled economic growth</w:t>
      </w:r>
    </w:p>
    <w:p w14:paraId="6982B873" w14:textId="77777777" w:rsidR="00941C30" w:rsidRDefault="00941C30" w:rsidP="000A0847">
      <w:pPr>
        <w:spacing w:after="0" w:line="240" w:lineRule="auto"/>
      </w:pPr>
    </w:p>
    <w:p w14:paraId="56EAFEB3" w14:textId="77777777" w:rsidR="00941C30" w:rsidRDefault="00941C30" w:rsidP="000A0847">
      <w:pPr>
        <w:spacing w:after="0" w:line="240" w:lineRule="auto"/>
      </w:pPr>
      <w:r>
        <w:t xml:space="preserve">For people, companies, and communities, the path to economic success is increasingly a digital one. The boom in digitalization—the use of digital technologies and information to transform business operations—is having profound impacts on national and regional economies. </w:t>
      </w:r>
    </w:p>
    <w:p w14:paraId="1039FA96" w14:textId="77777777" w:rsidR="00941C30" w:rsidRDefault="00941C30" w:rsidP="000A0847">
      <w:pPr>
        <w:spacing w:after="0" w:line="240" w:lineRule="auto"/>
      </w:pPr>
    </w:p>
    <w:p w14:paraId="1B4F1301" w14:textId="56B68C81" w:rsidR="00941C30" w:rsidRDefault="00941C30" w:rsidP="000A0847">
      <w:pPr>
        <w:spacing w:after="0" w:line="240" w:lineRule="auto"/>
      </w:pPr>
      <w:r>
        <w:t xml:space="preserve">The most digitally oriented workers and places are reaping the benefits of this trend through increased job opportunities and pay, while others are falling behind. To illustrate the rapid nature of digitalization, </w:t>
      </w:r>
      <w:r w:rsidR="00E37237">
        <w:t xml:space="preserve">Mark </w:t>
      </w:r>
      <w:r>
        <w:t>Muro and co-authors show that from 2002 to 2016, the share of U.S. jobs requiring high levels of digital knowledge rose from 5 percent to 23 percent, while the share requiring low digital knowledge shrank from 56 percent to 30 percent. Jobs with higher digital content pay more than other jobs (even when controlling for workers’ educational attainment), and metro areas with more digitally-oriented jobs boast higher average wages. Building and exploiting digital capabilities also matters, they find, for navigating the effects of automation. Estimates from the McKinsey Global Institute imply that nearly 60 percent of tasks involved in low-digital occupations appear susceptible to automation, compared to around 30 percent of tasks in high-digital occupations. In essence, people and places that are successfully harnessing digital technologies to deliver new forms of economic value are less likely to be overtaken by technological advancement in the near term.</w:t>
      </w:r>
      <w:r>
        <w:rPr>
          <w:rStyle w:val="EndnoteReference"/>
        </w:rPr>
        <w:endnoteReference w:id="80"/>
      </w:r>
    </w:p>
    <w:p w14:paraId="4398BDEB" w14:textId="0D199012" w:rsidR="00941C30" w:rsidRDefault="00941C30" w:rsidP="000A0847">
      <w:pPr>
        <w:spacing w:after="0" w:line="240" w:lineRule="auto"/>
      </w:pPr>
    </w:p>
    <w:p w14:paraId="28B8AFDF" w14:textId="5477813D" w:rsidR="00E37237" w:rsidRDefault="00E37237" w:rsidP="000A0847">
      <w:pPr>
        <w:spacing w:after="0" w:line="240" w:lineRule="auto"/>
      </w:pPr>
      <w:r>
        <w:t>[Figure 5.1—The U.S. economy is digitalizing at an extremely rapid pace]</w:t>
      </w:r>
    </w:p>
    <w:p w14:paraId="55BAAED2" w14:textId="26A3A629" w:rsidR="00941C30" w:rsidRDefault="00941C30" w:rsidP="000A0847">
      <w:pPr>
        <w:spacing w:after="0" w:line="240" w:lineRule="auto"/>
      </w:pPr>
    </w:p>
    <w:p w14:paraId="75D18EF2" w14:textId="0B832F77" w:rsidR="00941C30" w:rsidRDefault="00941C30" w:rsidP="000A0847">
      <w:pPr>
        <w:spacing w:after="0" w:line="240" w:lineRule="auto"/>
      </w:pPr>
      <w:r>
        <w:t xml:space="preserve">Older industrial places overall bring considerable assets to the task of keeping pace in a digitizing economy. On average, they possess institutions and </w:t>
      </w:r>
      <w:r w:rsidR="006070EF">
        <w:t>knowledge</w:t>
      </w:r>
      <w:r>
        <w:t xml:space="preserve"> that signify important capabilities in technological innovation and know-how. These include:</w:t>
      </w:r>
    </w:p>
    <w:p w14:paraId="0365BFE5" w14:textId="77777777" w:rsidR="00941C30" w:rsidRDefault="00941C30" w:rsidP="000A0847">
      <w:pPr>
        <w:spacing w:after="0" w:line="240" w:lineRule="auto"/>
      </w:pPr>
    </w:p>
    <w:p w14:paraId="717F6FE8" w14:textId="0BC75F23" w:rsidR="00941C30" w:rsidRDefault="00941C30" w:rsidP="000A0847">
      <w:pPr>
        <w:pStyle w:val="ListParagraph"/>
        <w:numPr>
          <w:ilvl w:val="0"/>
          <w:numId w:val="21"/>
        </w:numPr>
        <w:spacing w:after="0" w:line="240" w:lineRule="auto"/>
      </w:pPr>
      <w:r w:rsidRPr="003274D5">
        <w:rPr>
          <w:b/>
        </w:rPr>
        <w:t>Outsized presence of research universities</w:t>
      </w:r>
      <w:r>
        <w:t xml:space="preserve">. The older industrial </w:t>
      </w:r>
      <w:r w:rsidR="00E71B2A">
        <w:t xml:space="preserve">cities </w:t>
      </w:r>
      <w:r>
        <w:t xml:space="preserve">of the Northeast and Midwest possess </w:t>
      </w:r>
      <w:r w:rsidR="006070EF">
        <w:t>some</w:t>
      </w:r>
      <w:r>
        <w:t xml:space="preserve"> of the nation’s and world’s leading higher education institutions. These include many of the storied private research universities of the Northeast, as well as the celebrated land-grant colleges and universities of the Midwest.</w:t>
      </w:r>
      <w:r w:rsidR="006070EF">
        <w:rPr>
          <w:rStyle w:val="EndnoteReference"/>
        </w:rPr>
        <w:endnoteReference w:id="81"/>
      </w:r>
      <w:r>
        <w:t xml:space="preserve"> </w:t>
      </w:r>
      <w:r w:rsidR="00E71B2A">
        <w:t>OICs</w:t>
      </w:r>
      <w:r>
        <w:t xml:space="preserve"> outpace other types of urban counties on the presence of Tier I and Tier II research universities per capita. </w:t>
      </w:r>
      <w:r w:rsidR="006070EF">
        <w:t>And t</w:t>
      </w:r>
      <w:r>
        <w:t xml:space="preserve">heir universities receive more grant dollars per capita from the National Science Foundation and National Institutes of Health than those in urban counties overall, signaling the scientific relevance of their research capabilities. Four of the top 10 universities for NSF and NIH funding—Johns Hopkins University (Baltimore), University of Pittsburgh, University of Pennsylvania (Philadelphia), and Yale University (New Haven) are located in </w:t>
      </w:r>
      <w:r w:rsidR="00E71B2A">
        <w:t>OICs</w:t>
      </w:r>
      <w:r>
        <w:t xml:space="preserve">, and those </w:t>
      </w:r>
      <w:r w:rsidR="00E71B2A">
        <w:t xml:space="preserve">same </w:t>
      </w:r>
      <w:r>
        <w:t xml:space="preserve">cities rank among the </w:t>
      </w:r>
      <w:r w:rsidR="00E71B2A">
        <w:t>more</w:t>
      </w:r>
      <w:r>
        <w:t xml:space="preserve"> economically vibrant of the 70 places.</w:t>
      </w:r>
    </w:p>
    <w:p w14:paraId="7539CDD0" w14:textId="5CB0E463" w:rsidR="00E37237" w:rsidRDefault="00E37237" w:rsidP="000A0847">
      <w:pPr>
        <w:spacing w:after="0" w:line="240" w:lineRule="auto"/>
      </w:pPr>
    </w:p>
    <w:p w14:paraId="093695B7" w14:textId="258C6DEA" w:rsidR="00E37237" w:rsidRDefault="00E37237" w:rsidP="000A0847">
      <w:pPr>
        <w:spacing w:after="0" w:line="240" w:lineRule="auto"/>
      </w:pPr>
      <w:r>
        <w:t>[Figure 5.2—</w:t>
      </w:r>
      <w:r w:rsidR="00E71B2A">
        <w:t xml:space="preserve">OICs </w:t>
      </w:r>
      <w:r>
        <w:t>house many significant research-intensive universities]</w:t>
      </w:r>
    </w:p>
    <w:p w14:paraId="40F50E91" w14:textId="77777777" w:rsidR="00941C30" w:rsidRDefault="00941C30" w:rsidP="000A0847">
      <w:pPr>
        <w:spacing w:after="0" w:line="240" w:lineRule="auto"/>
      </w:pPr>
    </w:p>
    <w:p w14:paraId="7763503E" w14:textId="5B0A944D" w:rsidR="00941C30" w:rsidRDefault="00941C30" w:rsidP="000A0847">
      <w:pPr>
        <w:pStyle w:val="ListParagraph"/>
        <w:numPr>
          <w:ilvl w:val="0"/>
          <w:numId w:val="21"/>
        </w:numPr>
        <w:spacing w:after="0" w:line="240" w:lineRule="auto"/>
      </w:pPr>
      <w:r>
        <w:rPr>
          <w:b/>
        </w:rPr>
        <w:t>High rates of patenting in several technology categories</w:t>
      </w:r>
      <w:r>
        <w:t xml:space="preserve">. Metropolitan economies with </w:t>
      </w:r>
      <w:r w:rsidR="00E71B2A">
        <w:t xml:space="preserve">OICs </w:t>
      </w:r>
      <w:r>
        <w:t>generate more patents per worker than those with urban counties overall. This is particularly true in key technology categories including advanced manufacturing, life sciences, and precision systems that reflect older industrial economies’ sectoral specializations. The life sciences powerhouses of Greater Boston and Mercer County,</w:t>
      </w:r>
      <w:r w:rsidR="006070EF">
        <w:t xml:space="preserve"> N.J. (Trenton area) contribute</w:t>
      </w:r>
      <w:r>
        <w:t xml:space="preserve"> to that high aggregate for ol</w:t>
      </w:r>
      <w:r w:rsidR="006070EF">
        <w:t>der industrial areas, but so do</w:t>
      </w:r>
      <w:r>
        <w:t xml:space="preserve"> strong performers like Minneapolis-St. Paul, Rochester, Hartford, Worcester, and C</w:t>
      </w:r>
      <w:r w:rsidR="006070EF">
        <w:t>incinnati, most of which blend</w:t>
      </w:r>
      <w:r>
        <w:t xml:space="preserve"> high patenting activity in advanced manufacturing and life sciences. Among smaller older industrial </w:t>
      </w:r>
      <w:r w:rsidR="00E71B2A">
        <w:t>economies</w:t>
      </w:r>
      <w:r w:rsidR="006070EF">
        <w:t>, Peoria ranks</w:t>
      </w:r>
      <w:r>
        <w:t xml:space="preserve"> high due largely to the presence of multinational equipment manufacturer Caterpillar.</w:t>
      </w:r>
    </w:p>
    <w:p w14:paraId="23F93A7D" w14:textId="5B1E7649" w:rsidR="00E37237" w:rsidRDefault="00E37237" w:rsidP="000A0847">
      <w:pPr>
        <w:spacing w:after="0" w:line="240" w:lineRule="auto"/>
      </w:pPr>
    </w:p>
    <w:p w14:paraId="3AACAD9B" w14:textId="4C09F971" w:rsidR="00E37237" w:rsidRDefault="00E37237" w:rsidP="000A0847">
      <w:pPr>
        <w:spacing w:after="0" w:line="240" w:lineRule="auto"/>
      </w:pPr>
      <w:r>
        <w:t>[Figure 5.3—Older industrial economies boast high patenting rates in several technology categories]</w:t>
      </w:r>
    </w:p>
    <w:p w14:paraId="380A48E5" w14:textId="77777777" w:rsidR="00941C30" w:rsidRDefault="00941C30" w:rsidP="000A0847">
      <w:pPr>
        <w:spacing w:after="0" w:line="240" w:lineRule="auto"/>
      </w:pPr>
    </w:p>
    <w:p w14:paraId="61E42ADD" w14:textId="425F0661" w:rsidR="00941C30" w:rsidRDefault="00941C30" w:rsidP="000A0847">
      <w:pPr>
        <w:pStyle w:val="ListParagraph"/>
        <w:numPr>
          <w:ilvl w:val="0"/>
          <w:numId w:val="21"/>
        </w:numPr>
        <w:spacing w:after="0" w:line="240" w:lineRule="auto"/>
      </w:pPr>
      <w:r>
        <w:rPr>
          <w:b/>
        </w:rPr>
        <w:t>Populations trained in science, technology, engineering, and math (STEM) disciplines</w:t>
      </w:r>
      <w:r>
        <w:t xml:space="preserve">. While </w:t>
      </w:r>
      <w:r w:rsidR="00E71B2A">
        <w:t xml:space="preserve">OICs </w:t>
      </w:r>
      <w:r>
        <w:t xml:space="preserve">overall slightly lag national and urban county averages on the share of their adults with college degrees, they reach near-parity when it comes to the share who hold a bachelor’s degree in a STEM field, at about 14 percent in 2016. Rates are even higher in places such as Norfolk County (Mass.) near Boston, Fairfield County (Conn.) surrounding Bridgeport, Mercer County (N.J.) surrounding Trenton, and Allegheny County (Pa.) surrounding Pittsburgh. This indicator is also closely associated with </w:t>
      </w:r>
      <w:r w:rsidR="00E71B2A">
        <w:t>OIC</w:t>
      </w:r>
      <w:r>
        <w:t xml:space="preserve"> economic performance, with more vibrant places possessing higher STEM orientation. Yet even in older industrial places that exhibit greater economic challenges, an average of 10 percent of adults are trained in fields that indicate high technological competency.</w:t>
      </w:r>
    </w:p>
    <w:p w14:paraId="094D4CEF" w14:textId="7CA5FFD9" w:rsidR="00941C30" w:rsidRDefault="00941C30" w:rsidP="000A0847">
      <w:pPr>
        <w:spacing w:after="0" w:line="240" w:lineRule="auto"/>
      </w:pPr>
    </w:p>
    <w:p w14:paraId="075521AB" w14:textId="2D1C6E6E" w:rsidR="00E37237" w:rsidRDefault="00E37237" w:rsidP="000A0847">
      <w:pPr>
        <w:spacing w:after="0" w:line="240" w:lineRule="auto"/>
      </w:pPr>
      <w:r>
        <w:t>[Figure 5.4—</w:t>
      </w:r>
      <w:r w:rsidR="00E71B2A">
        <w:t>OICs</w:t>
      </w:r>
      <w:r>
        <w:t xml:space="preserve"> resemble other urban areas in STEM degree attainment]</w:t>
      </w:r>
    </w:p>
    <w:p w14:paraId="758D2ED5" w14:textId="0245008C" w:rsidR="00941C30" w:rsidRDefault="00941C30" w:rsidP="000A0847">
      <w:pPr>
        <w:pStyle w:val="ListParagraph"/>
        <w:spacing w:after="0" w:line="240" w:lineRule="auto"/>
        <w:ind w:left="360"/>
      </w:pPr>
    </w:p>
    <w:p w14:paraId="444AA28E" w14:textId="19F69D7C" w:rsidR="00941C30" w:rsidRDefault="00941C30" w:rsidP="000A0847">
      <w:pPr>
        <w:pStyle w:val="ListParagraph"/>
        <w:numPr>
          <w:ilvl w:val="0"/>
          <w:numId w:val="21"/>
        </w:numPr>
        <w:spacing w:after="0" w:line="240" w:lineRule="auto"/>
      </w:pPr>
      <w:r>
        <w:rPr>
          <w:b/>
        </w:rPr>
        <w:t xml:space="preserve">Significant shares of digitally-oriented jobs. </w:t>
      </w:r>
      <w:r>
        <w:t xml:space="preserve">These STEM competencies, in turn, undergird jobs in older industrial economies that demand high levels of digital skills. In 2016, metro areas containing </w:t>
      </w:r>
      <w:r w:rsidR="00E71B2A">
        <w:t>OICs</w:t>
      </w:r>
      <w:r>
        <w:t xml:space="preserve"> looked </w:t>
      </w:r>
      <w:r w:rsidR="00E71B2A">
        <w:t xml:space="preserve">very similar to </w:t>
      </w:r>
      <w:r>
        <w:t xml:space="preserve">others in the share of their jobs requiring high, medium, or low levels of digital skills. As with STEM skills, East Coast metropolises with older industrial environs like Boston and New York rank high on this list, but so do Hartford, Baltimore, Minneapolis, Rochester, Detroit, and St. Louis. Their longstanding specializations in life sciences and advanced manufacturing feature increasing numbers of digitally-intensive jobs. Conversely, smaller older industrial economies—the likes of Kokomo, Vineland, and Janesville—have much lower shares of these high-digital jobs. </w:t>
      </w:r>
    </w:p>
    <w:p w14:paraId="7E4B011E" w14:textId="3B848941" w:rsidR="00941C30" w:rsidRDefault="00941C30" w:rsidP="000A0847">
      <w:pPr>
        <w:spacing w:after="0" w:line="240" w:lineRule="auto"/>
      </w:pPr>
    </w:p>
    <w:p w14:paraId="669249CB" w14:textId="15529755" w:rsidR="00E37237" w:rsidRDefault="00E37237" w:rsidP="000A0847">
      <w:pPr>
        <w:spacing w:after="0" w:line="240" w:lineRule="auto"/>
      </w:pPr>
      <w:r>
        <w:t>[Figure 5.5—Like other metro areas, older industrial economies have significant numbers of digitally-intensive jobs]</w:t>
      </w:r>
    </w:p>
    <w:p w14:paraId="4E8DDE4C" w14:textId="77777777" w:rsidR="00941C30" w:rsidRDefault="00941C30" w:rsidP="000A0847">
      <w:pPr>
        <w:spacing w:after="0" w:line="240" w:lineRule="auto"/>
      </w:pPr>
    </w:p>
    <w:p w14:paraId="3395DBE2" w14:textId="022C0262" w:rsidR="00941C30" w:rsidRDefault="00941C30" w:rsidP="000A0847">
      <w:pPr>
        <w:spacing w:after="0" w:line="240" w:lineRule="auto"/>
      </w:pPr>
      <w:r>
        <w:t xml:space="preserve">For all these strengths, however, older industrial </w:t>
      </w:r>
      <w:r w:rsidR="00E71B2A">
        <w:t>communities</w:t>
      </w:r>
      <w:r>
        <w:t xml:space="preserve"> seem to exhibit greater challenges in translating their technological research and knowledge assets into technology-fueled jobs and economic growth. A few trends illustrate these challenges:</w:t>
      </w:r>
    </w:p>
    <w:p w14:paraId="17213184" w14:textId="77777777" w:rsidR="00941C30" w:rsidRDefault="00941C30" w:rsidP="000A0847">
      <w:pPr>
        <w:spacing w:after="0" w:line="240" w:lineRule="auto"/>
      </w:pPr>
    </w:p>
    <w:p w14:paraId="6F754235" w14:textId="63879C86" w:rsidR="00941C30" w:rsidRDefault="00941C30" w:rsidP="000A0847">
      <w:pPr>
        <w:pStyle w:val="ListParagraph"/>
        <w:numPr>
          <w:ilvl w:val="0"/>
          <w:numId w:val="21"/>
        </w:numPr>
        <w:spacing w:after="0" w:line="240" w:lineRule="auto"/>
      </w:pPr>
      <w:r>
        <w:rPr>
          <w:b/>
        </w:rPr>
        <w:t>Declining employment in advanced industries</w:t>
      </w:r>
      <w:r>
        <w:t>. Advanced industries represent the United States’ “tech” sector at its broadest and most consequential level. These 50 sectors are characterized by deep involvement with technological research and development and STEM workers, areas in which older industrial areas evince important underlying assets.</w:t>
      </w:r>
      <w:r w:rsidR="00E71B2A">
        <w:rPr>
          <w:rStyle w:val="EndnoteReference"/>
        </w:rPr>
        <w:endnoteReference w:id="82"/>
      </w:r>
      <w:r>
        <w:t xml:space="preserve"> Yet compared to other urban areas, </w:t>
      </w:r>
      <w:r w:rsidR="00E71B2A">
        <w:t xml:space="preserve">OICs </w:t>
      </w:r>
      <w:r>
        <w:t xml:space="preserve">have seen employment in these sectors shrink considerably since 2000—by 23 percent, roughly double the decline that urban industrial counties experienced. This can be attributed in part to </w:t>
      </w:r>
      <w:r w:rsidR="00E71B2A">
        <w:t xml:space="preserve">OICs’ </w:t>
      </w:r>
      <w:r>
        <w:t>heavier historical concentration</w:t>
      </w:r>
      <w:r w:rsidR="00E71B2A">
        <w:t xml:space="preserve"> in advanced manufacturing jobs. Manufacturing employment</w:t>
      </w:r>
      <w:r>
        <w:t xml:space="preserve"> shrank by 28 percent nationally from 2000 to 2016, and by 40 percent in </w:t>
      </w:r>
      <w:r w:rsidR="00E71B2A">
        <w:t>OICs</w:t>
      </w:r>
      <w:r>
        <w:t xml:space="preserve">. At the same time, urban counties overall grew advanced services jobs in areas like engineering, computer systems, and telecommunications that nearly compensated for those manufacturing job losses. But advanced services jobs grew more slowly in </w:t>
      </w:r>
      <w:r w:rsidR="00E71B2A">
        <w:t>OICs</w:t>
      </w:r>
      <w:r>
        <w:t xml:space="preserve">, and did not make up for their advanced manufacturing losses. Advanced services jobs did boom in some </w:t>
      </w:r>
      <w:r w:rsidR="00E71B2A">
        <w:t>OIC</w:t>
      </w:r>
      <w:r w:rsidR="006070EF">
        <w:t>s</w:t>
      </w:r>
      <w:r>
        <w:t xml:space="preserve">, such as Indianapolis, Worcester, St. Louis, and Cleveland. Many small </w:t>
      </w:r>
      <w:r w:rsidR="00E71B2A">
        <w:t xml:space="preserve">OICs </w:t>
      </w:r>
      <w:r>
        <w:t xml:space="preserve">such as Battle Creek, Mich., Bethlehem, Pa., and Janesville, </w:t>
      </w:r>
      <w:r w:rsidR="00074942">
        <w:t>Wisc.</w:t>
      </w:r>
      <w:r>
        <w:t xml:space="preserve"> also posted high growth rates in advanced services, albeit from small bases. Nonetheless, 60 of the 70 </w:t>
      </w:r>
      <w:r w:rsidR="00E71B2A">
        <w:t xml:space="preserve">OICs </w:t>
      </w:r>
      <w:r>
        <w:t>saw declines in advanced industry employment overall from 2000 to 2016.</w:t>
      </w:r>
    </w:p>
    <w:p w14:paraId="0079E05F" w14:textId="2CB54841" w:rsidR="00941C30" w:rsidRDefault="00941C30" w:rsidP="000A0847">
      <w:pPr>
        <w:spacing w:after="0" w:line="240" w:lineRule="auto"/>
      </w:pPr>
    </w:p>
    <w:p w14:paraId="5EA14C64" w14:textId="015DC2DA" w:rsidR="00941C30" w:rsidRDefault="00E37237" w:rsidP="000A0847">
      <w:pPr>
        <w:spacing w:after="0" w:line="240" w:lineRule="auto"/>
        <w:rPr>
          <w:noProof/>
        </w:rPr>
      </w:pPr>
      <w:r>
        <w:t>[Figure 5.6</w:t>
      </w:r>
      <w:r w:rsidR="00E71B2A">
        <w:t>—OICs lost more advanced manufacturing jobs, and grew fewer advanced services jobs]</w:t>
      </w:r>
    </w:p>
    <w:p w14:paraId="0508DC6C" w14:textId="77777777" w:rsidR="00E71B2A" w:rsidRDefault="00E71B2A" w:rsidP="000A0847">
      <w:pPr>
        <w:spacing w:after="0" w:line="240" w:lineRule="auto"/>
      </w:pPr>
    </w:p>
    <w:p w14:paraId="6CFC74CA" w14:textId="6AEAFA44" w:rsidR="00941C30" w:rsidRDefault="005D52E5" w:rsidP="000A0847">
      <w:pPr>
        <w:pStyle w:val="ListParagraph"/>
        <w:numPr>
          <w:ilvl w:val="0"/>
          <w:numId w:val="21"/>
        </w:numPr>
        <w:spacing w:after="0" w:line="240" w:lineRule="auto"/>
      </w:pPr>
      <w:r>
        <w:rPr>
          <w:b/>
        </w:rPr>
        <w:t>Frequently l</w:t>
      </w:r>
      <w:r w:rsidR="00941C30">
        <w:rPr>
          <w:b/>
        </w:rPr>
        <w:t>ow</w:t>
      </w:r>
      <w:r>
        <w:rPr>
          <w:b/>
        </w:rPr>
        <w:t>er</w:t>
      </w:r>
      <w:r w:rsidR="00941C30">
        <w:rPr>
          <w:b/>
        </w:rPr>
        <w:t xml:space="preserve"> levels of “economic complexity</w:t>
      </w:r>
      <w:r>
        <w:rPr>
          <w:b/>
        </w:rPr>
        <w:t>.</w:t>
      </w:r>
      <w:r w:rsidR="00941C30">
        <w:rPr>
          <w:b/>
        </w:rPr>
        <w:t>”</w:t>
      </w:r>
      <w:r w:rsidR="00941C30">
        <w:t xml:space="preserve"> In any economy, firms must bring together a variety of different inputs and activities to make products. In a developed economy like the United States, firms must innovate by drawing on those inputs and activities to develop new capabilities that enable growth. The greater the variety of inputs, and the more those inputs relate to other inputs in the economy, the more pathways exist to innovation and growth. As Brad Cunningham observes, this type of complexity describes advertising in New York; the industry thrives there because the city boasts an ecosystem of media, theat</w:t>
      </w:r>
      <w:r w:rsidR="00393DC8">
        <w:t>re, artists, models, and actors</w:t>
      </w:r>
      <w:r w:rsidR="00941C30">
        <w:t xml:space="preserve"> and because its dense transportation and housing system allows these capabilities to come together.</w:t>
      </w:r>
      <w:r w:rsidR="00941C30">
        <w:rPr>
          <w:rStyle w:val="EndnoteReference"/>
        </w:rPr>
        <w:endnoteReference w:id="83"/>
      </w:r>
      <w:r w:rsidR="00941C30">
        <w:t xml:space="preserve"> Researchers at Harvard’s Center for International Development </w:t>
      </w:r>
      <w:r w:rsidR="006070EF">
        <w:t xml:space="preserve">have </w:t>
      </w:r>
      <w:r w:rsidR="00941C30">
        <w:t>pioneered ways of measuring and visualizing this economic complexity for developing economies.</w:t>
      </w:r>
      <w:r w:rsidR="00941C30">
        <w:rPr>
          <w:rStyle w:val="EndnoteReference"/>
        </w:rPr>
        <w:endnoteReference w:id="84"/>
      </w:r>
      <w:r w:rsidR="00941C30">
        <w:t xml:space="preserve"> </w:t>
      </w:r>
    </w:p>
    <w:p w14:paraId="2C19543B" w14:textId="77777777" w:rsidR="00941C30" w:rsidRDefault="00941C30" w:rsidP="000A0847">
      <w:pPr>
        <w:pStyle w:val="ListParagraph"/>
        <w:spacing w:after="0" w:line="240" w:lineRule="auto"/>
        <w:ind w:left="360"/>
      </w:pPr>
    </w:p>
    <w:p w14:paraId="62C1362C" w14:textId="322742E6" w:rsidR="00941C30" w:rsidRDefault="00941C30" w:rsidP="000A0847">
      <w:pPr>
        <w:pStyle w:val="ListParagraph"/>
        <w:spacing w:after="0" w:line="240" w:lineRule="auto"/>
        <w:ind w:left="360"/>
      </w:pPr>
      <w:r>
        <w:t>Other researchers are now applying similar techniques to examine cities in advanced economies, using data on patenting to examine the variety and connectedness of their technological capabilities.</w:t>
      </w:r>
      <w:r w:rsidR="006070EF">
        <w:rPr>
          <w:rStyle w:val="EndnoteReference"/>
        </w:rPr>
        <w:endnoteReference w:id="85"/>
      </w:r>
      <w:r w:rsidRPr="00A33A08">
        <w:t xml:space="preserve"> </w:t>
      </w:r>
      <w:r>
        <w:t xml:space="preserve">Among older industrial economies, those data reveal high levels of economic complexity in several large markets, but very low levels in many small- to mid-sized markets. Metropolitan areas with </w:t>
      </w:r>
      <w:r w:rsidR="002D6ECD">
        <w:t>OICs</w:t>
      </w:r>
      <w:r>
        <w:t xml:space="preserve"> such as Trenton, Rochester, Worcester, Albany, Philadelphia, and Baltimore rank highly due to their size, economic diversity, and specializations in life sciences and advanced materials. Yet other large older industrial areas such as Detroit, Milwaukee, Louisville, and Toledo post only middling ranks, and several small markets throughout the Midwest rank near the bottom of all metropolitan areas. This may signal a dearth of innovation activity in these places, or a concentration of </w:t>
      </w:r>
      <w:r w:rsidR="00E1262E">
        <w:t xml:space="preserve">innovation </w:t>
      </w:r>
      <w:r>
        <w:t xml:space="preserve">in </w:t>
      </w:r>
      <w:r w:rsidR="00E1262E">
        <w:t xml:space="preserve">less complex technologies (i.e., those </w:t>
      </w:r>
      <w:r>
        <w:t>that do not connect to many others</w:t>
      </w:r>
      <w:r w:rsidR="00E1262E">
        <w:t>)</w:t>
      </w:r>
      <w:r>
        <w:t xml:space="preserve">. </w:t>
      </w:r>
      <w:r w:rsidR="00291187">
        <w:t xml:space="preserve">The loss of advanced industry employment in OICs has no doubt eroded some of their private-sector-led innovation capacity as well. </w:t>
      </w:r>
      <w:r>
        <w:t>A city with low economic complexity still possesses pathways to innovation and growth, but may have fewer viable options for realizing those outcomes.</w:t>
      </w:r>
    </w:p>
    <w:p w14:paraId="29480E8D" w14:textId="12239428" w:rsidR="00941C30" w:rsidRDefault="00941C30" w:rsidP="000A0847">
      <w:pPr>
        <w:spacing w:after="0" w:line="240" w:lineRule="auto"/>
      </w:pPr>
    </w:p>
    <w:p w14:paraId="79F78ECE" w14:textId="12A38A5B" w:rsidR="00E71B2A" w:rsidRDefault="00E71B2A" w:rsidP="000A0847">
      <w:pPr>
        <w:spacing w:after="0" w:line="240" w:lineRule="auto"/>
      </w:pPr>
      <w:r>
        <w:t>[Figure 5.7—Smaller and mid-sized older industrial economies have lower economic complexity, and fewer near-term options for technology-enabled innovation and growth]</w:t>
      </w:r>
    </w:p>
    <w:p w14:paraId="0DD7B867" w14:textId="77777777" w:rsidR="00941C30" w:rsidRDefault="00941C30" w:rsidP="000A0847">
      <w:pPr>
        <w:spacing w:after="0" w:line="240" w:lineRule="auto"/>
      </w:pPr>
    </w:p>
    <w:p w14:paraId="27CA0F47" w14:textId="10260759" w:rsidR="00941C30" w:rsidRDefault="00941C30" w:rsidP="000A0847">
      <w:pPr>
        <w:pStyle w:val="ListParagraph"/>
        <w:numPr>
          <w:ilvl w:val="0"/>
          <w:numId w:val="21"/>
        </w:numPr>
        <w:spacing w:after="0" w:line="240" w:lineRule="auto"/>
      </w:pPr>
      <w:r>
        <w:rPr>
          <w:b/>
        </w:rPr>
        <w:t xml:space="preserve">Untapped potential for </w:t>
      </w:r>
      <w:r w:rsidRPr="00477617">
        <w:rPr>
          <w:b/>
        </w:rPr>
        <w:t>research commercialization from downtown universities</w:t>
      </w:r>
      <w:r>
        <w:t xml:space="preserve">. Research universities located in downtown areas of large cities can be particularly important anchors for regional economic growth, given their proximity to large employers, entrepreneurs, private equity, and other amenities that facilitate the commercialization of research. A review of 33 downtown universities suggests that many </w:t>
      </w:r>
      <w:r w:rsidR="002D6ECD">
        <w:t>OICs</w:t>
      </w:r>
      <w:r>
        <w:t xml:space="preserve"> lag their peers on measures of their universities’ research commercialization, including startups, patents, invention disclosures, licensing income, and licensing deals.</w:t>
      </w:r>
      <w:r>
        <w:rPr>
          <w:rStyle w:val="EndnoteReference"/>
        </w:rPr>
        <w:endnoteReference w:id="86"/>
      </w:r>
      <w:r>
        <w:t xml:space="preserve"> Two </w:t>
      </w:r>
      <w:r w:rsidR="002D6ECD">
        <w:t>OICs</w:t>
      </w:r>
      <w:r>
        <w:t xml:space="preserve">—Philadelphia and Pittsburgh—count multiple downtown universities among the strongest performers on these measures. Baltimore (Johns Hopkins University), Cleveland (Case Western Reserve University), and St. Louis (Washington University) also rank in the top half. Yet few other </w:t>
      </w:r>
      <w:r w:rsidR="002D6ECD">
        <w:t xml:space="preserve">OICs </w:t>
      </w:r>
      <w:r>
        <w:t>are represented among those with strongly research-oriented downtown universities, and those that are (Birmingham, Cincinnati, Indianapolis, Newark) rank nearer the bottom of the list on research commercialization measures.</w:t>
      </w:r>
      <w:r w:rsidR="00393DC8">
        <w:rPr>
          <w:rStyle w:val="EndnoteReference"/>
        </w:rPr>
        <w:endnoteReference w:id="87"/>
      </w:r>
      <w:r>
        <w:t xml:space="preserve"> </w:t>
      </w:r>
    </w:p>
    <w:p w14:paraId="0DB8D1B1" w14:textId="77777777" w:rsidR="00941C30" w:rsidRDefault="00941C30" w:rsidP="000A0847">
      <w:pPr>
        <w:spacing w:after="0" w:line="240" w:lineRule="auto"/>
      </w:pPr>
    </w:p>
    <w:p w14:paraId="06511DF0" w14:textId="6E5C742D" w:rsidR="00941C30" w:rsidRDefault="00941C30" w:rsidP="000A0847">
      <w:pPr>
        <w:spacing w:after="0" w:line="240" w:lineRule="auto"/>
      </w:pPr>
      <w:r>
        <w:t xml:space="preserve">In summary, many </w:t>
      </w:r>
      <w:r w:rsidR="002D6ECD">
        <w:t>OICs</w:t>
      </w:r>
      <w:r>
        <w:t xml:space="preserve"> have meaningful research assets and capabilities that nonetheless are not generating significant</w:t>
      </w:r>
      <w:r w:rsidRPr="00590F45">
        <w:t xml:space="preserve"> economic development </w:t>
      </w:r>
      <w:r>
        <w:t>and job growth</w:t>
      </w:r>
      <w:r w:rsidRPr="00590F45">
        <w:t>. </w:t>
      </w:r>
      <w:r>
        <w:t>This dynamic could owe to a number of root causes. U</w:t>
      </w:r>
      <w:r w:rsidRPr="00590F45">
        <w:t xml:space="preserve">niversities </w:t>
      </w:r>
      <w:r>
        <w:t xml:space="preserve">in </w:t>
      </w:r>
      <w:r w:rsidR="002D6ECD">
        <w:t>OICs</w:t>
      </w:r>
      <w:r>
        <w:t xml:space="preserve"> may not be well </w:t>
      </w:r>
      <w:r w:rsidRPr="00590F45">
        <w:t>connected to industry</w:t>
      </w:r>
      <w:r>
        <w:t>, their research</w:t>
      </w:r>
      <w:r w:rsidRPr="00590F45">
        <w:t xml:space="preserve"> strengths </w:t>
      </w:r>
      <w:r>
        <w:t>may not effectively complement regional industry clusters</w:t>
      </w:r>
      <w:r w:rsidR="0084450A">
        <w:t xml:space="preserve">, or they </w:t>
      </w:r>
      <w:r>
        <w:t xml:space="preserve">may be </w:t>
      </w:r>
      <w:r w:rsidRPr="00590F45">
        <w:t xml:space="preserve">spawning </w:t>
      </w:r>
      <w:r w:rsidR="0084450A">
        <w:t xml:space="preserve">new enterprises </w:t>
      </w:r>
      <w:r w:rsidRPr="00590F45">
        <w:t xml:space="preserve">that </w:t>
      </w:r>
      <w:r>
        <w:t xml:space="preserve">nevertheless </w:t>
      </w:r>
      <w:r w:rsidRPr="00590F45">
        <w:t xml:space="preserve">leave </w:t>
      </w:r>
      <w:r w:rsidR="0084450A">
        <w:t>these cities as they grow</w:t>
      </w:r>
      <w:r>
        <w:t xml:space="preserve"> due to financial or human capital constraints.</w:t>
      </w:r>
      <w:r w:rsidRPr="00590F45">
        <w:t> </w:t>
      </w:r>
      <w:r w:rsidR="0084450A">
        <w:t xml:space="preserve">The legacy of large employers in OICs might mean that new patents and technologies are less likely to “escape” and drive dynamic new </w:t>
      </w:r>
      <w:r w:rsidR="002E1AA0">
        <w:t xml:space="preserve">spin-offs and start-ups. Behind all this may lie a frayed circuitry that is failing to connect risk capital and entrepreneurial </w:t>
      </w:r>
      <w:r w:rsidR="00F55670">
        <w:t xml:space="preserve">experience on the coasts </w:t>
      </w:r>
      <w:r w:rsidR="002E1AA0">
        <w:t>with new ideas and talent</w:t>
      </w:r>
      <w:r w:rsidR="00F55670">
        <w:t xml:space="preserve"> in the Heartland</w:t>
      </w:r>
      <w:r w:rsidR="002E1AA0">
        <w:t xml:space="preserve">. </w:t>
      </w:r>
      <w:r w:rsidR="00F55670">
        <w:t xml:space="preserve">That noted, OICs’ uptick in young-firm employment in recent years is a hopeful sign that some </w:t>
      </w:r>
      <w:r w:rsidR="00EB14F4">
        <w:t xml:space="preserve">of these cities </w:t>
      </w:r>
      <w:r w:rsidR="00F55670">
        <w:t xml:space="preserve">may be sowing the seeds for indigenous </w:t>
      </w:r>
      <w:r w:rsidR="00EB14F4">
        <w:t>business</w:t>
      </w:r>
      <w:r w:rsidR="00F55670">
        <w:t xml:space="preserve"> growth.</w:t>
      </w:r>
    </w:p>
    <w:p w14:paraId="70F64139" w14:textId="77777777" w:rsidR="00941C30" w:rsidRDefault="00941C30" w:rsidP="000A0847">
      <w:pPr>
        <w:spacing w:after="0" w:line="240" w:lineRule="auto"/>
      </w:pPr>
    </w:p>
    <w:p w14:paraId="32311B06" w14:textId="7898083F" w:rsidR="00941C30" w:rsidRPr="005846E7" w:rsidRDefault="00941C30" w:rsidP="000A0847">
      <w:pPr>
        <w:pStyle w:val="ListParagraph"/>
        <w:numPr>
          <w:ilvl w:val="0"/>
          <w:numId w:val="28"/>
        </w:numPr>
        <w:spacing w:after="0" w:line="240" w:lineRule="auto"/>
        <w:rPr>
          <w:sz w:val="24"/>
        </w:rPr>
      </w:pPr>
      <w:r w:rsidRPr="005846E7">
        <w:rPr>
          <w:b/>
          <w:sz w:val="24"/>
        </w:rPr>
        <w:t>Many older industrial cities are benefiting from an urbanizing economy, but most exhibit challenges in achieving and sustaining critical mass to</w:t>
      </w:r>
      <w:r w:rsidR="005D52E5" w:rsidRPr="005846E7">
        <w:rPr>
          <w:b/>
          <w:sz w:val="24"/>
        </w:rPr>
        <w:t xml:space="preserve"> support growth and opportunity</w:t>
      </w:r>
    </w:p>
    <w:p w14:paraId="20E67DA3" w14:textId="77777777" w:rsidR="00941C30" w:rsidRDefault="00941C30" w:rsidP="000A0847">
      <w:pPr>
        <w:spacing w:after="0" w:line="240" w:lineRule="auto"/>
      </w:pPr>
    </w:p>
    <w:p w14:paraId="456EA27E" w14:textId="0FDED9B6" w:rsidR="00941C30" w:rsidRDefault="00941C30" w:rsidP="000A0847">
      <w:pPr>
        <w:spacing w:after="0" w:line="240" w:lineRule="auto"/>
      </w:pPr>
      <w:r>
        <w:t xml:space="preserve">Economic activity is urbanizing. This is occurring at the </w:t>
      </w:r>
      <w:r w:rsidR="00E71B2A">
        <w:t xml:space="preserve">national </w:t>
      </w:r>
      <w:r>
        <w:t>scale, as employers and investors seek access to large pools of skilled workers and access to globally connected infrastructure. Amazon’s request for proposals for a second North American headquarters location exemplifies this preference, targeting metropolitan areas with at least 1 million people that feature those assets.</w:t>
      </w:r>
      <w:r>
        <w:rPr>
          <w:rStyle w:val="EndnoteReference"/>
        </w:rPr>
        <w:endnoteReference w:id="88"/>
      </w:r>
      <w:r>
        <w:t xml:space="preserve"> Urbanization is also occurring at the local scale, as high-value knowledge-based industries seek access to denser environments that support the exchange of ideas and capital, and that are attractive to workers seeking </w:t>
      </w:r>
      <w:r w:rsidR="00E1262E">
        <w:t xml:space="preserve">a higher </w:t>
      </w:r>
      <w:r>
        <w:t>quality of place in their professional and personal lives.</w:t>
      </w:r>
      <w:r>
        <w:rPr>
          <w:rStyle w:val="EndnoteReference"/>
        </w:rPr>
        <w:endnoteReference w:id="89"/>
      </w:r>
    </w:p>
    <w:p w14:paraId="405C922B" w14:textId="77777777" w:rsidR="00941C30" w:rsidRDefault="00941C30" w:rsidP="000A0847">
      <w:pPr>
        <w:spacing w:after="0" w:line="240" w:lineRule="auto"/>
      </w:pPr>
    </w:p>
    <w:p w14:paraId="3A603FA8" w14:textId="77135318" w:rsidR="00941C30" w:rsidRDefault="00941C30" w:rsidP="000A0847">
      <w:pPr>
        <w:spacing w:after="0" w:line="240" w:lineRule="auto"/>
      </w:pPr>
      <w:r>
        <w:t xml:space="preserve">Recent trends illustrate the impact of these urbanizing forces. Over the past decade, economic opportunity has gravitated toward bigger metropolitan areas. Between 2007 and 2016, the share of prime-age adults who are working rose marginally in metro areas with more than 1 million residents, but fell in others. The declines were greatest in areas with fewer than 500,000 residents. Within metropolitan areas, areas closest to the urban core experienced job growth on par with that in other parts of the </w:t>
      </w:r>
      <w:r w:rsidR="00291187">
        <w:t>metropolitan area from 2011 to 2014.</w:t>
      </w:r>
      <w:r>
        <w:t xml:space="preserve"> </w:t>
      </w:r>
      <w:r w:rsidR="00291187">
        <w:t xml:space="preserve">That represents </w:t>
      </w:r>
      <w:r>
        <w:t xml:space="preserve">a shift from the last expansion </w:t>
      </w:r>
      <w:r w:rsidR="00291187">
        <w:t xml:space="preserve">in the 2000s, </w:t>
      </w:r>
      <w:r>
        <w:t>when suburban job growth far outpaced that in city centers.</w:t>
      </w:r>
      <w:r>
        <w:rPr>
          <w:rStyle w:val="EndnoteReference"/>
        </w:rPr>
        <w:endnoteReference w:id="90"/>
      </w:r>
    </w:p>
    <w:p w14:paraId="1976E72D" w14:textId="7F9247F2" w:rsidR="00941C30" w:rsidRDefault="00941C30" w:rsidP="000A0847">
      <w:pPr>
        <w:spacing w:after="0" w:line="240" w:lineRule="auto"/>
      </w:pPr>
    </w:p>
    <w:p w14:paraId="29DEF9D7" w14:textId="2001E19E" w:rsidR="00E71B2A" w:rsidRDefault="00E71B2A" w:rsidP="000A0847">
      <w:pPr>
        <w:spacing w:after="0" w:line="240" w:lineRule="auto"/>
      </w:pPr>
      <w:r>
        <w:t>[Figure 5.8—Employment opportunity has shifted toward urban cores in large metropolitan areas]</w:t>
      </w:r>
    </w:p>
    <w:p w14:paraId="49C6B0AC" w14:textId="77777777" w:rsidR="0036311A" w:rsidRDefault="0036311A" w:rsidP="000A0847">
      <w:pPr>
        <w:spacing w:after="0" w:line="240" w:lineRule="auto"/>
      </w:pPr>
    </w:p>
    <w:p w14:paraId="7C47BDA7" w14:textId="77777777" w:rsidR="00941C30" w:rsidRDefault="00941C30" w:rsidP="000A0847">
      <w:pPr>
        <w:spacing w:after="0" w:line="240" w:lineRule="auto"/>
      </w:pPr>
      <w:r>
        <w:t>Older industrial communities bring several advantages to navigating the currents of an urbanizing economy:</w:t>
      </w:r>
    </w:p>
    <w:p w14:paraId="6743B902" w14:textId="77777777" w:rsidR="00941C30" w:rsidRDefault="00941C30" w:rsidP="000A0847">
      <w:pPr>
        <w:spacing w:after="0" w:line="240" w:lineRule="auto"/>
      </w:pPr>
    </w:p>
    <w:p w14:paraId="2C1D7FFB" w14:textId="478B12E4" w:rsidR="00941C30" w:rsidRDefault="00941C30" w:rsidP="000A0847">
      <w:pPr>
        <w:pStyle w:val="ListParagraph"/>
        <w:numPr>
          <w:ilvl w:val="0"/>
          <w:numId w:val="20"/>
        </w:numPr>
        <w:spacing w:after="0" w:line="240" w:lineRule="auto"/>
      </w:pPr>
      <w:r w:rsidRPr="00BB45C0">
        <w:rPr>
          <w:b/>
        </w:rPr>
        <w:t xml:space="preserve">Location in a highly urbanized area of the country. </w:t>
      </w:r>
      <w:r w:rsidR="002D6ECD">
        <w:t>OICs’</w:t>
      </w:r>
      <w:r>
        <w:t xml:space="preserve"> concentration in the Northeast and Midwest, particularly along the Northeast Corridor and major highways and waterways, places them in some of the densest parts of the United States. The average </w:t>
      </w:r>
      <w:r w:rsidR="002D6ECD">
        <w:t>OIC</w:t>
      </w:r>
      <w:r>
        <w:t xml:space="preserve"> has </w:t>
      </w:r>
      <w:r w:rsidR="002E34BC">
        <w:t xml:space="preserve">a considerably greater number of residents within </w:t>
      </w:r>
      <w:r>
        <w:t>100 miles</w:t>
      </w:r>
      <w:r w:rsidR="002E34BC">
        <w:t xml:space="preserve"> than the average urban or </w:t>
      </w:r>
      <w:r>
        <w:t xml:space="preserve">urban industrial </w:t>
      </w:r>
      <w:r w:rsidR="002E34BC">
        <w:t>county</w:t>
      </w:r>
      <w:r>
        <w:t xml:space="preserve">. This provides advantages to employers and investors who desire proximity to large numbers of potential workers or consumers. Economic performance among </w:t>
      </w:r>
      <w:r w:rsidR="002D6ECD">
        <w:t>OICs</w:t>
      </w:r>
      <w:r>
        <w:t xml:space="preserve"> further suggests the role of regional size and density, with strong and emerging markets proximate to much larger populations than their stabilizing and vulnerable counterparts.</w:t>
      </w:r>
    </w:p>
    <w:p w14:paraId="5D7BE292" w14:textId="1FDA2BF5" w:rsidR="00E71B2A" w:rsidRDefault="00E71B2A" w:rsidP="000A0847">
      <w:pPr>
        <w:spacing w:after="0" w:line="240" w:lineRule="auto"/>
      </w:pPr>
    </w:p>
    <w:p w14:paraId="0FD51C24" w14:textId="4CA04E9F" w:rsidR="00E71B2A" w:rsidRDefault="00E71B2A" w:rsidP="000A0847">
      <w:pPr>
        <w:spacing w:after="0" w:line="240" w:lineRule="auto"/>
      </w:pPr>
      <w:r>
        <w:t>[Figure 5.9—OICs are located near larger numbers of workers and consumers than other urban counties]</w:t>
      </w:r>
    </w:p>
    <w:p w14:paraId="02C39C80" w14:textId="77777777" w:rsidR="00941C30" w:rsidRDefault="00941C30" w:rsidP="000A0847">
      <w:pPr>
        <w:spacing w:after="0" w:line="240" w:lineRule="auto"/>
      </w:pPr>
    </w:p>
    <w:p w14:paraId="29AC8FFB" w14:textId="4E1C80D7" w:rsidR="00941C30" w:rsidRDefault="00941C30" w:rsidP="000A0847">
      <w:pPr>
        <w:pStyle w:val="ListParagraph"/>
        <w:numPr>
          <w:ilvl w:val="0"/>
          <w:numId w:val="20"/>
        </w:numPr>
        <w:spacing w:after="0" w:line="240" w:lineRule="auto"/>
      </w:pPr>
      <w:r>
        <w:rPr>
          <w:b/>
        </w:rPr>
        <w:t xml:space="preserve">Clustering of employment at the neighborhood scale. </w:t>
      </w:r>
      <w:r>
        <w:t xml:space="preserve">Within </w:t>
      </w:r>
      <w:r w:rsidR="002D6ECD">
        <w:t>OICs</w:t>
      </w:r>
      <w:r>
        <w:t>, nearly half of jobs are located in high-density clusters, defined as neighborhoods where employment per square mile ranks them in the top fifth of all U.S. neighborhoods.</w:t>
      </w:r>
      <w:r w:rsidR="004C38B2">
        <w:rPr>
          <w:rStyle w:val="EndnoteReference"/>
        </w:rPr>
        <w:endnoteReference w:id="91"/>
      </w:r>
      <w:r>
        <w:t xml:space="preserve"> This</w:t>
      </w:r>
      <w:r w:rsidR="00860105">
        <w:t xml:space="preserve"> figure</w:t>
      </w:r>
      <w:r>
        <w:t xml:space="preserve"> is on par with averages for urban and urban industrial counties, indicating that </w:t>
      </w:r>
      <w:r w:rsidR="00767C28">
        <w:t xml:space="preserve">OICs </w:t>
      </w:r>
      <w:r>
        <w:t xml:space="preserve">retain regionally significant job destinations in their downtowns and key corridors. </w:t>
      </w:r>
      <w:r w:rsidR="00860105">
        <w:t>S</w:t>
      </w:r>
      <w:r>
        <w:t xml:space="preserve">trong-performing </w:t>
      </w:r>
      <w:r w:rsidR="00767C28">
        <w:t>OICs</w:t>
      </w:r>
      <w:r>
        <w:t>, which have almost two-thirds of their jobs in those high-density nodes</w:t>
      </w:r>
      <w:r w:rsidR="00860105">
        <w:t>, do especially well on this measure</w:t>
      </w:r>
      <w:r>
        <w:t xml:space="preserve">. While vulnerable </w:t>
      </w:r>
      <w:r w:rsidR="00767C28">
        <w:t xml:space="preserve">OICs </w:t>
      </w:r>
      <w:r>
        <w:t xml:space="preserve">lag others on this metric, they have recently posted higher growth in job </w:t>
      </w:r>
      <w:r w:rsidR="00E1262E">
        <w:t>clustering</w:t>
      </w:r>
      <w:r>
        <w:t>. Macon, Ga., Roanoke, Va., Dayton, Ohio, and Reading, Pa. are among the cities anchoring economically struggling counties whose employment nonetheless grew more urbanized from 2010 to 2015, perhaps due to increased revitalization efforts in their downtowns.</w:t>
      </w:r>
      <w:r>
        <w:rPr>
          <w:rStyle w:val="EndnoteReference"/>
        </w:rPr>
        <w:endnoteReference w:id="92"/>
      </w:r>
      <w:r>
        <w:t xml:space="preserve"> Among larger and stronger </w:t>
      </w:r>
      <w:r w:rsidR="00767C28">
        <w:t>OICs</w:t>
      </w:r>
      <w:r>
        <w:t>, Milwaukee, Louisville, Indianapolis, and Philadelphia saw their employment clustering grow over this period as well. Whether these shifts will contribute to increased innovation and job growth in these core counties remains to be seen, but they signal an important platform from which such growth could emerge.</w:t>
      </w:r>
    </w:p>
    <w:p w14:paraId="5C1C5B69" w14:textId="79CAACAF" w:rsidR="00941C30" w:rsidRDefault="00941C30" w:rsidP="000A0847">
      <w:pPr>
        <w:spacing w:after="0" w:line="240" w:lineRule="auto"/>
      </w:pPr>
    </w:p>
    <w:p w14:paraId="6F4FA897" w14:textId="7B16E4A5" w:rsidR="00767C28" w:rsidRDefault="00767C28" w:rsidP="000A0847">
      <w:pPr>
        <w:spacing w:after="0" w:line="240" w:lineRule="auto"/>
      </w:pPr>
      <w:r>
        <w:t>[Figure 5.10—OICs retain significant, growing employment clusters]</w:t>
      </w:r>
    </w:p>
    <w:p w14:paraId="36FF189C" w14:textId="77777777" w:rsidR="00E71B2A" w:rsidRDefault="00E71B2A" w:rsidP="000A0847">
      <w:pPr>
        <w:spacing w:after="0" w:line="240" w:lineRule="auto"/>
      </w:pPr>
    </w:p>
    <w:p w14:paraId="644468E4" w14:textId="14F5D7DA" w:rsidR="00F55670" w:rsidRDefault="00941C30" w:rsidP="000A0847">
      <w:pPr>
        <w:pStyle w:val="ListParagraph"/>
        <w:numPr>
          <w:ilvl w:val="0"/>
          <w:numId w:val="20"/>
        </w:numPr>
        <w:spacing w:after="0" w:line="240" w:lineRule="auto"/>
      </w:pPr>
      <w:r w:rsidRPr="001142AB">
        <w:rPr>
          <w:b/>
        </w:rPr>
        <w:t>Commitment to distinctive quality of place</w:t>
      </w:r>
      <w:r>
        <w:t xml:space="preserve">. </w:t>
      </w:r>
      <w:r w:rsidR="00291187">
        <w:t>Many o</w:t>
      </w:r>
      <w:r w:rsidR="00B01B38">
        <w:t>lder industrial places also benefit from a strong sense of place and community identity</w:t>
      </w:r>
      <w:r w:rsidR="00F5318A">
        <w:t xml:space="preserve">, often rooted in </w:t>
      </w:r>
      <w:r w:rsidR="00F55670">
        <w:t xml:space="preserve">a </w:t>
      </w:r>
      <w:r w:rsidR="00F5318A">
        <w:t>rich history</w:t>
      </w:r>
      <w:r w:rsidR="00F55670">
        <w:t xml:space="preserve"> that translates to modern value</w:t>
      </w:r>
      <w:r w:rsidR="00F5318A">
        <w:t>.</w:t>
      </w:r>
      <w:r w:rsidR="00F55670">
        <w:t xml:space="preserve"> OICs possess:</w:t>
      </w:r>
    </w:p>
    <w:p w14:paraId="36668AAE" w14:textId="77777777" w:rsidR="001267A3" w:rsidRDefault="001267A3" w:rsidP="000A0847">
      <w:pPr>
        <w:pStyle w:val="ListParagraph"/>
        <w:spacing w:after="0" w:line="240" w:lineRule="auto"/>
        <w:ind w:left="360"/>
      </w:pPr>
    </w:p>
    <w:p w14:paraId="6E7BAB21" w14:textId="126BEA60" w:rsidR="001267A3" w:rsidRDefault="00F55670" w:rsidP="000A0847">
      <w:pPr>
        <w:pStyle w:val="ListParagraph"/>
        <w:numPr>
          <w:ilvl w:val="1"/>
          <w:numId w:val="20"/>
        </w:numPr>
        <w:spacing w:after="0" w:line="240" w:lineRule="auto"/>
      </w:pPr>
      <w:r>
        <w:t xml:space="preserve">Significant </w:t>
      </w:r>
      <w:r w:rsidR="00F5318A">
        <w:t>architecture</w:t>
      </w:r>
      <w:r>
        <w:t>—historical buildings, warehouses—</w:t>
      </w:r>
      <w:r w:rsidR="00F5318A">
        <w:t xml:space="preserve">that </w:t>
      </w:r>
      <w:r w:rsidR="008667E7">
        <w:t xml:space="preserve">is </w:t>
      </w:r>
      <w:r>
        <w:t xml:space="preserve">attracting </w:t>
      </w:r>
      <w:r w:rsidR="00F5318A">
        <w:t>new</w:t>
      </w:r>
      <w:r>
        <w:t xml:space="preserve"> and</w:t>
      </w:r>
      <w:r w:rsidR="002906E4">
        <w:t xml:space="preserve"> adaptive</w:t>
      </w:r>
      <w:r w:rsidR="00F5318A">
        <w:t xml:space="preserve"> </w:t>
      </w:r>
      <w:r w:rsidR="002906E4">
        <w:t>re</w:t>
      </w:r>
      <w:r>
        <w:t xml:space="preserve">uses; </w:t>
      </w:r>
    </w:p>
    <w:p w14:paraId="3A70F0A0" w14:textId="0A4A8778" w:rsidR="001267A3" w:rsidRDefault="001267A3" w:rsidP="000A0847">
      <w:pPr>
        <w:pStyle w:val="ListParagraph"/>
        <w:numPr>
          <w:ilvl w:val="1"/>
          <w:numId w:val="20"/>
        </w:numPr>
        <w:spacing w:after="0" w:line="240" w:lineRule="auto"/>
      </w:pPr>
      <w:r>
        <w:t>Di</w:t>
      </w:r>
      <w:r w:rsidR="00F5318A">
        <w:t>stinctive</w:t>
      </w:r>
      <w:r>
        <w:t>, human-scaled</w:t>
      </w:r>
      <w:r w:rsidR="00F5318A">
        <w:t xml:space="preserve"> neighborhoods populated by diverse waves of immigrants</w:t>
      </w:r>
      <w:r>
        <w:t xml:space="preserve">, </w:t>
      </w:r>
      <w:r w:rsidR="00F5318A">
        <w:t>migrants</w:t>
      </w:r>
      <w:r>
        <w:t>,</w:t>
      </w:r>
      <w:r w:rsidR="00F5318A">
        <w:t xml:space="preserve"> </w:t>
      </w:r>
      <w:r w:rsidR="0051372B">
        <w:t>and local entrepreneurs</w:t>
      </w:r>
      <w:r>
        <w:t xml:space="preserve">; </w:t>
      </w:r>
    </w:p>
    <w:p w14:paraId="35B83E11" w14:textId="77777777" w:rsidR="001267A3" w:rsidRDefault="001267A3" w:rsidP="000A0847">
      <w:pPr>
        <w:pStyle w:val="ListParagraph"/>
        <w:numPr>
          <w:ilvl w:val="1"/>
          <w:numId w:val="20"/>
        </w:numPr>
        <w:spacing w:after="0" w:line="240" w:lineRule="auto"/>
      </w:pPr>
      <w:r>
        <w:t>P</w:t>
      </w:r>
      <w:r w:rsidR="00F55670">
        <w:t xml:space="preserve">restigious </w:t>
      </w:r>
      <w:r w:rsidR="0051372B">
        <w:t>cultural institutions</w:t>
      </w:r>
      <w:r>
        <w:t xml:space="preserve"> </w:t>
      </w:r>
      <w:r w:rsidR="0051372B">
        <w:t>that draw visitors from around their regions and the globe;</w:t>
      </w:r>
    </w:p>
    <w:p w14:paraId="198A2FFC" w14:textId="2B2DD515" w:rsidR="001267A3" w:rsidRDefault="001267A3" w:rsidP="000A0847">
      <w:pPr>
        <w:pStyle w:val="ListParagraph"/>
        <w:numPr>
          <w:ilvl w:val="1"/>
          <w:numId w:val="20"/>
        </w:numPr>
        <w:spacing w:after="0" w:line="240" w:lineRule="auto"/>
      </w:pPr>
      <w:r>
        <w:t>G</w:t>
      </w:r>
      <w:r w:rsidR="00F55670">
        <w:t xml:space="preserve">enerous waterfronts and coastlines that </w:t>
      </w:r>
      <w:r w:rsidR="008667E7">
        <w:t xml:space="preserve">once </w:t>
      </w:r>
      <w:r>
        <w:t xml:space="preserve">powered </w:t>
      </w:r>
      <w:r w:rsidR="008667E7">
        <w:t xml:space="preserve">industry and transportation </w:t>
      </w:r>
      <w:r w:rsidR="00F55670">
        <w:t xml:space="preserve">and now </w:t>
      </w:r>
      <w:r>
        <w:t>serve as centers of recreation and sustainability;</w:t>
      </w:r>
      <w:r>
        <w:rPr>
          <w:rStyle w:val="EndnoteReference"/>
        </w:rPr>
        <w:endnoteReference w:id="93"/>
      </w:r>
      <w:r>
        <w:t xml:space="preserve"> and</w:t>
      </w:r>
    </w:p>
    <w:p w14:paraId="1B6E9C68" w14:textId="0E923AF3" w:rsidR="001267A3" w:rsidRDefault="001267A3" w:rsidP="000A0847">
      <w:pPr>
        <w:pStyle w:val="ListParagraph"/>
        <w:numPr>
          <w:ilvl w:val="1"/>
          <w:numId w:val="20"/>
        </w:numPr>
        <w:spacing w:after="0" w:line="240" w:lineRule="auto"/>
      </w:pPr>
      <w:r>
        <w:t>V</w:t>
      </w:r>
      <w:r w:rsidR="0051372B">
        <w:t xml:space="preserve">ibrant arts communities </w:t>
      </w:r>
      <w:r w:rsidR="00233FB3">
        <w:t xml:space="preserve">connected to </w:t>
      </w:r>
      <w:r w:rsidR="002906E4">
        <w:t>legacies of</w:t>
      </w:r>
      <w:r w:rsidR="00233FB3">
        <w:t xml:space="preserve"> industrial design </w:t>
      </w:r>
      <w:r>
        <w:t xml:space="preserve">and sustained </w:t>
      </w:r>
      <w:r w:rsidR="008667E7">
        <w:t xml:space="preserve">today </w:t>
      </w:r>
      <w:r>
        <w:t>by affordable costs of living and space</w:t>
      </w:r>
    </w:p>
    <w:p w14:paraId="25AFE7E9" w14:textId="77777777" w:rsidR="001267A3" w:rsidRDefault="001267A3" w:rsidP="000A0847">
      <w:pPr>
        <w:spacing w:after="0" w:line="240" w:lineRule="auto"/>
        <w:ind w:left="360"/>
      </w:pPr>
    </w:p>
    <w:p w14:paraId="31811D6B" w14:textId="7F107242" w:rsidR="00F5318A" w:rsidRDefault="00233FB3" w:rsidP="000A0847">
      <w:pPr>
        <w:spacing w:after="0" w:line="240" w:lineRule="auto"/>
        <w:ind w:left="360"/>
      </w:pPr>
      <w:r>
        <w:t xml:space="preserve">These assets combine in OICs with the </w:t>
      </w:r>
      <w:r w:rsidR="0051372B">
        <w:t>uniquely Am</w:t>
      </w:r>
      <w:r>
        <w:t xml:space="preserve">erican devotion to the underdog, </w:t>
      </w:r>
      <w:r w:rsidR="005F781A">
        <w:t xml:space="preserve">fueling community pride and sustaining the passionate fan bases of several sports teams that for decades have </w:t>
      </w:r>
      <w:r w:rsidR="00EB14F4">
        <w:t xml:space="preserve">nonetheless </w:t>
      </w:r>
      <w:r w:rsidR="005F781A">
        <w:t xml:space="preserve">fallen short of the ultimate prize (see: Cleveland Indians, Detroit Lions, Buffalo </w:t>
      </w:r>
      <w:proofErr w:type="spellStart"/>
      <w:r w:rsidR="005F781A">
        <w:t>Sabres</w:t>
      </w:r>
      <w:proofErr w:type="spellEnd"/>
      <w:r w:rsidR="005F781A">
        <w:t>, Indiana Pacers).</w:t>
      </w:r>
    </w:p>
    <w:p w14:paraId="5C46B92F" w14:textId="77777777" w:rsidR="00F5318A" w:rsidRDefault="00F5318A" w:rsidP="000A0847">
      <w:pPr>
        <w:pStyle w:val="ListParagraph"/>
        <w:spacing w:after="0" w:line="240" w:lineRule="auto"/>
        <w:ind w:left="360"/>
        <w:rPr>
          <w:b/>
        </w:rPr>
      </w:pPr>
    </w:p>
    <w:p w14:paraId="7D60E62D" w14:textId="29888020" w:rsidR="00941C30" w:rsidRDefault="00EB14F4" w:rsidP="000A0847">
      <w:pPr>
        <w:pStyle w:val="ListParagraph"/>
        <w:spacing w:after="0" w:line="240" w:lineRule="auto"/>
        <w:ind w:left="360"/>
      </w:pPr>
      <w:r>
        <w:t>Because</w:t>
      </w:r>
      <w:r w:rsidR="00941C30">
        <w:t xml:space="preserve"> </w:t>
      </w:r>
      <w:r w:rsidR="00B01B38">
        <w:t xml:space="preserve">identity </w:t>
      </w:r>
      <w:r w:rsidR="00941C30">
        <w:t xml:space="preserve">is less a measurable economic phenomenon than a suggestion of some cultural relevance, it is difficult to say exactly how different places stack up. </w:t>
      </w:r>
      <w:r w:rsidR="00F5318A">
        <w:t>Yet o</w:t>
      </w:r>
      <w:r w:rsidR="00941C30">
        <w:t xml:space="preserve">ne can see in the proliferation of local “makers”—for instance, in the craft brewing industry—a trend in </w:t>
      </w:r>
      <w:r w:rsidR="00291187">
        <w:t xml:space="preserve">OICs </w:t>
      </w:r>
      <w:r w:rsidR="00941C30">
        <w:t xml:space="preserve">both large and small that leverages their manufacturing heritage, low land costs, and civic pride. This particular urban industry is hardly a panacea—it is neither very diverse nor frequently a basis for new export economies (Great Lakes Brewing Company in Cleveland and Matt Brewing Company in Utica—makers of Saranac—are notable exceptions)—but as </w:t>
      </w:r>
      <w:r w:rsidR="00291187">
        <w:t xml:space="preserve">many have begun to </w:t>
      </w:r>
      <w:r w:rsidR="00941C30">
        <w:t xml:space="preserve">observe, these often-small </w:t>
      </w:r>
      <w:r w:rsidR="00E1262E">
        <w:t>businesses</w:t>
      </w:r>
      <w:r w:rsidR="00941C30">
        <w:t xml:space="preserve"> can be important markers of renewed community vitality.</w:t>
      </w:r>
      <w:r w:rsidR="00941C30">
        <w:rPr>
          <w:rStyle w:val="EndnoteReference"/>
        </w:rPr>
        <w:endnoteReference w:id="94"/>
      </w:r>
      <w:r w:rsidR="00291187">
        <w:rPr>
          <w:rStyle w:val="EndnoteReference"/>
        </w:rPr>
        <w:endnoteReference w:id="95"/>
      </w:r>
    </w:p>
    <w:p w14:paraId="096B3AA5" w14:textId="3D221C30" w:rsidR="00941C30" w:rsidRDefault="00941C30" w:rsidP="000A0847">
      <w:pPr>
        <w:spacing w:after="0" w:line="240" w:lineRule="auto"/>
      </w:pPr>
    </w:p>
    <w:p w14:paraId="60A032DB" w14:textId="7EF430CA" w:rsidR="00767C28" w:rsidRDefault="00767C28" w:rsidP="000A0847">
      <w:pPr>
        <w:spacing w:after="0" w:line="240" w:lineRule="auto"/>
      </w:pPr>
      <w:r>
        <w:t>[Figure 5.11—OICs exhibit one key marker of local “maker” vitality]</w:t>
      </w:r>
    </w:p>
    <w:p w14:paraId="71B58DCD" w14:textId="74D239B7" w:rsidR="00941C30" w:rsidRDefault="00941C30" w:rsidP="000A0847">
      <w:pPr>
        <w:spacing w:after="0" w:line="240" w:lineRule="auto"/>
      </w:pPr>
    </w:p>
    <w:p w14:paraId="5D0DE4B6" w14:textId="730B8B0B" w:rsidR="00941C30" w:rsidRDefault="00941C30" w:rsidP="000A0847">
      <w:pPr>
        <w:spacing w:after="0" w:line="240" w:lineRule="auto"/>
      </w:pPr>
      <w:r>
        <w:t xml:space="preserve">Notwithstanding these hopeful signs of urban advantage and renewed vitality in </w:t>
      </w:r>
      <w:r w:rsidR="00767C28">
        <w:t>OICs</w:t>
      </w:r>
      <w:r>
        <w:t>, many of these markets continue to exhibit headwinds in amassing sufficient economic and demographic strength in regional and national contexts, including:</w:t>
      </w:r>
    </w:p>
    <w:p w14:paraId="790C020A" w14:textId="77777777" w:rsidR="00941C30" w:rsidRDefault="00941C30" w:rsidP="000A0847">
      <w:pPr>
        <w:spacing w:after="0" w:line="240" w:lineRule="auto"/>
      </w:pPr>
    </w:p>
    <w:p w14:paraId="5CB7375C" w14:textId="5B107C99" w:rsidR="00941C30" w:rsidRDefault="00941C30" w:rsidP="000A0847">
      <w:pPr>
        <w:pStyle w:val="ListParagraph"/>
        <w:numPr>
          <w:ilvl w:val="0"/>
          <w:numId w:val="20"/>
        </w:numPr>
        <w:spacing w:after="0" w:line="240" w:lineRule="auto"/>
      </w:pPr>
      <w:r>
        <w:rPr>
          <w:b/>
        </w:rPr>
        <w:t>Falling share of metropolitan employment</w:t>
      </w:r>
      <w:r>
        <w:t xml:space="preserve">. Since about 1990, the typical older industrial county has contained a lower share of its metropolitan area’s jobs than typical urban and urban industrial counties. That slippage has continued into the current decade; all type of urban counties are seeing their regional employment shares drop, but that decline has been somewhat greater in older industrial counties. Only four </w:t>
      </w:r>
      <w:r w:rsidR="00EB14F4">
        <w:t>OICs</w:t>
      </w:r>
      <w:r>
        <w:t xml:space="preserve"> (Davenport, Iowa</w:t>
      </w:r>
      <w:r w:rsidR="00EB14F4">
        <w:t>;</w:t>
      </w:r>
      <w:r>
        <w:t xml:space="preserve"> Kalamazoo, Mich.</w:t>
      </w:r>
      <w:r w:rsidR="00EB14F4">
        <w:t>;</w:t>
      </w:r>
      <w:r>
        <w:t xml:space="preserve"> Lynchburg, Va.</w:t>
      </w:r>
      <w:r w:rsidR="00EB14F4">
        <w:t>;</w:t>
      </w:r>
      <w:r>
        <w:t xml:space="preserve"> and Bethlehem, Pa.) grew their share of metro employment by at least 1 percent from 2010 to 2016; far more saw that share drop by a significant margin, particularly </w:t>
      </w:r>
      <w:r w:rsidR="00EB14F4">
        <w:t>in</w:t>
      </w:r>
      <w:r>
        <w:t xml:space="preserve"> Indianapolis, Ind.</w:t>
      </w:r>
      <w:r w:rsidR="00EB14F4">
        <w:t>,</w:t>
      </w:r>
      <w:r>
        <w:t xml:space="preserve"> Rockford, Ill., Birmingham, Ala., and Detroit, Mich. Thus, even as many of these </w:t>
      </w:r>
      <w:r w:rsidR="00EB14F4">
        <w:t>OICs</w:t>
      </w:r>
      <w:r>
        <w:t xml:space="preserve"> were managing to concentrate more of their jobs in high-density areas, their status as their regions’ core employment centers continued to erode.</w:t>
      </w:r>
    </w:p>
    <w:p w14:paraId="7BD3BCD4" w14:textId="5F1E3F1C" w:rsidR="00941C30" w:rsidRDefault="00941C30" w:rsidP="000A0847">
      <w:pPr>
        <w:spacing w:after="0" w:line="240" w:lineRule="auto"/>
      </w:pPr>
    </w:p>
    <w:p w14:paraId="2667F90E" w14:textId="7A2DAA95" w:rsidR="00767C28" w:rsidRDefault="00767C28" w:rsidP="000A0847">
      <w:pPr>
        <w:spacing w:after="0" w:line="240" w:lineRule="auto"/>
      </w:pPr>
      <w:r>
        <w:t>[Figure 5.12—OICs’ share of their metro areas’ jobs continues to decline]</w:t>
      </w:r>
    </w:p>
    <w:p w14:paraId="44F620BF" w14:textId="77777777" w:rsidR="00767C28" w:rsidRDefault="00767C28" w:rsidP="000A0847">
      <w:pPr>
        <w:spacing w:after="0" w:line="240" w:lineRule="auto"/>
      </w:pPr>
    </w:p>
    <w:p w14:paraId="50636A4E" w14:textId="17DE5064" w:rsidR="00F52930" w:rsidRDefault="00941C30" w:rsidP="000A0847">
      <w:pPr>
        <w:pStyle w:val="ListParagraph"/>
        <w:numPr>
          <w:ilvl w:val="0"/>
          <w:numId w:val="20"/>
        </w:numPr>
        <w:spacing w:after="0" w:line="240" w:lineRule="auto"/>
      </w:pPr>
      <w:r w:rsidRPr="00A42A9F">
        <w:rPr>
          <w:b/>
        </w:rPr>
        <w:t>Slower rate of new housing development</w:t>
      </w:r>
      <w:r>
        <w:t xml:space="preserve">. Overall, urban areas have achieved a significant rebound in new housing development from the depths of the financial crisis as the current decade began. The number of housing units permitted in urban counties was up 125 percent in 2016 from its level in 2010. That rebound was nearly equivalent in </w:t>
      </w:r>
      <w:r w:rsidR="00AA614F">
        <w:t xml:space="preserve">the subset of </w:t>
      </w:r>
      <w:r>
        <w:t xml:space="preserve">urban counties that had a historical concentration in manufacturing. But </w:t>
      </w:r>
      <w:r w:rsidR="00EB14F4">
        <w:t xml:space="preserve">across </w:t>
      </w:r>
      <w:r>
        <w:t xml:space="preserve">the 70 </w:t>
      </w:r>
      <w:r w:rsidR="00767C28">
        <w:t>OICs</w:t>
      </w:r>
      <w:r w:rsidR="00EB14F4">
        <w:t>,</w:t>
      </w:r>
      <w:r>
        <w:t xml:space="preserve"> new units permitted </w:t>
      </w:r>
      <w:r w:rsidR="00EB14F4">
        <w:t xml:space="preserve">rose </w:t>
      </w:r>
      <w:r>
        <w:t xml:space="preserve">by only half that </w:t>
      </w:r>
      <w:r w:rsidR="00EB14F4">
        <w:t>percentage</w:t>
      </w:r>
      <w:r>
        <w:t xml:space="preserve"> overall</w:t>
      </w:r>
      <w:r w:rsidR="00EB14F4">
        <w:t xml:space="preserve"> (61 percent)</w:t>
      </w:r>
      <w:r>
        <w:t xml:space="preserve">, from 40,000 units in 2010 to 64,000 units in 2016. Some larger counties like those </w:t>
      </w:r>
      <w:r w:rsidR="0084450A">
        <w:t>containing</w:t>
      </w:r>
      <w:r>
        <w:t xml:space="preserve"> St. Paul, Minn., St. Louis, Mo., Newark, N.J., Philadelphia, Pa., and Louisville, Ky. posted robust growth in new housing development, and a few small ones (around Marion, Ind., Flint, Mich., and Schenectady, N.Y.) showed strong growth from a low base. </w:t>
      </w:r>
    </w:p>
    <w:p w14:paraId="3E3D19F0" w14:textId="77777777" w:rsidR="00F52930" w:rsidRDefault="00F52930" w:rsidP="000A0847">
      <w:pPr>
        <w:pStyle w:val="ListParagraph"/>
        <w:spacing w:after="0" w:line="240" w:lineRule="auto"/>
        <w:ind w:left="360"/>
        <w:rPr>
          <w:b/>
        </w:rPr>
      </w:pPr>
    </w:p>
    <w:p w14:paraId="6E090A04" w14:textId="71474F84" w:rsidR="00941C30" w:rsidRDefault="00F52930" w:rsidP="000A0847">
      <w:pPr>
        <w:pStyle w:val="ListParagraph"/>
        <w:spacing w:after="0" w:line="240" w:lineRule="auto"/>
        <w:ind w:left="360"/>
      </w:pPr>
      <w:r>
        <w:t>H</w:t>
      </w:r>
      <w:r w:rsidR="00941C30">
        <w:t xml:space="preserve">igher rates of housing vacancy in older industrial areas mean that household growth can occur more easily absent new housing development in these places than in other urban areas. Yet the wide margin between older industrial counties and others on this measure nevertheless </w:t>
      </w:r>
      <w:r w:rsidR="00AA614F">
        <w:t xml:space="preserve">suggests </w:t>
      </w:r>
      <w:r w:rsidR="00941C30">
        <w:t>that significant residential re-urbanizatio</w:t>
      </w:r>
      <w:r w:rsidR="0084450A">
        <w:t>n is not yet a reality for most OICs.</w:t>
      </w:r>
      <w:r>
        <w:t xml:space="preserve"> Between 2010 and 2016, median population change in the largest city of older industrial counties was 0 percent, compared to 4.3 percent in urban industrial counties’ largest cities.</w:t>
      </w:r>
    </w:p>
    <w:p w14:paraId="25B87EF0" w14:textId="4074234C" w:rsidR="00767C28" w:rsidRDefault="00767C28" w:rsidP="000A0847">
      <w:pPr>
        <w:spacing w:after="0" w:line="240" w:lineRule="auto"/>
      </w:pPr>
    </w:p>
    <w:p w14:paraId="427AFAD1" w14:textId="4BED25B9" w:rsidR="00767C28" w:rsidRDefault="00767C28" w:rsidP="000A0847">
      <w:pPr>
        <w:spacing w:after="0" w:line="240" w:lineRule="auto"/>
      </w:pPr>
      <w:r>
        <w:t>[Figure 5.13—OICs significantly lag other urban counties on new residential development growth]</w:t>
      </w:r>
    </w:p>
    <w:p w14:paraId="7B898AE0" w14:textId="33D0A545" w:rsidR="00941C30" w:rsidRDefault="00941C30" w:rsidP="000A0847">
      <w:pPr>
        <w:spacing w:after="0" w:line="240" w:lineRule="auto"/>
      </w:pPr>
    </w:p>
    <w:p w14:paraId="66A1AF14" w14:textId="7FDCC83E" w:rsidR="00941C30" w:rsidRPr="005846E7" w:rsidRDefault="00941C30" w:rsidP="000A0847">
      <w:pPr>
        <w:pStyle w:val="ListParagraph"/>
        <w:numPr>
          <w:ilvl w:val="0"/>
          <w:numId w:val="29"/>
        </w:numPr>
        <w:spacing w:after="0" w:line="240" w:lineRule="auto"/>
        <w:rPr>
          <w:sz w:val="24"/>
        </w:rPr>
      </w:pPr>
      <w:r w:rsidRPr="005846E7">
        <w:rPr>
          <w:b/>
          <w:sz w:val="24"/>
        </w:rPr>
        <w:t xml:space="preserve">Older industrial </w:t>
      </w:r>
      <w:r w:rsidR="0055681F" w:rsidRPr="005846E7">
        <w:rPr>
          <w:b/>
          <w:sz w:val="24"/>
        </w:rPr>
        <w:t>cities</w:t>
      </w:r>
      <w:r w:rsidRPr="005846E7">
        <w:rPr>
          <w:b/>
          <w:sz w:val="24"/>
        </w:rPr>
        <w:t xml:space="preserve"> possess important demographic strengths, but carry legacies that threaten their continued progress in a diversifying society</w:t>
      </w:r>
    </w:p>
    <w:p w14:paraId="63C68E45" w14:textId="77777777" w:rsidR="00941C30" w:rsidRDefault="00941C30" w:rsidP="000A0847">
      <w:pPr>
        <w:spacing w:after="0" w:line="240" w:lineRule="auto"/>
      </w:pPr>
    </w:p>
    <w:p w14:paraId="534CDE82" w14:textId="2A3370DF" w:rsidR="00941C30" w:rsidRDefault="00941C30" w:rsidP="000A0847">
      <w:pPr>
        <w:spacing w:after="0" w:line="240" w:lineRule="auto"/>
      </w:pPr>
      <w:r>
        <w:t xml:space="preserve">As explored in the previous chapter, </w:t>
      </w:r>
      <w:r w:rsidR="0055681F">
        <w:t xml:space="preserve">OICs’ </w:t>
      </w:r>
      <w:r>
        <w:t xml:space="preserve">economic success is ultimately defined not only </w:t>
      </w:r>
      <w:r w:rsidR="0055681F">
        <w:t xml:space="preserve">by </w:t>
      </w:r>
      <w:r>
        <w:t xml:space="preserve">whether they can generate greater growth and higher living standards, but also by whether those outcomes can be shared broadly across income and racial groups, and across communities. This is particularly the case given the increasing racial and ethnic diversity of the U.S. population overall, and the fact that people of color already represent more than 40 percent of </w:t>
      </w:r>
      <w:r w:rsidR="0055681F">
        <w:t xml:space="preserve">OIC </w:t>
      </w:r>
      <w:r>
        <w:t xml:space="preserve">residents. </w:t>
      </w:r>
    </w:p>
    <w:p w14:paraId="4700FB37" w14:textId="77777777" w:rsidR="00941C30" w:rsidRDefault="00941C30" w:rsidP="000A0847">
      <w:pPr>
        <w:spacing w:after="0" w:line="240" w:lineRule="auto"/>
      </w:pPr>
    </w:p>
    <w:p w14:paraId="0BB24C98" w14:textId="5ADE28DC" w:rsidR="00941C30" w:rsidRDefault="00941C30" w:rsidP="000A0847">
      <w:pPr>
        <w:spacing w:after="0" w:line="240" w:lineRule="auto"/>
      </w:pPr>
      <w:r>
        <w:t>Over the next few decades, immigration and aging will continue to transform America into a much more multi-racial, multi-ethnic society. The Pew Research Center projects that by 2065, no currently defined racial or ethnic group will represent a majority of U.S. population. Over the intervening 50 years, they estimate that the Hispanic population will grow by 50 million, Asians by 42 million, blacks by 16 million, and whites by only 2 million.</w:t>
      </w:r>
      <w:r w:rsidR="000C69AD">
        <w:rPr>
          <w:rStyle w:val="EndnoteReference"/>
        </w:rPr>
        <w:endnoteReference w:id="96"/>
      </w:r>
      <w:r>
        <w:t xml:space="preserve"> Critical to achieving a successful transition will be the Millennial generation, young adults aged 18 to 34 </w:t>
      </w:r>
      <w:r w:rsidR="00E1262E">
        <w:t xml:space="preserve">in 2016 </w:t>
      </w:r>
      <w:r>
        <w:t>who are already the largest generation in U.S. history, and who represent a demographic bridge between an older U.S. white population and truly pluralistic generations to follow.</w:t>
      </w:r>
      <w:r w:rsidR="00F43C02">
        <w:rPr>
          <w:rStyle w:val="EndnoteReference"/>
        </w:rPr>
        <w:endnoteReference w:id="97"/>
      </w:r>
    </w:p>
    <w:p w14:paraId="52310E01" w14:textId="77777777" w:rsidR="00941C30" w:rsidRDefault="00941C30" w:rsidP="000A0847">
      <w:pPr>
        <w:spacing w:after="0" w:line="240" w:lineRule="auto"/>
      </w:pPr>
    </w:p>
    <w:p w14:paraId="3EF30B57" w14:textId="3B351615" w:rsidR="00941C30" w:rsidRDefault="00941C30" w:rsidP="000A0847">
      <w:pPr>
        <w:spacing w:after="0" w:line="240" w:lineRule="auto"/>
      </w:pPr>
      <w:r>
        <w:t xml:space="preserve">As still-important population centers throughout the Northeast and Midwest, older industrial counties </w:t>
      </w:r>
      <w:r w:rsidR="00115A43">
        <w:t xml:space="preserve">contribute significantly to </w:t>
      </w:r>
      <w:r>
        <w:t>the nation’s demographic strength, evidenced by several of their attributes:</w:t>
      </w:r>
    </w:p>
    <w:p w14:paraId="0D06CD51" w14:textId="77777777" w:rsidR="00941C30" w:rsidRDefault="00941C30" w:rsidP="000A0847">
      <w:pPr>
        <w:spacing w:after="0" w:line="240" w:lineRule="auto"/>
      </w:pPr>
    </w:p>
    <w:p w14:paraId="58FF658E" w14:textId="18405138" w:rsidR="00941C30" w:rsidRDefault="00941C30" w:rsidP="000A0847">
      <w:pPr>
        <w:pStyle w:val="ListParagraph"/>
        <w:numPr>
          <w:ilvl w:val="0"/>
          <w:numId w:val="20"/>
        </w:numPr>
        <w:spacing w:after="0" w:line="240" w:lineRule="auto"/>
      </w:pPr>
      <w:r w:rsidRPr="00EB211C">
        <w:rPr>
          <w:b/>
        </w:rPr>
        <w:t>Age-balanced workforces</w:t>
      </w:r>
      <w:r>
        <w:t xml:space="preserve">. While the phrase “older” industrial communities may conjure a picture of demographically aged places, the </w:t>
      </w:r>
      <w:r w:rsidR="000C69AD">
        <w:t xml:space="preserve">combined workforce in OICs </w:t>
      </w:r>
      <w:r>
        <w:t xml:space="preserve">has an age profile similar to that in other urban areas. Almost 24 percent of </w:t>
      </w:r>
      <w:r w:rsidR="000C69AD">
        <w:t xml:space="preserve">employed residents of OICs </w:t>
      </w:r>
      <w:r>
        <w:t xml:space="preserve">are between 25 and 34 years old, just shy of the average across all urban counties. </w:t>
      </w:r>
      <w:r w:rsidR="00E3703B">
        <w:t xml:space="preserve">Philadelphia, St. Louis, and Baltimore (all counties </w:t>
      </w:r>
      <w:r w:rsidR="002E34BC">
        <w:t>that are equivalent to their</w:t>
      </w:r>
      <w:r w:rsidR="00E3703B">
        <w:t xml:space="preserve"> central cities) register the highest shares of their workforces in this age range. </w:t>
      </w:r>
      <w:r>
        <w:t xml:space="preserve">At the same time, about one in six workers in </w:t>
      </w:r>
      <w:r w:rsidR="000C69AD">
        <w:t>OICs</w:t>
      </w:r>
      <w:r>
        <w:t xml:space="preserve"> is aged 55 to 64, </w:t>
      </w:r>
      <w:r w:rsidR="000C69AD">
        <w:t xml:space="preserve">just </w:t>
      </w:r>
      <w:r>
        <w:t xml:space="preserve">slightly above </w:t>
      </w:r>
      <w:r w:rsidR="000C69AD">
        <w:t>the average</w:t>
      </w:r>
      <w:r>
        <w:t xml:space="preserve"> in other urban areas and nationwide, though not suggestive of an extraordinary aging pressure in these communities.</w:t>
      </w:r>
      <w:r w:rsidR="00115A43">
        <w:t xml:space="preserve"> </w:t>
      </w:r>
      <w:r w:rsidR="00E3703B">
        <w:t xml:space="preserve">Still, in the counties containing Youngstown, Ohio, </w:t>
      </w:r>
      <w:proofErr w:type="spellStart"/>
      <w:r w:rsidR="00E3703B">
        <w:t>Bethelehem</w:t>
      </w:r>
      <w:proofErr w:type="spellEnd"/>
      <w:r w:rsidR="00E3703B">
        <w:t>, Pa., and Pittsburgh, older adults make up about one in five members of the workforce.</w:t>
      </w:r>
    </w:p>
    <w:p w14:paraId="58E7DD37" w14:textId="72395018" w:rsidR="00941C30" w:rsidRDefault="00941C30" w:rsidP="000A0847">
      <w:pPr>
        <w:spacing w:after="0" w:line="240" w:lineRule="auto"/>
      </w:pPr>
    </w:p>
    <w:p w14:paraId="1BC29E49" w14:textId="73AB56FD" w:rsidR="000C69AD" w:rsidRDefault="000C69AD" w:rsidP="000A0847">
      <w:pPr>
        <w:spacing w:after="0" w:line="240" w:lineRule="auto"/>
      </w:pPr>
      <w:r>
        <w:t>[Figure 5.14—OICs’ workforces are similarly aged to those in other urban counties]</w:t>
      </w:r>
    </w:p>
    <w:p w14:paraId="0F352040" w14:textId="77777777" w:rsidR="000C69AD" w:rsidRDefault="000C69AD" w:rsidP="000A0847">
      <w:pPr>
        <w:spacing w:after="0" w:line="240" w:lineRule="auto"/>
      </w:pPr>
    </w:p>
    <w:p w14:paraId="7221CDB5" w14:textId="550D1620" w:rsidR="00941C30" w:rsidRDefault="00941C30" w:rsidP="000A0847">
      <w:pPr>
        <w:pStyle w:val="ListParagraph"/>
        <w:numPr>
          <w:ilvl w:val="0"/>
          <w:numId w:val="20"/>
        </w:numPr>
        <w:spacing w:after="0" w:line="240" w:lineRule="auto"/>
      </w:pPr>
      <w:r w:rsidRPr="005F2284">
        <w:rPr>
          <w:b/>
        </w:rPr>
        <w:t>Rising immigration</w:t>
      </w:r>
      <w:r>
        <w:t xml:space="preserve">. Part of older industrial areas’ demographic vitality owes to the rising prevalence of immigration in these communities. They were, of course, centers of U.S. immigration in the early twentieth century, largely from Europe, but those flows waned along with their economic prowess. In the last several years, however, foreign-born individuals have begun to comprise a growing share of </w:t>
      </w:r>
      <w:r w:rsidR="000C69AD">
        <w:t xml:space="preserve">OIC </w:t>
      </w:r>
      <w:r>
        <w:t>population</w:t>
      </w:r>
      <w:r w:rsidR="002E34BC">
        <w:t>s</w:t>
      </w:r>
      <w:r>
        <w:t xml:space="preserve">, more so than in other urban areas. Philadelphia experienced the largest uptick this decade in foreign-born population share among older industrial counties, as the city added nearly 55,000 immigrants from 2010 to 2016. Norfolk County outside Boston, Ramsey County, Minn. (containing St. Paul), and Passaic County, N.J. (containing Paterson) also registered large proportional increases in immigrants, representing a mixture of high-skilled foreign professionals, lower-skilled labor migrants, family members of existing residents, and refugees gaining resettlement. The larger increases in foreign-born representation in economically stronger </w:t>
      </w:r>
      <w:r w:rsidR="000C69AD">
        <w:t xml:space="preserve">OICs </w:t>
      </w:r>
      <w:r w:rsidR="002E34BC">
        <w:t>signal</w:t>
      </w:r>
      <w:r>
        <w:t xml:space="preserve"> </w:t>
      </w:r>
      <w:r w:rsidR="000C69AD">
        <w:t>immigrants’</w:t>
      </w:r>
      <w:r>
        <w:t xml:space="preserve"> attraction to these healthier local economies as well as the contributions they make to local economic success.</w:t>
      </w:r>
    </w:p>
    <w:p w14:paraId="7D2C65C5" w14:textId="1FD75426" w:rsidR="000C69AD" w:rsidRDefault="000C69AD" w:rsidP="000A0847">
      <w:pPr>
        <w:spacing w:after="0" w:line="240" w:lineRule="auto"/>
      </w:pPr>
    </w:p>
    <w:p w14:paraId="22C4078E" w14:textId="29736CFA" w:rsidR="000C69AD" w:rsidRDefault="000C69AD" w:rsidP="000A0847">
      <w:pPr>
        <w:spacing w:after="0" w:line="240" w:lineRule="auto"/>
      </w:pPr>
      <w:r>
        <w:t>[Figure 5.15—Immigrants are becoming larger shares of the local population in OICs, particularly those that are economically stronger]</w:t>
      </w:r>
    </w:p>
    <w:p w14:paraId="15DD9CEE" w14:textId="77777777" w:rsidR="00941C30" w:rsidRDefault="00941C30" w:rsidP="000A0847">
      <w:pPr>
        <w:spacing w:after="0" w:line="240" w:lineRule="auto"/>
      </w:pPr>
    </w:p>
    <w:p w14:paraId="571D7271" w14:textId="6DD82293" w:rsidR="00941C30" w:rsidRDefault="005D52E5" w:rsidP="000A0847">
      <w:pPr>
        <w:pStyle w:val="ListParagraph"/>
        <w:numPr>
          <w:ilvl w:val="0"/>
          <w:numId w:val="20"/>
        </w:numPr>
        <w:spacing w:after="0" w:line="240" w:lineRule="auto"/>
      </w:pPr>
      <w:r>
        <w:rPr>
          <w:b/>
        </w:rPr>
        <w:t>Some g</w:t>
      </w:r>
      <w:r w:rsidR="00941C30" w:rsidRPr="00D07539">
        <w:rPr>
          <w:b/>
        </w:rPr>
        <w:t>limmers of in-migration</w:t>
      </w:r>
      <w:r w:rsidR="00941C30">
        <w:t>. There is considerable talk, at least anecdotally, of a “boomerang effect” in many older industrial markets, wherein young people who have achieved economic success in the nation’s large and coastal cities return to their Rust Belt roots as they age and desire greater affordability and proximity to family.</w:t>
      </w:r>
      <w:r w:rsidR="000C69AD">
        <w:rPr>
          <w:rStyle w:val="EndnoteReference"/>
        </w:rPr>
        <w:endnoteReference w:id="98"/>
      </w:r>
      <w:r w:rsidR="00941C30">
        <w:t xml:space="preserve"> To be clear, most </w:t>
      </w:r>
      <w:r w:rsidR="000C69AD">
        <w:t xml:space="preserve">OICs </w:t>
      </w:r>
      <w:r w:rsidR="00941C30">
        <w:t>continue to experience net out-migration overall, particularly to their nearby suburban counties. Yet recent trends point to momentum in some older industrial areas in their exchange with the nation’s most significant (and often most expensive) tech markets.</w:t>
      </w:r>
      <w:r w:rsidR="00990CAD">
        <w:rPr>
          <w:rStyle w:val="EndnoteReference"/>
        </w:rPr>
        <w:endnoteReference w:id="99"/>
      </w:r>
      <w:r w:rsidR="00941C30">
        <w:t xml:space="preserve"> Beyond those </w:t>
      </w:r>
      <w:r w:rsidR="000C69AD">
        <w:t>OICs</w:t>
      </w:r>
      <w:r w:rsidR="00941C30">
        <w:t xml:space="preserve"> that function in part as suburbs of those markets (e.g., Lake County, Ind. outside Chicago; Essex and Norfolk counties outside Boston; Essex, Kings, and Queens counties outside New York), several have seen growing in-migration, or at least slowed out-migration, toward high-tech cities over the past few years. Chief among them are Wayne County, Mich. (Detroit), Philadelphia, Winnebago County, Ill. (Rockford), Jefferson County, Ala. (Birmingham), and Allen County, Ind. (Fort Wayne). These shifts are by no means very large, but they signal for some markets potentially growing economic and social appeal for people who can exercise locational choice in a national labor market.</w:t>
      </w:r>
    </w:p>
    <w:p w14:paraId="1FBC3B49" w14:textId="066EA018" w:rsidR="00941C30" w:rsidRDefault="00941C30" w:rsidP="000A0847">
      <w:pPr>
        <w:spacing w:after="0" w:line="240" w:lineRule="auto"/>
      </w:pPr>
    </w:p>
    <w:p w14:paraId="5D006CCB" w14:textId="784F90B2" w:rsidR="003F75C5" w:rsidRDefault="003F75C5" w:rsidP="000A0847">
      <w:pPr>
        <w:spacing w:after="0" w:line="240" w:lineRule="auto"/>
      </w:pPr>
      <w:r>
        <w:t>[Figure 5.16—Some OICs are experiencing small but positive migration shifts from the nation’s more expensive, tech-heavy cities]</w:t>
      </w:r>
    </w:p>
    <w:p w14:paraId="5D1529A4" w14:textId="77777777" w:rsidR="00941C30" w:rsidRDefault="00941C30" w:rsidP="000A0847">
      <w:pPr>
        <w:spacing w:after="0" w:line="240" w:lineRule="auto"/>
      </w:pPr>
    </w:p>
    <w:p w14:paraId="0FEB70C4" w14:textId="6650D9B9" w:rsidR="00941C30" w:rsidRDefault="00941C30" w:rsidP="000A0847">
      <w:pPr>
        <w:spacing w:after="0" w:line="240" w:lineRule="auto"/>
      </w:pPr>
      <w:r>
        <w:t xml:space="preserve">These trends </w:t>
      </w:r>
      <w:r w:rsidR="00E1262E">
        <w:t xml:space="preserve">point to </w:t>
      </w:r>
      <w:r>
        <w:t xml:space="preserve">a stable or rising preference among some demographic groups—younger workers, immigrants, and households seeking lower costs of living or proximity to family—for residence in older industrial cities, providing </w:t>
      </w:r>
      <w:r w:rsidR="00E1262E">
        <w:t>those places</w:t>
      </w:r>
      <w:r>
        <w:t xml:space="preserve"> with potentially important demographic momentum. Yet the legacy of out-migration and segregation in these communities looms large today, revealed in a series of attributes that pose challenges to </w:t>
      </w:r>
      <w:r w:rsidR="003F75C5">
        <w:t>OICs’</w:t>
      </w:r>
      <w:r>
        <w:t xml:space="preserve"> success in a more pluralistic U.S. economy and society:</w:t>
      </w:r>
    </w:p>
    <w:p w14:paraId="5651D02A" w14:textId="77777777" w:rsidR="00941C30" w:rsidRDefault="00941C30" w:rsidP="000A0847">
      <w:pPr>
        <w:spacing w:after="0" w:line="240" w:lineRule="auto"/>
      </w:pPr>
    </w:p>
    <w:p w14:paraId="1BABC79B" w14:textId="3360869E" w:rsidR="00941C30" w:rsidRDefault="00941C30" w:rsidP="000A0847">
      <w:pPr>
        <w:pStyle w:val="ListParagraph"/>
        <w:numPr>
          <w:ilvl w:val="0"/>
          <w:numId w:val="20"/>
        </w:numPr>
        <w:spacing w:after="0" w:line="240" w:lineRule="auto"/>
      </w:pPr>
      <w:r>
        <w:rPr>
          <w:b/>
        </w:rPr>
        <w:t xml:space="preserve">Higher racial segregation. </w:t>
      </w:r>
      <w:r w:rsidR="003F75C5">
        <w:t>OICs</w:t>
      </w:r>
      <w:r>
        <w:t xml:space="preserve"> exhibit considerably higher levels of residential segregation by race than other areas, the result of housing policies that for decades prevented (and in some ways continue to prevent today) fair access to housing for racial and ethnic minorities. Weighted by population, </w:t>
      </w:r>
      <w:r w:rsidR="003F75C5">
        <w:t>OICs’</w:t>
      </w:r>
      <w:r>
        <w:t xml:space="preserve"> combined dissimilarity index—representing the proportion of nonwhite residents who would have to move across neighborhoods to be distributed in the same way as white residents—is 8 percentage points higher than in urban industrial counties, and nearly 12 percentage points higher than in all urban counties. A number of </w:t>
      </w:r>
      <w:r w:rsidR="003F75C5">
        <w:t>OICs</w:t>
      </w:r>
      <w:r>
        <w:t xml:space="preserve"> rank among the most segregated in the country, including Wayne, Mich. (Detroit), Brooklyn and Queens, N.Y., Milwaukee, Wisc., Essex, N.J. (Newark), and Lake, Ind. (Gary/Hammond). More so than in other urban areas, African American and Latino populations in older industrial </w:t>
      </w:r>
      <w:r w:rsidR="002E34BC">
        <w:t>areas</w:t>
      </w:r>
      <w:r>
        <w:t xml:space="preserve"> remain largely located in central cities, while </w:t>
      </w:r>
      <w:r w:rsidR="002E34BC">
        <w:t xml:space="preserve">their </w:t>
      </w:r>
      <w:r>
        <w:t xml:space="preserve">suburban areas are largely white. </w:t>
      </w:r>
    </w:p>
    <w:p w14:paraId="56FDF677" w14:textId="309D2CC5" w:rsidR="003F75C5" w:rsidRDefault="003F75C5" w:rsidP="000A0847">
      <w:pPr>
        <w:spacing w:after="0" w:line="240" w:lineRule="auto"/>
      </w:pPr>
    </w:p>
    <w:p w14:paraId="18CB4575" w14:textId="41B71995" w:rsidR="003F75C5" w:rsidRDefault="003F75C5" w:rsidP="000A0847">
      <w:pPr>
        <w:spacing w:after="0" w:line="240" w:lineRule="auto"/>
      </w:pPr>
      <w:r>
        <w:t>[Figure 5.17—OICs exhibit greater racial segregation than other counties]</w:t>
      </w:r>
    </w:p>
    <w:p w14:paraId="281551D0" w14:textId="77777777" w:rsidR="00941C30" w:rsidRDefault="00941C30" w:rsidP="000A0847">
      <w:pPr>
        <w:spacing w:after="0" w:line="240" w:lineRule="auto"/>
      </w:pPr>
    </w:p>
    <w:p w14:paraId="243FAF2C" w14:textId="3C0BB940" w:rsidR="00941C30" w:rsidRDefault="00941C30" w:rsidP="000A0847">
      <w:pPr>
        <w:pStyle w:val="ListParagraph"/>
        <w:numPr>
          <w:ilvl w:val="0"/>
          <w:numId w:val="20"/>
        </w:numPr>
        <w:spacing w:after="0" w:line="240" w:lineRule="auto"/>
      </w:pPr>
      <w:r>
        <w:rPr>
          <w:b/>
        </w:rPr>
        <w:t>Deep educational attainment disparities by race and ethnicity</w:t>
      </w:r>
      <w:r>
        <w:t xml:space="preserve">. By limiting access to high-quality schools for children of color, residential segregation may contribute to </w:t>
      </w:r>
      <w:r w:rsidR="00161FC9">
        <w:t>OICs</w:t>
      </w:r>
      <w:r>
        <w:t xml:space="preserve">’ significant educational attainment disparities by race and ethnicity. In these counties, only 22 percent of non-white/Hispanic adults have a four-year college degree, versus 38 percent of whites. All urban counties exhibit such disparities, but attainment for both whites and people of color in older industrial areas lags that in other areas. These aggregates, however, mask particularly striking attainment disparities in highly segregated cities and counties such as Baltimore (36 percentage-point difference), Brooklyn (31 percentage points), St. Louis and Essex County, N.J. </w:t>
      </w:r>
      <w:r w:rsidR="002E34BC">
        <w:t xml:space="preserve">(Newark) </w:t>
      </w:r>
      <w:r>
        <w:t xml:space="preserve">(30 percentage points), and Fairfield County, Conn. </w:t>
      </w:r>
      <w:r w:rsidR="002E34BC">
        <w:t xml:space="preserve">(Bridgeport) </w:t>
      </w:r>
      <w:r>
        <w:t xml:space="preserve">(28 percentage points). Moreover, a strong relationship exists between overall educational attainment and </w:t>
      </w:r>
      <w:r w:rsidR="00161FC9">
        <w:t>OIC</w:t>
      </w:r>
      <w:r>
        <w:t xml:space="preserve"> economic performance, suggesting that efforts to improve growth and opportunity in these diverse areas </w:t>
      </w:r>
      <w:r w:rsidR="002D4A78">
        <w:t>must address those disparities.</w:t>
      </w:r>
      <w:r w:rsidR="002D4A78">
        <w:rPr>
          <w:rStyle w:val="EndnoteReference"/>
        </w:rPr>
        <w:endnoteReference w:id="100"/>
      </w:r>
    </w:p>
    <w:p w14:paraId="3A300340" w14:textId="04022779" w:rsidR="00941C30" w:rsidRDefault="00941C30" w:rsidP="000A0847">
      <w:pPr>
        <w:spacing w:after="0" w:line="240" w:lineRule="auto"/>
      </w:pPr>
    </w:p>
    <w:p w14:paraId="61B0F857" w14:textId="4EFED14A" w:rsidR="00161FC9" w:rsidRDefault="00161FC9" w:rsidP="000A0847">
      <w:pPr>
        <w:spacing w:after="0" w:line="240" w:lineRule="auto"/>
      </w:pPr>
      <w:r>
        <w:t>[Figure 5.18—OICs exhibit considerable disparities in educational attainment between whites and people of color]</w:t>
      </w:r>
    </w:p>
    <w:p w14:paraId="5EF9870A" w14:textId="5C28CC0F" w:rsidR="00941C30" w:rsidRDefault="00941C30" w:rsidP="000A0847">
      <w:pPr>
        <w:spacing w:after="0" w:line="240" w:lineRule="auto"/>
      </w:pPr>
    </w:p>
    <w:p w14:paraId="25BE6DD7" w14:textId="2819C8A4" w:rsidR="00941C30" w:rsidRDefault="00941C30" w:rsidP="000A0847">
      <w:pPr>
        <w:pStyle w:val="ListParagraph"/>
        <w:numPr>
          <w:ilvl w:val="0"/>
          <w:numId w:val="20"/>
        </w:numPr>
        <w:spacing w:after="0" w:line="240" w:lineRule="auto"/>
      </w:pPr>
      <w:r>
        <w:rPr>
          <w:b/>
        </w:rPr>
        <w:t>Concentration of blacks and Latinos in low-paying fields</w:t>
      </w:r>
      <w:r>
        <w:t xml:space="preserve">. A downstream effect of higher racial residential segregation and deep educational attainment disparities for people of color in </w:t>
      </w:r>
      <w:r w:rsidR="002E34BC">
        <w:t xml:space="preserve">OICs </w:t>
      </w:r>
      <w:r>
        <w:t xml:space="preserve">is their increased concentration in occupations that pay </w:t>
      </w:r>
      <w:r w:rsidR="002E34BC">
        <w:t>less</w:t>
      </w:r>
      <w:r>
        <w:t xml:space="preserve">. Nearly half of all workers of color in older industrial counties are employed in the low-paying fields of sales and personal services, compared to 38 percent of white workers in those counties. That’s a larger disparity than other counties exhibit, even those counties that had a similar industrial past. Not surprisingly, the </w:t>
      </w:r>
      <w:r w:rsidR="002E34BC">
        <w:t xml:space="preserve">OICs </w:t>
      </w:r>
      <w:r>
        <w:t>in which racial and ethnic minority workers are most concentrated in low-paying fields include many with the highest rates of residential segregation and largest attainment disparities: St. Louis, Baltimore, Brooklyn, Jefferson County, Ala. (Birmingham), and Essex County, N.J. (Newark). Altogether, in 65 of 70 older industrial counties workers of color are more likely to hold low-paying occupations than their white counterparts. While differences in educational attainment certainly help drive these occupational outcomes, racial discrimination and social networks undoubtedly contribute to these troubling disparities as well.</w:t>
      </w:r>
    </w:p>
    <w:p w14:paraId="15889777" w14:textId="3E5B2B8F" w:rsidR="00941C30" w:rsidRDefault="00941C30" w:rsidP="000A0847">
      <w:pPr>
        <w:spacing w:after="0" w:line="240" w:lineRule="auto"/>
      </w:pPr>
    </w:p>
    <w:p w14:paraId="4AA2E1FE" w14:textId="0FB9360B" w:rsidR="00161FC9" w:rsidRDefault="00161FC9" w:rsidP="000A0847">
      <w:pPr>
        <w:spacing w:after="0" w:line="240" w:lineRule="auto"/>
      </w:pPr>
      <w:r>
        <w:t xml:space="preserve">[Figure 5.19—Workers of color in OICs are more concentrated in low-paying fields like sales and personal services] </w:t>
      </w:r>
    </w:p>
    <w:p w14:paraId="6F0A047A" w14:textId="77777777" w:rsidR="00941C30" w:rsidRPr="00B217A8" w:rsidRDefault="00941C30" w:rsidP="000A0847">
      <w:pPr>
        <w:spacing w:after="0" w:line="240" w:lineRule="auto"/>
        <w:ind w:left="720"/>
      </w:pPr>
    </w:p>
    <w:p w14:paraId="45C01AE6" w14:textId="6EBDC548" w:rsidR="00DE4C82" w:rsidRDefault="003A1675" w:rsidP="000A0847">
      <w:pPr>
        <w:spacing w:after="0" w:line="240" w:lineRule="auto"/>
        <w:rPr>
          <w:rFonts w:ascii="Calibri" w:hAnsi="Calibri"/>
          <w:color w:val="000000"/>
        </w:rPr>
      </w:pPr>
      <w:r>
        <w:rPr>
          <w:rFonts w:ascii="Calibri" w:hAnsi="Calibri"/>
          <w:color w:val="000000"/>
        </w:rPr>
        <w:t>D</w:t>
      </w:r>
      <w:r w:rsidR="002161C8">
        <w:rPr>
          <w:rFonts w:ascii="Calibri" w:hAnsi="Calibri"/>
          <w:color w:val="000000"/>
        </w:rPr>
        <w:t xml:space="preserve">emographic disparities in residential, educational, and occupational opportunity in </w:t>
      </w:r>
      <w:r>
        <w:rPr>
          <w:rFonts w:ascii="Calibri" w:hAnsi="Calibri"/>
          <w:color w:val="000000"/>
        </w:rPr>
        <w:t xml:space="preserve">OICs can </w:t>
      </w:r>
      <w:r w:rsidR="002161C8">
        <w:rPr>
          <w:rFonts w:ascii="Calibri" w:hAnsi="Calibri"/>
          <w:color w:val="000000"/>
        </w:rPr>
        <w:t xml:space="preserve">combine to </w:t>
      </w:r>
      <w:r>
        <w:rPr>
          <w:rFonts w:ascii="Calibri" w:hAnsi="Calibri"/>
          <w:color w:val="000000"/>
        </w:rPr>
        <w:t xml:space="preserve">circumscribe upward mobility for children growing up in these communities. Research from Raj </w:t>
      </w:r>
      <w:proofErr w:type="spellStart"/>
      <w:r>
        <w:rPr>
          <w:rFonts w:ascii="Calibri" w:hAnsi="Calibri"/>
          <w:color w:val="000000"/>
        </w:rPr>
        <w:t>Chetty</w:t>
      </w:r>
      <w:proofErr w:type="spellEnd"/>
      <w:r>
        <w:rPr>
          <w:rFonts w:ascii="Calibri" w:hAnsi="Calibri"/>
          <w:color w:val="000000"/>
        </w:rPr>
        <w:t xml:space="preserve"> and colleagues estimates the independent impact that counties have on long-run earnings outcomes</w:t>
      </w:r>
      <w:r w:rsidR="00D52308">
        <w:rPr>
          <w:rFonts w:ascii="Calibri" w:hAnsi="Calibri"/>
          <w:color w:val="000000"/>
        </w:rPr>
        <w:t xml:space="preserve"> for children growing up in lower-income households</w:t>
      </w:r>
      <w:r>
        <w:rPr>
          <w:rFonts w:ascii="Calibri" w:hAnsi="Calibri"/>
          <w:color w:val="000000"/>
        </w:rPr>
        <w:t xml:space="preserve">. They find that over the past two to three decades, an additional year spent growing up in the typical older industrial county </w:t>
      </w:r>
      <w:r w:rsidR="00D52308">
        <w:rPr>
          <w:rFonts w:ascii="Calibri" w:hAnsi="Calibri"/>
          <w:color w:val="000000"/>
        </w:rPr>
        <w:t>reduces</w:t>
      </w:r>
      <w:r>
        <w:rPr>
          <w:rFonts w:ascii="Calibri" w:hAnsi="Calibri"/>
          <w:color w:val="000000"/>
        </w:rPr>
        <w:t xml:space="preserve"> </w:t>
      </w:r>
      <w:r w:rsidR="00D52308">
        <w:rPr>
          <w:rFonts w:ascii="Calibri" w:hAnsi="Calibri"/>
          <w:color w:val="000000"/>
        </w:rPr>
        <w:t xml:space="preserve">their </w:t>
      </w:r>
      <w:r>
        <w:rPr>
          <w:rFonts w:ascii="Calibri" w:hAnsi="Calibri"/>
          <w:color w:val="000000"/>
        </w:rPr>
        <w:t xml:space="preserve">income at age 26 by about </w:t>
      </w:r>
      <w:r w:rsidR="009D519A">
        <w:rPr>
          <w:rFonts w:ascii="Calibri" w:hAnsi="Calibri"/>
          <w:color w:val="000000"/>
        </w:rPr>
        <w:t>0.0</w:t>
      </w:r>
      <w:r>
        <w:rPr>
          <w:rFonts w:ascii="Calibri" w:hAnsi="Calibri"/>
          <w:color w:val="000000"/>
        </w:rPr>
        <w:t xml:space="preserve">9 percent. That actually compares somewhat favorably with other types of urban counties, where the effect is even more negative. But there is great variation across </w:t>
      </w:r>
      <w:r w:rsidR="009D519A">
        <w:rPr>
          <w:rFonts w:ascii="Calibri" w:hAnsi="Calibri"/>
          <w:color w:val="000000"/>
        </w:rPr>
        <w:t>places</w:t>
      </w:r>
      <w:r>
        <w:rPr>
          <w:rFonts w:ascii="Calibri" w:hAnsi="Calibri"/>
          <w:color w:val="000000"/>
        </w:rPr>
        <w:t xml:space="preserve">, and many economically weaker </w:t>
      </w:r>
      <w:r w:rsidR="009D519A">
        <w:rPr>
          <w:rFonts w:ascii="Calibri" w:hAnsi="Calibri"/>
          <w:color w:val="000000"/>
        </w:rPr>
        <w:t xml:space="preserve">OICs </w:t>
      </w:r>
      <w:r>
        <w:rPr>
          <w:rFonts w:ascii="Calibri" w:hAnsi="Calibri"/>
          <w:color w:val="000000"/>
        </w:rPr>
        <w:t xml:space="preserve">have </w:t>
      </w:r>
      <w:r w:rsidR="00D52308">
        <w:rPr>
          <w:rFonts w:ascii="Calibri" w:hAnsi="Calibri"/>
          <w:color w:val="000000"/>
        </w:rPr>
        <w:t xml:space="preserve">effectively reduced </w:t>
      </w:r>
      <w:r w:rsidR="009D519A">
        <w:rPr>
          <w:rFonts w:ascii="Calibri" w:hAnsi="Calibri"/>
          <w:color w:val="000000"/>
        </w:rPr>
        <w:t>upward mobility for low-income kids by significant marg</w:t>
      </w:r>
      <w:r w:rsidR="002E34BC">
        <w:rPr>
          <w:rFonts w:ascii="Calibri" w:hAnsi="Calibri"/>
          <w:color w:val="000000"/>
        </w:rPr>
        <w:t>ins, such as Roanoke, Va. (-0.9 percent), Flint, Mich. (-0.8 percent), Albany, Ga. (-0.7</w:t>
      </w:r>
      <w:r w:rsidR="009D519A">
        <w:rPr>
          <w:rFonts w:ascii="Calibri" w:hAnsi="Calibri"/>
          <w:color w:val="000000"/>
        </w:rPr>
        <w:t xml:space="preserve"> percent), and Indianapolis, I</w:t>
      </w:r>
      <w:r w:rsidR="002E34BC">
        <w:rPr>
          <w:rFonts w:ascii="Calibri" w:hAnsi="Calibri"/>
          <w:color w:val="000000"/>
        </w:rPr>
        <w:t>nd. (-0.6</w:t>
      </w:r>
      <w:r w:rsidR="009D519A">
        <w:rPr>
          <w:rFonts w:ascii="Calibri" w:hAnsi="Calibri"/>
          <w:color w:val="000000"/>
        </w:rPr>
        <w:t xml:space="preserve"> percent). These negative effects on mobility also appear, however, in a few OICs that have performed more strongly as of late, but still harbor substantial racial dispa</w:t>
      </w:r>
      <w:r w:rsidR="002E34BC">
        <w:rPr>
          <w:rFonts w:ascii="Calibri" w:hAnsi="Calibri"/>
          <w:color w:val="000000"/>
        </w:rPr>
        <w:t>rities, such as St. Louis (-0.8 percent), Baltimore (-0.7</w:t>
      </w:r>
      <w:r w:rsidR="009D519A">
        <w:rPr>
          <w:rFonts w:ascii="Calibri" w:hAnsi="Calibri"/>
          <w:color w:val="000000"/>
        </w:rPr>
        <w:t xml:space="preserve"> percent), </w:t>
      </w:r>
      <w:r w:rsidR="0039719F">
        <w:rPr>
          <w:rFonts w:ascii="Calibri" w:hAnsi="Calibri"/>
          <w:color w:val="000000"/>
        </w:rPr>
        <w:t>and Mil</w:t>
      </w:r>
      <w:r w:rsidR="002E34BC">
        <w:rPr>
          <w:rFonts w:ascii="Calibri" w:hAnsi="Calibri"/>
          <w:color w:val="000000"/>
        </w:rPr>
        <w:t>waukee (-0.5</w:t>
      </w:r>
      <w:r w:rsidR="0039719F">
        <w:rPr>
          <w:rFonts w:ascii="Calibri" w:hAnsi="Calibri"/>
          <w:color w:val="000000"/>
        </w:rPr>
        <w:t xml:space="preserve"> percent). As communities of color come to represent even larger shares of population in these urban areas, breaking down racial barriers to opportunity will become even more critical to </w:t>
      </w:r>
      <w:r w:rsidR="004014E1">
        <w:rPr>
          <w:rFonts w:ascii="Calibri" w:hAnsi="Calibri"/>
          <w:color w:val="000000"/>
        </w:rPr>
        <w:t>OICs’</w:t>
      </w:r>
      <w:r w:rsidR="0039719F">
        <w:rPr>
          <w:rFonts w:ascii="Calibri" w:hAnsi="Calibri"/>
          <w:color w:val="000000"/>
        </w:rPr>
        <w:t xml:space="preserve"> long-run chances at rebuilding a stronger middle class.</w:t>
      </w:r>
    </w:p>
    <w:p w14:paraId="667AFAB1" w14:textId="7B54ACDA" w:rsidR="0039719F" w:rsidRDefault="0039719F" w:rsidP="000A0847">
      <w:pPr>
        <w:spacing w:after="0" w:line="240" w:lineRule="auto"/>
        <w:rPr>
          <w:rFonts w:ascii="Calibri" w:hAnsi="Calibri"/>
          <w:color w:val="000000"/>
        </w:rPr>
      </w:pPr>
    </w:p>
    <w:p w14:paraId="78DBE830" w14:textId="77777777" w:rsidR="00F521BA" w:rsidRDefault="0039719F" w:rsidP="000A0847">
      <w:pPr>
        <w:spacing w:after="0" w:line="240" w:lineRule="auto"/>
        <w:rPr>
          <w:rFonts w:ascii="Calibri" w:hAnsi="Calibri"/>
          <w:color w:val="000000"/>
        </w:rPr>
      </w:pPr>
      <w:r>
        <w:rPr>
          <w:rFonts w:ascii="Calibri" w:hAnsi="Calibri"/>
          <w:color w:val="000000"/>
        </w:rPr>
        <w:t>[Figure 5.20—Economically weaker OICs have limited upward mobility for young people]</w:t>
      </w:r>
    </w:p>
    <w:p w14:paraId="43192C4E" w14:textId="77777777" w:rsidR="00F521BA" w:rsidRDefault="00F521BA" w:rsidP="000A0847">
      <w:pPr>
        <w:spacing w:after="0" w:line="240" w:lineRule="auto"/>
        <w:rPr>
          <w:rFonts w:ascii="Calibri" w:hAnsi="Calibri"/>
          <w:color w:val="000000"/>
        </w:rPr>
      </w:pPr>
    </w:p>
    <w:p w14:paraId="7394AC28" w14:textId="4BBC3DFA" w:rsidR="00F521BA" w:rsidRPr="00F521BA" w:rsidRDefault="00F521BA" w:rsidP="000A0847">
      <w:pPr>
        <w:spacing w:after="0" w:line="240" w:lineRule="auto"/>
        <w:rPr>
          <w:rFonts w:ascii="Calibri" w:hAnsi="Calibri"/>
          <w:color w:val="000000"/>
        </w:rPr>
      </w:pPr>
      <w:r>
        <w:rPr>
          <w:rFonts w:eastAsia="Times New Roman"/>
          <w:b/>
          <w:sz w:val="24"/>
          <w:szCs w:val="28"/>
        </w:rPr>
        <w:br w:type="page"/>
      </w:r>
    </w:p>
    <w:p w14:paraId="11ADD244" w14:textId="3DEC8EDD" w:rsidR="006C4F1E" w:rsidRPr="002E34BC" w:rsidRDefault="008A1099" w:rsidP="000A0847">
      <w:pPr>
        <w:pStyle w:val="ListParagraph"/>
        <w:numPr>
          <w:ilvl w:val="0"/>
          <w:numId w:val="26"/>
        </w:numPr>
        <w:spacing w:after="0" w:line="240" w:lineRule="auto"/>
        <w:rPr>
          <w:rFonts w:eastAsia="Times New Roman"/>
          <w:b/>
          <w:sz w:val="28"/>
          <w:szCs w:val="28"/>
        </w:rPr>
      </w:pPr>
      <w:r w:rsidRPr="002E34BC">
        <w:rPr>
          <w:rFonts w:eastAsia="Times New Roman"/>
          <w:b/>
          <w:sz w:val="28"/>
          <w:szCs w:val="28"/>
        </w:rPr>
        <w:t xml:space="preserve">Responses: </w:t>
      </w:r>
      <w:r w:rsidR="006C4F1E" w:rsidRPr="002E34BC">
        <w:rPr>
          <w:rFonts w:eastAsia="Times New Roman"/>
          <w:b/>
          <w:sz w:val="28"/>
          <w:szCs w:val="28"/>
        </w:rPr>
        <w:t>How can older industrial cities achieve improved growth and opportunity?</w:t>
      </w:r>
    </w:p>
    <w:p w14:paraId="5468410F" w14:textId="77777777" w:rsidR="006C4F1E" w:rsidRDefault="006C4F1E" w:rsidP="000A0847">
      <w:pPr>
        <w:spacing w:after="0" w:line="240" w:lineRule="auto"/>
        <w:rPr>
          <w:rFonts w:eastAsia="Times New Roman"/>
          <w:b/>
        </w:rPr>
      </w:pPr>
    </w:p>
    <w:p w14:paraId="3E94CBCB" w14:textId="77777777" w:rsidR="006C4F1E" w:rsidRDefault="006C4F1E" w:rsidP="000A0847">
      <w:pPr>
        <w:spacing w:after="0" w:line="240" w:lineRule="auto"/>
      </w:pPr>
      <w:r>
        <w:t xml:space="preserve">The preceding chapters demonstrate that while older industrial cities have many shared assets and challenges in the face of rapid change, they are not an economic monolith. Even among the 70, significant differences exist in their recent history and capacity to advance and capitalize on technological change, benefit from emerging urbanization trends, and ensure that a diversifying population shares in economic prosperity. </w:t>
      </w:r>
    </w:p>
    <w:p w14:paraId="6D5B0170" w14:textId="77777777" w:rsidR="006C4F1E" w:rsidRDefault="006C4F1E" w:rsidP="000A0847">
      <w:pPr>
        <w:spacing w:after="0" w:line="240" w:lineRule="auto"/>
      </w:pPr>
    </w:p>
    <w:p w14:paraId="57530598" w14:textId="314DC901" w:rsidR="006C4F1E" w:rsidRDefault="006C4F1E" w:rsidP="000A0847">
      <w:pPr>
        <w:spacing w:after="0" w:line="240" w:lineRule="auto"/>
      </w:pPr>
      <w:r>
        <w:t xml:space="preserve">Yet the experience of these places nonetheless suggests a common framework for action. Older industrial cities are defined primarily by their </w:t>
      </w:r>
      <w:r w:rsidR="008A1099">
        <w:t xml:space="preserve">recent </w:t>
      </w:r>
      <w:r>
        <w:t xml:space="preserve">struggles to achieve growth, prosperity, and inclusion. At a deeper level, compared to places with a similar history, older industrial cities have not diversified their economies into new sources of productive jobs that connect broad segments of their </w:t>
      </w:r>
      <w:r w:rsidR="00C934C3">
        <w:t>population</w:t>
      </w:r>
      <w:r>
        <w:t xml:space="preserve"> to employment and rising incomes.</w:t>
      </w:r>
    </w:p>
    <w:p w14:paraId="270A853E" w14:textId="77777777" w:rsidR="006C4F1E" w:rsidRDefault="006C4F1E" w:rsidP="000A0847">
      <w:pPr>
        <w:spacing w:after="0" w:line="240" w:lineRule="auto"/>
      </w:pPr>
    </w:p>
    <w:p w14:paraId="59A65A03" w14:textId="557FDDA4" w:rsidR="006C4F1E" w:rsidRDefault="006C4F1E" w:rsidP="000A0847">
      <w:pPr>
        <w:spacing w:after="0" w:line="240" w:lineRule="auto"/>
      </w:pPr>
      <w:r>
        <w:t xml:space="preserve">In </w:t>
      </w:r>
      <w:r>
        <w:rPr>
          <w:i/>
        </w:rPr>
        <w:t>Opportunity for Growth</w:t>
      </w:r>
      <w:r>
        <w:t xml:space="preserve">, </w:t>
      </w:r>
      <w:r w:rsidR="00C934C3">
        <w:t xml:space="preserve">our Brookings colleague </w:t>
      </w:r>
      <w:r>
        <w:t>Joseph Parilla offers a framework for inclusive growth that, while applicable to cities of all types, arguably has particular relevance for older industrial areas. He writes that local leaders “…</w:t>
      </w:r>
      <w:r w:rsidRPr="00CF3EED">
        <w:t>must simultaneously deliver environments in which firms and industries can thrive and create good jobs while also creating systems and networks that help lift up workers and communities, especially those that have been historically disadvantaged</w:t>
      </w:r>
      <w:r>
        <w:t>.”</w:t>
      </w:r>
      <w:r w:rsidR="00655962">
        <w:rPr>
          <w:rStyle w:val="EndnoteReference"/>
        </w:rPr>
        <w:endnoteReference w:id="101"/>
      </w:r>
      <w:r>
        <w:t xml:space="preserve"> Economic policy and practice in these markets must therefore address three areas that ultimately shape inclusive growth outcomes:</w:t>
      </w:r>
    </w:p>
    <w:p w14:paraId="5DD811A9" w14:textId="77777777" w:rsidR="006C4F1E" w:rsidRDefault="006C4F1E" w:rsidP="000A0847">
      <w:pPr>
        <w:spacing w:after="0" w:line="240" w:lineRule="auto"/>
      </w:pPr>
    </w:p>
    <w:p w14:paraId="452A61CD" w14:textId="77777777" w:rsidR="006C4F1E" w:rsidRDefault="006C4F1E" w:rsidP="000A0847">
      <w:pPr>
        <w:pStyle w:val="ListParagraph"/>
        <w:numPr>
          <w:ilvl w:val="0"/>
          <w:numId w:val="22"/>
        </w:numPr>
        <w:spacing w:after="0" w:line="240" w:lineRule="auto"/>
        <w:contextualSpacing w:val="0"/>
      </w:pPr>
      <w:r>
        <w:t xml:space="preserve">The dynamic process of firm creation and expansion that responds to the opportunities created by technological change and fuels </w:t>
      </w:r>
      <w:r w:rsidRPr="00CF3EED">
        <w:rPr>
          <w:b/>
        </w:rPr>
        <w:t>job creation</w:t>
      </w:r>
      <w:r>
        <w:t xml:space="preserve"> and productivity growth</w:t>
      </w:r>
    </w:p>
    <w:p w14:paraId="05F6D469" w14:textId="77777777" w:rsidR="006C4F1E" w:rsidRDefault="006C4F1E" w:rsidP="000A0847">
      <w:pPr>
        <w:pStyle w:val="ListParagraph"/>
        <w:spacing w:after="0" w:line="240" w:lineRule="auto"/>
        <w:contextualSpacing w:val="0"/>
      </w:pPr>
    </w:p>
    <w:p w14:paraId="693F78F0" w14:textId="77777777" w:rsidR="006C4F1E" w:rsidRPr="00BD268A" w:rsidRDefault="006C4F1E" w:rsidP="000A0847">
      <w:pPr>
        <w:pStyle w:val="ListParagraph"/>
        <w:numPr>
          <w:ilvl w:val="0"/>
          <w:numId w:val="22"/>
        </w:numPr>
        <w:spacing w:after="0" w:line="240" w:lineRule="auto"/>
        <w:contextualSpacing w:val="0"/>
      </w:pPr>
      <w:r w:rsidRPr="00BD268A">
        <w:t xml:space="preserve">The skills, knowledge, and capabilities that </w:t>
      </w:r>
      <w:r>
        <w:t xml:space="preserve">constitute </w:t>
      </w:r>
      <w:r w:rsidRPr="00BD268A">
        <w:rPr>
          <w:b/>
        </w:rPr>
        <w:t xml:space="preserve">job preparation </w:t>
      </w:r>
      <w:r w:rsidRPr="00BD268A">
        <w:t>for</w:t>
      </w:r>
      <w:r>
        <w:rPr>
          <w:b/>
        </w:rPr>
        <w:t xml:space="preserve"> </w:t>
      </w:r>
      <w:r w:rsidRPr="00BD268A">
        <w:t>a rapidly diversifying population</w:t>
      </w:r>
      <w:r>
        <w:rPr>
          <w:b/>
        </w:rPr>
        <w:t xml:space="preserve"> </w:t>
      </w:r>
      <w:r w:rsidRPr="00BD268A">
        <w:t xml:space="preserve">and </w:t>
      </w:r>
      <w:r>
        <w:t xml:space="preserve">provide </w:t>
      </w:r>
      <w:r w:rsidRPr="00BD268A">
        <w:t>pathways to economic self-sufficiency</w:t>
      </w:r>
    </w:p>
    <w:p w14:paraId="430F8340" w14:textId="77777777" w:rsidR="006C4F1E" w:rsidRPr="00BD268A" w:rsidRDefault="006C4F1E" w:rsidP="000A0847">
      <w:pPr>
        <w:pStyle w:val="ListParagraph"/>
        <w:spacing w:after="0" w:line="240" w:lineRule="auto"/>
        <w:contextualSpacing w:val="0"/>
      </w:pPr>
    </w:p>
    <w:p w14:paraId="452B15F3" w14:textId="77777777" w:rsidR="006C4F1E" w:rsidRDefault="006C4F1E" w:rsidP="000A0847">
      <w:pPr>
        <w:pStyle w:val="ListParagraph"/>
        <w:numPr>
          <w:ilvl w:val="0"/>
          <w:numId w:val="22"/>
        </w:numPr>
        <w:spacing w:after="0" w:line="240" w:lineRule="auto"/>
        <w:contextualSpacing w:val="0"/>
      </w:pPr>
      <w:r w:rsidRPr="005B0D57">
        <w:t>T</w:t>
      </w:r>
      <w:r>
        <w:t xml:space="preserve">he physical proximity and connectedness to employment that promote </w:t>
      </w:r>
      <w:r>
        <w:rPr>
          <w:b/>
        </w:rPr>
        <w:t xml:space="preserve">job access </w:t>
      </w:r>
      <w:r w:rsidRPr="00BD268A">
        <w:t>in an urbanizing economy</w:t>
      </w:r>
      <w:r>
        <w:rPr>
          <w:b/>
        </w:rPr>
        <w:t xml:space="preserve"> </w:t>
      </w:r>
      <w:r>
        <w:t>and contribute to communities’ economic security</w:t>
      </w:r>
    </w:p>
    <w:p w14:paraId="20F5F41B" w14:textId="77777777" w:rsidR="006C4F1E" w:rsidRDefault="006C4F1E" w:rsidP="000A0847">
      <w:pPr>
        <w:spacing w:after="0" w:line="240" w:lineRule="auto"/>
      </w:pPr>
    </w:p>
    <w:p w14:paraId="0C1F0FEA" w14:textId="3E32F4C1" w:rsidR="004014E1" w:rsidRDefault="006C4F1E" w:rsidP="000A0847">
      <w:pPr>
        <w:spacing w:after="0" w:line="240" w:lineRule="auto"/>
      </w:pPr>
      <w:r>
        <w:t xml:space="preserve">As the typology introduced in this report suggests, different older industrial cities have different starting points and viable opportunities in the areas of job creation, job preparation, and job access. Understanding those fundamentals at a more detailed level can assist local leaders to select and pursue the most appropriate interventions in each of those areas. Along those lines, an interactive tool accompanying this report benchmarks each of the 70 </w:t>
      </w:r>
      <w:r w:rsidR="00C934C3">
        <w:t>OICs</w:t>
      </w:r>
      <w:r>
        <w:t xml:space="preserve"> on a variety of key indicators that highlight their strengths and weaknesses, and potential assets and challenges in adapting to overarching economic change. </w:t>
      </w:r>
    </w:p>
    <w:p w14:paraId="6ED520A5" w14:textId="77777777" w:rsidR="004014E1" w:rsidRDefault="004014E1" w:rsidP="000A0847">
      <w:pPr>
        <w:spacing w:after="0" w:line="240" w:lineRule="auto"/>
      </w:pPr>
    </w:p>
    <w:p w14:paraId="16A267B5" w14:textId="425E36EA" w:rsidR="006C4F1E" w:rsidRDefault="008A5624" w:rsidP="000A0847">
      <w:pPr>
        <w:spacing w:after="0" w:line="240" w:lineRule="auto"/>
      </w:pPr>
      <w:r>
        <w:t>O</w:t>
      </w:r>
      <w:r w:rsidR="008E5686">
        <w:t>ur nation as a whole has important economic, social, and political stakes in the success of older industrial communities</w:t>
      </w:r>
      <w:r w:rsidR="0009491F">
        <w:t>.</w:t>
      </w:r>
      <w:r w:rsidR="008E5686">
        <w:t xml:space="preserve"> </w:t>
      </w:r>
      <w:r w:rsidR="0009491F">
        <w:t xml:space="preserve">Those stakes </w:t>
      </w:r>
      <w:r w:rsidR="008E5686">
        <w:t xml:space="preserve">should inspire deeper </w:t>
      </w:r>
      <w:r w:rsidR="00A13DCB">
        <w:t xml:space="preserve">and more </w:t>
      </w:r>
      <w:r w:rsidR="008E5686">
        <w:t xml:space="preserve">strategic federal commitment to their well-being. Future </w:t>
      </w:r>
      <w:r w:rsidR="00A13DCB">
        <w:t>Brookings work will explore the possible dimensions of a federal</w:t>
      </w:r>
      <w:r w:rsidR="00C934C3">
        <w:t>-state-local</w:t>
      </w:r>
      <w:r w:rsidR="00A13DCB">
        <w:t xml:space="preserve"> policy agenda tailored to these cities</w:t>
      </w:r>
      <w:r w:rsidR="0009491F">
        <w:t xml:space="preserve"> that, in turn, reinforces the inclusive growth framework described above</w:t>
      </w:r>
      <w:r w:rsidR="00A13DCB">
        <w:t>.</w:t>
      </w:r>
      <w:r w:rsidR="008E5686">
        <w:t xml:space="preserve"> </w:t>
      </w:r>
      <w:r w:rsidR="006C4F1E">
        <w:t xml:space="preserve">Here, we present examples of promising strategies that different types of urban industrial communities—larger and smaller, and those that have transitioned both more and less successfully over time—have adopted that reflect the framework </w:t>
      </w:r>
      <w:r w:rsidR="0009491F">
        <w:t xml:space="preserve">in action. These strategies range from local to regional to state in their focus, and some rely on multiple levels of government. Most involve not only the public sector, but </w:t>
      </w:r>
      <w:r>
        <w:t xml:space="preserve">also </w:t>
      </w:r>
      <w:r w:rsidR="0009491F">
        <w:t>key business and non-profit actors as well. Ultimately, a modern national strategy to support OIC prosperity will support the bottom-up innovation and civic commitment already at work in many of these markets.</w:t>
      </w:r>
    </w:p>
    <w:p w14:paraId="6F71518F" w14:textId="77777777" w:rsidR="006C4F1E" w:rsidRDefault="006C4F1E" w:rsidP="000A0847">
      <w:pPr>
        <w:spacing w:after="0" w:line="240" w:lineRule="auto"/>
      </w:pPr>
    </w:p>
    <w:p w14:paraId="6952CDBD" w14:textId="77777777" w:rsidR="006C4F1E" w:rsidRPr="005846E7" w:rsidRDefault="006C4F1E" w:rsidP="000A0847">
      <w:pPr>
        <w:pStyle w:val="ListParagraph"/>
        <w:numPr>
          <w:ilvl w:val="0"/>
          <w:numId w:val="23"/>
        </w:numPr>
        <w:spacing w:after="0" w:line="240" w:lineRule="auto"/>
        <w:rPr>
          <w:b/>
          <w:sz w:val="24"/>
        </w:rPr>
      </w:pPr>
      <w:r w:rsidRPr="005846E7">
        <w:rPr>
          <w:b/>
          <w:sz w:val="24"/>
        </w:rPr>
        <w:t xml:space="preserve">Older industrial cities can stimulate technology-enabled job creation </w:t>
      </w:r>
    </w:p>
    <w:p w14:paraId="28ABAFFE" w14:textId="6D08A48E" w:rsidR="006C4F1E" w:rsidRDefault="006C4F1E" w:rsidP="000A0847">
      <w:pPr>
        <w:spacing w:after="0" w:line="240" w:lineRule="auto"/>
      </w:pPr>
      <w:r>
        <w:t>Our analysis shows that most older industrial cities possess significant technological c</w:t>
      </w:r>
      <w:r w:rsidR="00195B4A">
        <w:t>apabilities that could help them</w:t>
      </w:r>
      <w:r>
        <w:t xml:space="preserve"> not only weather coming technological disruptions, but </w:t>
      </w:r>
      <w:r w:rsidR="00195B4A">
        <w:t xml:space="preserve">also </w:t>
      </w:r>
      <w:r>
        <w:t xml:space="preserve">succeed in adapting to those changes and prospering. Yet their capabilities are not effectively translating into significant new forms of economic value and job creation. This suggests that these cities would benefit from more intentional strategies to understand their specific technological capabilities, identify current and potential capabilities that have market promise, and build stronger bridges from their research and STEM assets to commercial application. Some industrial regions are experimenting </w:t>
      </w:r>
      <w:r w:rsidR="00195B4A">
        <w:t xml:space="preserve">and finding success </w:t>
      </w:r>
      <w:r>
        <w:t>along these very lines.</w:t>
      </w:r>
    </w:p>
    <w:p w14:paraId="706B7343" w14:textId="77777777" w:rsidR="0009491F" w:rsidRDefault="0009491F" w:rsidP="000A0847">
      <w:pPr>
        <w:spacing w:after="0" w:line="240" w:lineRule="auto"/>
      </w:pPr>
    </w:p>
    <w:p w14:paraId="5D8B5F11" w14:textId="77777777" w:rsidR="006C4F1E" w:rsidRPr="00AE7130" w:rsidRDefault="006C4F1E" w:rsidP="000A0847">
      <w:pPr>
        <w:spacing w:after="0" w:line="240" w:lineRule="auto"/>
        <w:rPr>
          <w:u w:val="single"/>
        </w:rPr>
      </w:pPr>
      <w:r w:rsidRPr="00AE7130">
        <w:rPr>
          <w:i/>
          <w:u w:val="single"/>
        </w:rPr>
        <w:t>Data to Decisions (Syracuse-Utica, N.Y. region)</w:t>
      </w:r>
    </w:p>
    <w:p w14:paraId="46CAE711" w14:textId="4836DAB4" w:rsidR="006C4F1E" w:rsidRPr="005161AF" w:rsidRDefault="006C4F1E" w:rsidP="000A0847">
      <w:pPr>
        <w:spacing w:after="0" w:line="240" w:lineRule="auto"/>
      </w:pPr>
      <w:r w:rsidRPr="005161AF">
        <w:t xml:space="preserve">For 53 years, the U.S. Air Force flew fighter planes and conducted sophisticated electronics research from </w:t>
      </w:r>
      <w:proofErr w:type="spellStart"/>
      <w:r w:rsidRPr="005161AF">
        <w:t>Griffiss</w:t>
      </w:r>
      <w:proofErr w:type="spellEnd"/>
      <w:r w:rsidRPr="005161AF">
        <w:t xml:space="preserve"> Air Force Base in Rome, N.Y. At the same time, the wider CenterState region</w:t>
      </w:r>
      <w:r w:rsidR="00C934C3">
        <w:t>—which combined the Syracuse, Utica-Rome, and Ithaca metropolitan areas—</w:t>
      </w:r>
      <w:r w:rsidRPr="005161AF">
        <w:t xml:space="preserve">developed strong industries in electronics, information technology, and related fields, led by large manufacturers like Carrier and General Electric and defense contractors like Lockheed Martin. The military closed </w:t>
      </w:r>
      <w:proofErr w:type="spellStart"/>
      <w:r w:rsidRPr="005161AF">
        <w:t>Griffiss</w:t>
      </w:r>
      <w:proofErr w:type="spellEnd"/>
      <w:r w:rsidRPr="005161AF">
        <w:t xml:space="preserve"> in 1995, however, moving most of its major functions to other installations</w:t>
      </w:r>
      <w:r w:rsidR="00C934C3">
        <w:t>,</w:t>
      </w:r>
      <w:r w:rsidRPr="005161AF">
        <w:t xml:space="preserve"> around the same time that the region’s large firms shifted manufacturing to other locations. The CenterState area struggled to generate robust economic growth and opportunity in the following decades. </w:t>
      </w:r>
    </w:p>
    <w:p w14:paraId="710F537C" w14:textId="77777777" w:rsidR="006C4F1E" w:rsidRPr="005161AF" w:rsidRDefault="006C4F1E" w:rsidP="000A0847">
      <w:pPr>
        <w:spacing w:after="0" w:line="240" w:lineRule="auto"/>
      </w:pPr>
    </w:p>
    <w:p w14:paraId="7402B3DB" w14:textId="49C87769" w:rsidR="006C4F1E" w:rsidRPr="005161AF" w:rsidRDefault="006C4F1E" w:rsidP="000A0847">
      <w:pPr>
        <w:spacing w:after="0" w:line="240" w:lineRule="auto"/>
      </w:pPr>
      <w:r w:rsidRPr="005161AF">
        <w:t>Working with Brookings in the early 2010s, economic development organization CenterState CEO and partners conducted an in-depth market assessment of the regional economy.</w:t>
      </w:r>
      <w:r w:rsidR="00655962">
        <w:rPr>
          <w:rStyle w:val="EndnoteReference"/>
        </w:rPr>
        <w:endnoteReference w:id="102"/>
      </w:r>
      <w:r w:rsidRPr="005161AF">
        <w:t xml:space="preserve"> The process surfaced a set of inter-connected technology strengths that spanned multiple sectors with deep roots in the region’s legacy industries: digital electronics, information systems, medical equipment and applications, and environmental products. Recognizing the potential of these integrated technologies as the market grows for cybersecurity solutions, data mining, sophisticated sensors, and other digital products and services, leaders crafted a new regional specialization: a “data-to-decisions” applied technology cluster.</w:t>
      </w:r>
    </w:p>
    <w:p w14:paraId="26BAC37C" w14:textId="77777777" w:rsidR="006C4F1E" w:rsidRPr="005161AF" w:rsidRDefault="006C4F1E" w:rsidP="000A0847">
      <w:pPr>
        <w:spacing w:after="0" w:line="240" w:lineRule="auto"/>
      </w:pPr>
    </w:p>
    <w:p w14:paraId="65EA2750" w14:textId="4568303C" w:rsidR="006C4F1E" w:rsidRPr="005161AF" w:rsidRDefault="006C4F1E" w:rsidP="000A0847">
      <w:pPr>
        <w:spacing w:after="0" w:line="240" w:lineRule="auto"/>
      </w:pPr>
      <w:r w:rsidRPr="005161AF">
        <w:t>Already these strengths have given the region a competitive edge in unmanned aerial systems, or drones. Led by the non-profit NUAIR Alliance, the regi</w:t>
      </w:r>
      <w:r w:rsidR="00C934C3">
        <w:t xml:space="preserve">on won an early victory when the FAA </w:t>
      </w:r>
      <w:r w:rsidRPr="005161AF">
        <w:t xml:space="preserve">named </w:t>
      </w:r>
      <w:r w:rsidR="00C934C3">
        <w:t xml:space="preserve">it </w:t>
      </w:r>
      <w:r w:rsidRPr="005161AF">
        <w:t>one of five sites nationally designated for drone testing in 2013. Companies like Syracuse-based Gryphon Sensors, born out of non-profit technology provider SRC, Inc., develop and test detection and surveillance systems for drones.</w:t>
      </w:r>
      <w:r w:rsidR="00655962">
        <w:rPr>
          <w:rStyle w:val="EndnoteReference"/>
        </w:rPr>
        <w:endnoteReference w:id="103"/>
      </w:r>
      <w:r w:rsidRPr="005161AF">
        <w:t xml:space="preserve"> Swedish aerospace and defense firm Saab recently announced that it would move its U.S. headquarters to the region to work more closely with subsidiary Saab Sensis to develop technologies that integrate unmanned vehicles into the nation’s air traffic management system.</w:t>
      </w:r>
      <w:r w:rsidR="00655962">
        <w:rPr>
          <w:rStyle w:val="EndnoteReference"/>
        </w:rPr>
        <w:endnoteReference w:id="104"/>
      </w:r>
      <w:r w:rsidRPr="005161AF">
        <w:t xml:space="preserve"> “Data to decisions” and broader “cross-connected platforms” were also a focal point of the region’s $5</w:t>
      </w:r>
      <w:r w:rsidR="00C934C3">
        <w:t>00 million award from New York S</w:t>
      </w:r>
      <w:r w:rsidRPr="005161AF">
        <w:t>tate’s Upstate Revitalization Initiative.</w:t>
      </w:r>
      <w:r w:rsidR="00655962">
        <w:rPr>
          <w:rStyle w:val="EndnoteReference"/>
        </w:rPr>
        <w:endnoteReference w:id="105"/>
      </w:r>
      <w:r w:rsidR="00655962" w:rsidRPr="005161AF">
        <w:t xml:space="preserve"> </w:t>
      </w:r>
    </w:p>
    <w:p w14:paraId="62F31BE6" w14:textId="77777777" w:rsidR="006C4F1E" w:rsidRPr="005161AF" w:rsidRDefault="006C4F1E" w:rsidP="000A0847">
      <w:pPr>
        <w:spacing w:after="0" w:line="240" w:lineRule="auto"/>
      </w:pPr>
    </w:p>
    <w:p w14:paraId="23823FB7" w14:textId="77777777" w:rsidR="006C4F1E" w:rsidRPr="00AE7130" w:rsidRDefault="006C4F1E" w:rsidP="000A0847">
      <w:pPr>
        <w:spacing w:after="0" w:line="240" w:lineRule="auto"/>
        <w:rPr>
          <w:i/>
          <w:u w:val="single"/>
        </w:rPr>
      </w:pPr>
      <w:r w:rsidRPr="00AE7130">
        <w:rPr>
          <w:i/>
          <w:u w:val="single"/>
        </w:rPr>
        <w:t>Third Frontier Program (Ohio)</w:t>
      </w:r>
    </w:p>
    <w:p w14:paraId="56D31E4E" w14:textId="77777777" w:rsidR="006C4F1E" w:rsidRDefault="006C4F1E" w:rsidP="000A0847">
      <w:pPr>
        <w:spacing w:after="0" w:line="240" w:lineRule="auto"/>
      </w:pPr>
      <w:r>
        <w:t xml:space="preserve">Third Frontier is a technology-based economic development investment program run by the state of Ohio’s Development Services Agency. Created in 2002, Third Frontier is funded by $2.1 billion in state-backed bonds authorized by voters in 2005 and 2010. It supports a suite of programs targeted at the state’s early stage and startup technology companies through a range of resources including pre-seed investments, entrepreneurial coaching, support for technology validation and commercialization, and sponsorship of student internships. An independent commission specifies priority technology areas for the state (e.g., advanced materials, fuel cells, medical imaging) eligible for Third Frontier investment. </w:t>
      </w:r>
    </w:p>
    <w:p w14:paraId="7C3E7378" w14:textId="77777777" w:rsidR="006C4F1E" w:rsidRDefault="006C4F1E" w:rsidP="000A0847">
      <w:pPr>
        <w:pStyle w:val="ListParagraph"/>
        <w:spacing w:after="0" w:line="240" w:lineRule="auto"/>
        <w:contextualSpacing w:val="0"/>
      </w:pPr>
    </w:p>
    <w:p w14:paraId="02E0BA55" w14:textId="49C29E34" w:rsidR="006C4F1E" w:rsidRDefault="006C4F1E" w:rsidP="000A0847">
      <w:pPr>
        <w:spacing w:after="0" w:line="240" w:lineRule="auto"/>
      </w:pPr>
      <w:r>
        <w:t>Through 2016, the state of Ohio reported that Third Frontier programs had cumulatively invested a little over $1.3 billion in state dollars, which together with $2.4 billion in matching private investment contributed to 10,000 private-sector jobs created and another 7,000 retained, with an average annual salary of $69,000.</w:t>
      </w:r>
      <w:r w:rsidR="00655962">
        <w:rPr>
          <w:rStyle w:val="EndnoteReference"/>
        </w:rPr>
        <w:endnoteReference w:id="106"/>
      </w:r>
      <w:r>
        <w:t xml:space="preserve"> A new effort within the Third Frontier, the </w:t>
      </w:r>
      <w:r w:rsidRPr="002428E0">
        <w:t>Ohio Opioid Technology Challenge</w:t>
      </w:r>
      <w:r>
        <w:t xml:space="preserve">, is awarding competitive grants to researchers (including at the University of Akron) and companies developing </w:t>
      </w:r>
      <w:r w:rsidRPr="002428E0">
        <w:t xml:space="preserve">solutions to reduce </w:t>
      </w:r>
      <w:r>
        <w:t>opioid use, a particular challenge across a state whose cities, towns, and rural areas are fighting an epidemic of overdoses.</w:t>
      </w:r>
      <w:r w:rsidR="00655962">
        <w:rPr>
          <w:rStyle w:val="EndnoteReference"/>
        </w:rPr>
        <w:endnoteReference w:id="107"/>
      </w:r>
      <w:r w:rsidR="00655962">
        <w:t xml:space="preserve"> </w:t>
      </w:r>
    </w:p>
    <w:p w14:paraId="02590C8D" w14:textId="77777777" w:rsidR="006C4F1E" w:rsidRDefault="006C4F1E" w:rsidP="000A0847">
      <w:pPr>
        <w:spacing w:after="0" w:line="240" w:lineRule="auto"/>
      </w:pPr>
    </w:p>
    <w:p w14:paraId="2D431D25" w14:textId="51AE6F6D" w:rsidR="006C4F1E" w:rsidRDefault="006C4F1E" w:rsidP="000A0847">
      <w:pPr>
        <w:spacing w:after="0" w:line="240" w:lineRule="auto"/>
      </w:pPr>
      <w:r>
        <w:t xml:space="preserve">The wider indirect impact of </w:t>
      </w:r>
      <w:r w:rsidR="00C934C3">
        <w:t>the</w:t>
      </w:r>
      <w:r>
        <w:t xml:space="preserve"> Third Frontier on regional innovation and job growth is difficult to measure, but there are signs that </w:t>
      </w:r>
      <w:r w:rsidR="00C934C3">
        <w:t xml:space="preserve">the initiative is increasingly positioning </w:t>
      </w:r>
      <w:r>
        <w:t xml:space="preserve">Ohio’s large older industrial cities for growth in healthcare and life sciences technologies. While Columbus recently produced one of the biggest successes in Ohio tech history in </w:t>
      </w:r>
      <w:proofErr w:type="spellStart"/>
      <w:r>
        <w:t>CoverMyMeds</w:t>
      </w:r>
      <w:proofErr w:type="spellEnd"/>
      <w:r>
        <w:t>, Cleveland and Cincinnati companies also achieved new highs in venture capital attraction.</w:t>
      </w:r>
      <w:r w:rsidR="00655962">
        <w:rPr>
          <w:rStyle w:val="EndnoteReference"/>
        </w:rPr>
        <w:endnoteReference w:id="108"/>
      </w:r>
      <w:r>
        <w:t xml:space="preserve"> The presence of leading research institutions (e.g., Cleveland Clinic), major Fortune 500 companies (e.g., Procter &amp; Gamble), and regional public-private partnership organizations (e.g., </w:t>
      </w:r>
      <w:proofErr w:type="spellStart"/>
      <w:r>
        <w:t>Cintrifuse</w:t>
      </w:r>
      <w:proofErr w:type="spellEnd"/>
      <w:r>
        <w:t xml:space="preserve"> in Cincinnati, </w:t>
      </w:r>
      <w:proofErr w:type="spellStart"/>
      <w:r>
        <w:t>Flashstarts</w:t>
      </w:r>
      <w:proofErr w:type="spellEnd"/>
      <w:r>
        <w:t xml:space="preserve"> in Cleveland) support ecosystems that help translate state investments like Third Frontier into real-world technological value and quality job creation.</w:t>
      </w:r>
      <w:r w:rsidR="00655962">
        <w:rPr>
          <w:rStyle w:val="EndnoteReference"/>
        </w:rPr>
        <w:endnoteReference w:id="109"/>
      </w:r>
      <w:r w:rsidR="00655962">
        <w:t xml:space="preserve"> </w:t>
      </w:r>
    </w:p>
    <w:p w14:paraId="434C0D31" w14:textId="63C59101" w:rsidR="00F21445" w:rsidRDefault="00F21445" w:rsidP="000A0847">
      <w:pPr>
        <w:spacing w:after="0" w:line="240" w:lineRule="auto"/>
      </w:pPr>
    </w:p>
    <w:p w14:paraId="2D58AC9B" w14:textId="678CB776" w:rsidR="00F21445" w:rsidRDefault="00F21445" w:rsidP="000A0847">
      <w:pPr>
        <w:spacing w:after="0" w:line="240" w:lineRule="auto"/>
      </w:pPr>
      <w:r>
        <w:t xml:space="preserve">With Cleveland-based JumpStart, Inc., Third Frontier is also supporting efforts to broaden the demographic base of the state’s high-tech economy. Jumpstart, </w:t>
      </w:r>
      <w:r w:rsidR="00D34C44">
        <w:t xml:space="preserve">a nonprofit that helps tech entrepreneurs find capital and resources to grow their businesses, received backing in 2015 from Third Frontier and the Case Foundation for </w:t>
      </w:r>
      <w:r w:rsidR="00C934C3">
        <w:t>its</w:t>
      </w:r>
      <w:r w:rsidR="00D34C44">
        <w:t xml:space="preserve"> $10 million Focus Fund, which invests in Ohio tech startups led by women and people of color.</w:t>
      </w:r>
      <w:r w:rsidR="00D34C44">
        <w:rPr>
          <w:rStyle w:val="EndnoteReference"/>
        </w:rPr>
        <w:endnoteReference w:id="110"/>
      </w:r>
      <w:r w:rsidR="00D34C44">
        <w:t xml:space="preserve"> The Fund made </w:t>
      </w:r>
      <w:r w:rsidR="00195B4A">
        <w:t xml:space="preserve">two </w:t>
      </w:r>
      <w:r w:rsidR="00D34C44">
        <w:t xml:space="preserve">of its initial investments in Cincinnati-based </w:t>
      </w:r>
      <w:proofErr w:type="spellStart"/>
      <w:r w:rsidR="00D34C44">
        <w:t>Talmetrix</w:t>
      </w:r>
      <w:proofErr w:type="spellEnd"/>
      <w:r w:rsidR="00D34C44">
        <w:t>, a human resource</w:t>
      </w:r>
      <w:r w:rsidR="00195B4A">
        <w:t xml:space="preserve">s software-as-a-service company, and </w:t>
      </w:r>
      <w:r w:rsidR="00C934C3">
        <w:t xml:space="preserve">Akron-area </w:t>
      </w:r>
      <w:proofErr w:type="spellStart"/>
      <w:r w:rsidR="00195B4A">
        <w:t>BioMendics</w:t>
      </w:r>
      <w:proofErr w:type="spellEnd"/>
      <w:r w:rsidR="00195B4A">
        <w:t>, a topical drug developer.</w:t>
      </w:r>
      <w:r w:rsidR="00195B4A">
        <w:rPr>
          <w:rStyle w:val="EndnoteReference"/>
        </w:rPr>
        <w:endnoteReference w:id="111"/>
      </w:r>
    </w:p>
    <w:p w14:paraId="02C1ED75" w14:textId="77777777" w:rsidR="006C4F1E" w:rsidRDefault="006C4F1E" w:rsidP="000A0847">
      <w:pPr>
        <w:spacing w:after="0" w:line="240" w:lineRule="auto"/>
      </w:pPr>
    </w:p>
    <w:p w14:paraId="64BF453E" w14:textId="32C84A6E" w:rsidR="006C4F1E" w:rsidRPr="001866E1" w:rsidRDefault="006C4F1E" w:rsidP="000A0847">
      <w:pPr>
        <w:spacing w:after="0" w:line="240" w:lineRule="auto"/>
      </w:pPr>
      <w:r>
        <w:t>The Third Frontier is not the only state technology-based economic development program operating in older industrial contexts; Pennsylvania’ Ben Franklin Technology Partners program and Empire State Development’s NYSTAR programs in New York support similar collaboration between researchers and industry to stimulate high-tech job growth. Recent research finds that these sorts of state efforts have successfully “</w:t>
      </w:r>
      <w:r w:rsidRPr="00606C16">
        <w:t>accelerate</w:t>
      </w:r>
      <w:r>
        <w:t>[d]</w:t>
      </w:r>
      <w:r w:rsidRPr="00606C16">
        <w:t xml:space="preserve"> high technology development by adopting market-supportive programs that complement private sector initiatives.</w:t>
      </w:r>
      <w:r>
        <w:t>”</w:t>
      </w:r>
      <w:r w:rsidR="00655962">
        <w:rPr>
          <w:rStyle w:val="EndnoteReference"/>
        </w:rPr>
        <w:endnoteReference w:id="112"/>
      </w:r>
      <w:r w:rsidR="00655962" w:rsidRPr="001866E1">
        <w:t xml:space="preserve"> </w:t>
      </w:r>
    </w:p>
    <w:p w14:paraId="18D04E05" w14:textId="77777777" w:rsidR="006C4F1E" w:rsidRDefault="006C4F1E" w:rsidP="000A0847">
      <w:pPr>
        <w:spacing w:after="0" w:line="240" w:lineRule="auto"/>
      </w:pPr>
    </w:p>
    <w:p w14:paraId="0A4DCEEA" w14:textId="77777777" w:rsidR="006C4F1E" w:rsidRPr="005846E7" w:rsidRDefault="006C4F1E" w:rsidP="000A0847">
      <w:pPr>
        <w:pStyle w:val="ListParagraph"/>
        <w:numPr>
          <w:ilvl w:val="0"/>
          <w:numId w:val="23"/>
        </w:numPr>
        <w:spacing w:after="0" w:line="240" w:lineRule="auto"/>
        <w:rPr>
          <w:sz w:val="24"/>
        </w:rPr>
      </w:pPr>
      <w:r w:rsidRPr="005846E7">
        <w:rPr>
          <w:b/>
          <w:sz w:val="24"/>
        </w:rPr>
        <w:t>Older industrial cities can conduct job preparation for a diversifying workforce</w:t>
      </w:r>
    </w:p>
    <w:p w14:paraId="6607AA37" w14:textId="26C04FA0" w:rsidR="006C4F1E" w:rsidRDefault="006C4F1E" w:rsidP="000A0847">
      <w:pPr>
        <w:spacing w:after="0" w:line="240" w:lineRule="auto"/>
      </w:pPr>
      <w:r>
        <w:t xml:space="preserve">The most important factor contributing to long-run economic growth and opportunity in cities and regions is human capital. The challenge for older industrial areas in this respect is partially the absolute quantity of labor and skills, but more so the distribution of educational attainment and opportunity among their populations, particularly for growing populations of color. In too many older industrial cities, the lack of progress for younger people of color is </w:t>
      </w:r>
      <w:r w:rsidR="00C934C3">
        <w:t>arguably the most important</w:t>
      </w:r>
      <w:r>
        <w:t xml:space="preserve"> economic challenge. That</w:t>
      </w:r>
      <w:r w:rsidR="00C934C3">
        <w:t xml:space="preserve"> challenge</w:t>
      </w:r>
      <w:r>
        <w:t xml:space="preserve">, in turn, links back to longstanding patterns of residential and educational segregation that express themselves in limited occupational opportunity and mobility for non-white workers. While repairing those deep divides is the work of a generation or more, there are nearer-term interventions older cities are pursuing that show promise for helping their current and future workforces gain skills </w:t>
      </w:r>
      <w:r w:rsidR="006C0E72">
        <w:t xml:space="preserve">and connections </w:t>
      </w:r>
      <w:r>
        <w:t>for a changing economy.</w:t>
      </w:r>
    </w:p>
    <w:p w14:paraId="4F19FD8F" w14:textId="77777777" w:rsidR="006C4F1E" w:rsidRDefault="006C4F1E" w:rsidP="000A0847">
      <w:pPr>
        <w:spacing w:after="0" w:line="240" w:lineRule="auto"/>
      </w:pPr>
    </w:p>
    <w:p w14:paraId="33214146" w14:textId="77777777" w:rsidR="006C4F1E" w:rsidRPr="00AE7130" w:rsidRDefault="006C4F1E" w:rsidP="000A0847">
      <w:pPr>
        <w:spacing w:after="0" w:line="240" w:lineRule="auto"/>
        <w:rPr>
          <w:i/>
          <w:u w:val="single"/>
        </w:rPr>
      </w:pPr>
      <w:r w:rsidRPr="00AE7130">
        <w:rPr>
          <w:i/>
          <w:u w:val="single"/>
        </w:rPr>
        <w:t>Community Education Coalition (Columbus, Ind.)</w:t>
      </w:r>
    </w:p>
    <w:p w14:paraId="1DD1EA9B" w14:textId="1499AEA0" w:rsidR="006C4F1E" w:rsidRDefault="006C4F1E" w:rsidP="000A0847">
      <w:pPr>
        <w:spacing w:after="0" w:line="240" w:lineRule="auto"/>
      </w:pPr>
      <w:r>
        <w:t xml:space="preserve">The smaller Southeast Indiana city of Columbus is home to the headquarters of Cummins, Inc., a multinational manufacturer of engines and generators. As </w:t>
      </w:r>
      <w:r w:rsidR="00C934C3">
        <w:t>our Brookings colleague</w:t>
      </w:r>
      <w:r>
        <w:t xml:space="preserve"> John Austin observes, the company’s high levels of innovation and strong commitment to its place have contributed to above-average incomes among community residents.</w:t>
      </w:r>
      <w:r w:rsidR="00655962">
        <w:rPr>
          <w:rStyle w:val="EndnoteReference"/>
        </w:rPr>
        <w:endnoteReference w:id="113"/>
      </w:r>
      <w:r w:rsidR="00655962">
        <w:t xml:space="preserve"> </w:t>
      </w:r>
    </w:p>
    <w:p w14:paraId="1921FD6D" w14:textId="77777777" w:rsidR="006C4F1E" w:rsidRDefault="006C4F1E" w:rsidP="000A0847">
      <w:pPr>
        <w:spacing w:after="0" w:line="240" w:lineRule="auto"/>
      </w:pPr>
    </w:p>
    <w:p w14:paraId="4803EC27" w14:textId="6E981F31" w:rsidR="006C4F1E" w:rsidRDefault="006C4F1E" w:rsidP="000A0847">
      <w:pPr>
        <w:spacing w:after="0" w:line="240" w:lineRule="auto"/>
      </w:pPr>
      <w:r>
        <w:t>Founded in 1997, t</w:t>
      </w:r>
      <w:r w:rsidRPr="00EE1DC6">
        <w:t xml:space="preserve">he </w:t>
      </w:r>
      <w:r>
        <w:t xml:space="preserve">Community Education Coalition (CEC) </w:t>
      </w:r>
      <w:r w:rsidRPr="00EE1DC6">
        <w:t xml:space="preserve">is a partnership of business, education, and community leaders </w:t>
      </w:r>
      <w:r>
        <w:t>with the</w:t>
      </w:r>
      <w:r w:rsidRPr="00EE1DC6">
        <w:t xml:space="preserve"> </w:t>
      </w:r>
      <w:r>
        <w:t xml:space="preserve">shared </w:t>
      </w:r>
      <w:r w:rsidRPr="00EE1DC6">
        <w:t xml:space="preserve">goal </w:t>
      </w:r>
      <w:r>
        <w:t>of leveraging</w:t>
      </w:r>
      <w:r w:rsidRPr="00EE1DC6">
        <w:t xml:space="preserve"> </w:t>
      </w:r>
      <w:r>
        <w:t>Southeast Indiana’s</w:t>
      </w:r>
      <w:r w:rsidRPr="00EE1DC6">
        <w:t xml:space="preserve"> </w:t>
      </w:r>
      <w:r>
        <w:t>education</w:t>
      </w:r>
      <w:r w:rsidRPr="00EE1DC6">
        <w:t xml:space="preserve"> system to support economic growth and</w:t>
      </w:r>
      <w:r>
        <w:t xml:space="preserve"> cultivate</w:t>
      </w:r>
      <w:r w:rsidRPr="00EE1DC6">
        <w:t xml:space="preserve"> a high quality of life.</w:t>
      </w:r>
      <w:r>
        <w:t xml:space="preserve"> After some initial successes in fundraising for local colleges, universities, and a community learning center, the Coalition received a substantial grant from the Lilly Endowments in 2007 to form a regional initiative across 10 counties in Southeast Indiana to pursue greater educational attainment by 2015. Known as Eco15 (Economic Opportunities through Education by 2015), the program culminated with a 92 percent high school graduation rate, faster growth in post-secondary credential attainment than the Indiana-wide average, and a higher rate of college graduates in STEM fields.</w:t>
      </w:r>
      <w:r w:rsidR="00655962">
        <w:rPr>
          <w:rStyle w:val="EndnoteReference"/>
        </w:rPr>
        <w:endnoteReference w:id="114"/>
      </w:r>
      <w:r w:rsidR="00655962">
        <w:t xml:space="preserve"> </w:t>
      </w:r>
    </w:p>
    <w:p w14:paraId="59877ECA" w14:textId="77777777" w:rsidR="006C4F1E" w:rsidRDefault="006C4F1E" w:rsidP="000A0847">
      <w:pPr>
        <w:spacing w:after="0" w:line="240" w:lineRule="auto"/>
      </w:pPr>
    </w:p>
    <w:p w14:paraId="3E17F76E" w14:textId="1AA7F76D" w:rsidR="006C4F1E" w:rsidRDefault="006C4F1E" w:rsidP="000A0847">
      <w:pPr>
        <w:spacing w:after="0" w:line="240" w:lineRule="auto"/>
      </w:pPr>
      <w:r>
        <w:t xml:space="preserve">The Coalition has gone on to implement several other initiatives, including a pilot program for extended Early Childhood Education offerings at local colleges and universities, Latino student outreach, </w:t>
      </w:r>
      <w:r w:rsidR="000E3586">
        <w:t>encouraging</w:t>
      </w:r>
      <w:r>
        <w:t xml:space="preserve"> local Indiana University – Purdue University Columbus (IUPUC) to offer a bachelor’s degree program in mechanical engineering, and building a $15 million shared Advanced Manufacturing Center of Excellence facility for education and workforce development programs for Southeast Indiana manufacturers. While smaller industrial cities like Columbus </w:t>
      </w:r>
      <w:r w:rsidR="000E3586">
        <w:t xml:space="preserve">can </w:t>
      </w:r>
      <w:r>
        <w:t xml:space="preserve">face growing challenges in retaining jobs and skilled workers, their size can also serve to facilitate effective collaborations like CEC that build </w:t>
      </w:r>
      <w:r w:rsidR="000E3586">
        <w:t xml:space="preserve">the </w:t>
      </w:r>
      <w:r>
        <w:t>human capital essential to long-term economic prosperity.</w:t>
      </w:r>
    </w:p>
    <w:p w14:paraId="387C0DF4" w14:textId="77777777" w:rsidR="006C4F1E" w:rsidRDefault="006C4F1E" w:rsidP="000A0847">
      <w:pPr>
        <w:spacing w:after="0" w:line="240" w:lineRule="auto"/>
      </w:pPr>
    </w:p>
    <w:p w14:paraId="0A301F10" w14:textId="4710D536" w:rsidR="006C4F1E" w:rsidRPr="00AE7130" w:rsidRDefault="006C4F1E" w:rsidP="000A0847">
      <w:pPr>
        <w:spacing w:after="0" w:line="240" w:lineRule="auto"/>
        <w:rPr>
          <w:i/>
          <w:u w:val="single"/>
        </w:rPr>
      </w:pPr>
      <w:r w:rsidRPr="00AE7130">
        <w:rPr>
          <w:i/>
          <w:u w:val="single"/>
        </w:rPr>
        <w:t>Launch</w:t>
      </w:r>
      <w:r>
        <w:rPr>
          <w:i/>
          <w:u w:val="single"/>
        </w:rPr>
        <w:t>C</w:t>
      </w:r>
      <w:r w:rsidRPr="00AE7130">
        <w:rPr>
          <w:i/>
          <w:u w:val="single"/>
        </w:rPr>
        <w:t>ode (St. Louis, Mo.)</w:t>
      </w:r>
    </w:p>
    <w:p w14:paraId="73245EFC" w14:textId="6B3ACB9B" w:rsidR="006C4F1E" w:rsidRDefault="006C4F1E" w:rsidP="000A0847">
      <w:pPr>
        <w:spacing w:after="0" w:line="240" w:lineRule="auto"/>
      </w:pPr>
      <w:r>
        <w:t xml:space="preserve">In 2013, the people who would go on to found the nonprofit LaunchCode noticed an opportunity in the city of St. Louis. The local economy was diversifying into new functions that demanded more technical talent; by 2013 the broader region had more than 43,000 jobs in computer and mathematical occupations, up from 36,000 just a few years before. An increasing demand for competent coders and a shortage of local workers with those skills meant there was a huge opportunity to help the city reach its potential. </w:t>
      </w:r>
    </w:p>
    <w:p w14:paraId="555CCFE6" w14:textId="77777777" w:rsidR="006C4F1E" w:rsidRDefault="006C4F1E" w:rsidP="000A0847">
      <w:pPr>
        <w:spacing w:after="0" w:line="240" w:lineRule="auto"/>
      </w:pPr>
    </w:p>
    <w:p w14:paraId="64A08930" w14:textId="2FA19C2B" w:rsidR="006C4F1E" w:rsidRDefault="006C4F1E" w:rsidP="000A0847">
      <w:pPr>
        <w:spacing w:after="0" w:line="240" w:lineRule="auto"/>
      </w:pPr>
      <w:r>
        <w:t>LaunchCode was subsequently founded to increase access to jobs in technology for talented people from non-traditional backgrounds, but not simply by offering free classes in marketable skills. The organization’s unique approach discovers opportunities for paid apprenticeships or internships, allowing successful applicants to gain the skills they need in a real work environment alongside more experienced programmers. Importantly, LaunchCode provides its training in culturally relevant contexts that help groups that have not traditionally worked in tech to succeed in gaining skills and jobs. Its Coder Girl program, for instance, is run for women, by women, to help those individuals navigate nontechnical barriers to entry in an industry that remains male dominated.</w:t>
      </w:r>
      <w:r w:rsidR="00655962">
        <w:rPr>
          <w:rStyle w:val="EndnoteReference"/>
        </w:rPr>
        <w:endnoteReference w:id="115"/>
      </w:r>
      <w:r w:rsidR="00655962">
        <w:t xml:space="preserve"> </w:t>
      </w:r>
    </w:p>
    <w:p w14:paraId="7DBBE015" w14:textId="77777777" w:rsidR="006C4F1E" w:rsidRDefault="006C4F1E" w:rsidP="000A0847">
      <w:pPr>
        <w:spacing w:after="0" w:line="240" w:lineRule="auto"/>
      </w:pPr>
    </w:p>
    <w:p w14:paraId="2B908A2E" w14:textId="19EE9F90" w:rsidR="006C4F1E" w:rsidRDefault="006C4F1E" w:rsidP="000A0847">
      <w:pPr>
        <w:spacing w:after="0" w:line="240" w:lineRule="auto"/>
      </w:pPr>
      <w:r>
        <w:t xml:space="preserve">In 2016, LaunchCode placed 255 people into jobs, including paid apprenticeships and permanent positions. Of those, 30 percent had no college degree, and 48 percent were previously unemployed. After completing the program, the average </w:t>
      </w:r>
      <w:proofErr w:type="spellStart"/>
      <w:r>
        <w:t>LaunchCoder</w:t>
      </w:r>
      <w:proofErr w:type="spellEnd"/>
      <w:r>
        <w:t xml:space="preserve"> more than doubled </w:t>
      </w:r>
      <w:r w:rsidR="00B768FE">
        <w:t>his/</w:t>
      </w:r>
      <w:r>
        <w:t>her previous salary.</w:t>
      </w:r>
      <w:r w:rsidR="00655962">
        <w:rPr>
          <w:rStyle w:val="EndnoteReference"/>
        </w:rPr>
        <w:endnoteReference w:id="116"/>
      </w:r>
      <w:r w:rsidR="00655962">
        <w:t xml:space="preserve"> </w:t>
      </w:r>
    </w:p>
    <w:p w14:paraId="6311C69F" w14:textId="77777777" w:rsidR="006C4F1E" w:rsidRDefault="006C4F1E" w:rsidP="000A0847">
      <w:pPr>
        <w:spacing w:after="0" w:line="240" w:lineRule="auto"/>
      </w:pPr>
    </w:p>
    <w:p w14:paraId="3BFDBFA4" w14:textId="57298E40" w:rsidR="006C4F1E" w:rsidRDefault="006C4F1E" w:rsidP="000A0847">
      <w:pPr>
        <w:spacing w:after="0" w:line="240" w:lineRule="auto"/>
      </w:pPr>
      <w:r>
        <w:t>While LaunchCode was founded in the older industrial city of St. Louis, it has subsequently expanded into a range of other cities: Kansas City, Seattle, Portland, Miami, and Tampa. It is arguably the organization’s roots in an older industrial market that helped spur its role in a growing nationwide movement to broaden access to technical skills for populations traditionally excluded from those roles.</w:t>
      </w:r>
    </w:p>
    <w:p w14:paraId="10ADD66A" w14:textId="519AF1AB" w:rsidR="006C4F1E" w:rsidRDefault="006C4F1E" w:rsidP="000A0847">
      <w:pPr>
        <w:spacing w:after="0" w:line="240" w:lineRule="auto"/>
      </w:pPr>
    </w:p>
    <w:p w14:paraId="4036138C" w14:textId="0817F62F" w:rsidR="00FA7DB2" w:rsidRPr="00C86B3F" w:rsidRDefault="00FA7DB2" w:rsidP="000A0847">
      <w:pPr>
        <w:spacing w:after="0" w:line="240" w:lineRule="auto"/>
        <w:rPr>
          <w:i/>
          <w:u w:val="single"/>
        </w:rPr>
      </w:pPr>
      <w:r w:rsidRPr="00C86B3F">
        <w:rPr>
          <w:i/>
          <w:u w:val="single"/>
        </w:rPr>
        <w:t>Thread (Baltimore, Md.)</w:t>
      </w:r>
    </w:p>
    <w:p w14:paraId="1A4C0F4A" w14:textId="6D5A3CE8" w:rsidR="00FA7DB2" w:rsidRDefault="00EC4C68" w:rsidP="000A0847">
      <w:pPr>
        <w:spacing w:after="0" w:line="240" w:lineRule="auto"/>
      </w:pPr>
      <w:r>
        <w:t xml:space="preserve">Physical proximity is a critical ingredient for promoting job access. Still, there are many cities in which low-income individuals live but a stone’s throw from significant employment centers, yet remain disconnected from their plentiful job and career opportunities. Particularly for young people growing up in uncertain family and neighborhood environments, a lack of “bridging capital” to </w:t>
      </w:r>
      <w:r w:rsidR="00F936FA">
        <w:t xml:space="preserve">individuals and institutions in the </w:t>
      </w:r>
      <w:r>
        <w:t xml:space="preserve">wider educational and economic </w:t>
      </w:r>
      <w:r w:rsidR="00F936FA">
        <w:t xml:space="preserve">community can </w:t>
      </w:r>
      <w:r>
        <w:t>cons</w:t>
      </w:r>
      <w:r w:rsidR="00F936FA">
        <w:t>titute</w:t>
      </w:r>
      <w:r>
        <w:t xml:space="preserve"> a substantial barrier to their upward mobility.</w:t>
      </w:r>
      <w:r>
        <w:rPr>
          <w:rStyle w:val="EndnoteReference"/>
        </w:rPr>
        <w:endnoteReference w:id="117"/>
      </w:r>
    </w:p>
    <w:p w14:paraId="5F3D7811" w14:textId="0F1C6E44" w:rsidR="00F936FA" w:rsidRDefault="00F936FA" w:rsidP="000A0847">
      <w:pPr>
        <w:spacing w:after="0" w:line="240" w:lineRule="auto"/>
      </w:pPr>
    </w:p>
    <w:p w14:paraId="2575BD05" w14:textId="1EA39CB8" w:rsidR="00FA7DB2" w:rsidRDefault="00F936FA" w:rsidP="000A0847">
      <w:pPr>
        <w:spacing w:after="0" w:line="240" w:lineRule="auto"/>
      </w:pPr>
      <w:r>
        <w:t xml:space="preserve">Baltimore provides a stark example of this phenomenon. Many young people growing up on the city’s east and west sides live in poor, segregated, and often high-crime communities with very few jobs. </w:t>
      </w:r>
      <w:r w:rsidR="00D93BC3">
        <w:t xml:space="preserve">They are almost exclusively African American. </w:t>
      </w:r>
      <w:r>
        <w:t xml:space="preserve">A couple of miles away lies the city’s booming downtown and Inner Harbor which </w:t>
      </w:r>
      <w:r w:rsidR="00B768FE">
        <w:t>attract</w:t>
      </w:r>
      <w:r>
        <w:t xml:space="preserve"> a</w:t>
      </w:r>
      <w:r w:rsidR="00D93BC3">
        <w:t xml:space="preserve"> thriving </w:t>
      </w:r>
      <w:r>
        <w:t>professional class for work, live, and play.</w:t>
      </w:r>
      <w:r>
        <w:rPr>
          <w:rStyle w:val="EndnoteReference"/>
        </w:rPr>
        <w:endnoteReference w:id="118"/>
      </w:r>
    </w:p>
    <w:p w14:paraId="0BD09D10" w14:textId="0BF33C8D" w:rsidR="00F936FA" w:rsidRDefault="00F936FA" w:rsidP="000A0847">
      <w:pPr>
        <w:spacing w:after="0" w:line="240" w:lineRule="auto"/>
      </w:pPr>
    </w:p>
    <w:p w14:paraId="0D66A772" w14:textId="58588005" w:rsidR="00F936FA" w:rsidRDefault="00B768FE" w:rsidP="000A0847">
      <w:pPr>
        <w:spacing w:after="0" w:line="240" w:lineRule="auto"/>
      </w:pPr>
      <w:r>
        <w:t xml:space="preserve">This was in part the motivation for </w:t>
      </w:r>
      <w:r w:rsidR="00E92985">
        <w:t xml:space="preserve">Thread, a nonprofit that engages underperforming high school students in Baltimore </w:t>
      </w:r>
      <w:r w:rsidR="00A42B4E">
        <w:t xml:space="preserve">(from the bottom 25 percent of their freshman class academically) </w:t>
      </w:r>
      <w:r w:rsidR="00E92985">
        <w:t xml:space="preserve">to provide them with a “family” of volunteers and mentors and access to community resources. The family acts to transcend barriers the student may face that leave him/her disconnected from educational and economic opportunity. The family remains with the student throughout </w:t>
      </w:r>
      <w:r>
        <w:t>his/her</w:t>
      </w:r>
      <w:r w:rsidR="00E92985">
        <w:t xml:space="preserve"> high school career</w:t>
      </w:r>
      <w:r w:rsidR="00A42B4E">
        <w:t xml:space="preserve"> and beyond</w:t>
      </w:r>
      <w:r w:rsidR="00E92985">
        <w:t xml:space="preserve">, and is active in his/her life to help solve problems, make connections, and provide tailored support. </w:t>
      </w:r>
    </w:p>
    <w:p w14:paraId="5D6EA858" w14:textId="0F99A5B4" w:rsidR="00E92985" w:rsidRDefault="00E92985" w:rsidP="000A0847">
      <w:pPr>
        <w:spacing w:after="0" w:line="240" w:lineRule="auto"/>
      </w:pPr>
    </w:p>
    <w:p w14:paraId="14769BD9" w14:textId="3DA8DD76" w:rsidR="00E92985" w:rsidRDefault="00A42B4E" w:rsidP="000A0847">
      <w:pPr>
        <w:spacing w:after="0" w:line="240" w:lineRule="auto"/>
      </w:pPr>
      <w:r>
        <w:t>Active since 2004, Thread has served more than 300 young people, with 87 percent of those who stayed in the program for at least 5 years earning high school diplomas</w:t>
      </w:r>
      <w:r w:rsidR="00BB33C3">
        <w:t xml:space="preserve"> (exceeding the city’s 72 percent 5-year high school graduation rate for all students)</w:t>
      </w:r>
      <w:r>
        <w:t>. And 83 percent of student alumni have completed a post-secondary degree or certificate program. Thread doesn’t</w:t>
      </w:r>
      <w:r w:rsidR="00B768FE">
        <w:t xml:space="preserve"> take attrition lightly</w:t>
      </w:r>
      <w:r>
        <w:t xml:space="preserve">; as co-founder Sarah </w:t>
      </w:r>
      <w:proofErr w:type="spellStart"/>
      <w:r>
        <w:t>Hemminger</w:t>
      </w:r>
      <w:proofErr w:type="spellEnd"/>
      <w:r>
        <w:t xml:space="preserve"> says, “We’re annoying. We show up on your doorstep. We want to take you to school.”</w:t>
      </w:r>
      <w:r w:rsidR="006C0E72">
        <w:rPr>
          <w:rStyle w:val="EndnoteReference"/>
        </w:rPr>
        <w:endnoteReference w:id="119"/>
      </w:r>
      <w:r>
        <w:t xml:space="preserve"> The program ultimately aspires to reach </w:t>
      </w:r>
      <w:r w:rsidR="00D93BC3">
        <w:t xml:space="preserve">3,000 students in Baltimore. </w:t>
      </w:r>
      <w:r w:rsidR="00BB33C3">
        <w:t xml:space="preserve">Thread’s </w:t>
      </w:r>
      <w:r w:rsidR="00D93BC3">
        <w:t xml:space="preserve">model </w:t>
      </w:r>
      <w:r w:rsidR="00BB33C3">
        <w:t xml:space="preserve">demonstrates that deep, sustained work can help </w:t>
      </w:r>
      <w:r w:rsidR="006C0E72">
        <w:t>address</w:t>
      </w:r>
      <w:r w:rsidR="00BB33C3">
        <w:t xml:space="preserve"> the racial and economic polarization that many OICs face and help young people </w:t>
      </w:r>
      <w:r w:rsidR="000E3586">
        <w:t xml:space="preserve">from disadvantaged backgrounds </w:t>
      </w:r>
      <w:r w:rsidR="00BB33C3">
        <w:t>connect meaningfully to their cities’ new successes.</w:t>
      </w:r>
    </w:p>
    <w:p w14:paraId="62D61DA9" w14:textId="77777777" w:rsidR="00F936FA" w:rsidRPr="00FA7DB2" w:rsidRDefault="00F936FA" w:rsidP="000A0847">
      <w:pPr>
        <w:spacing w:after="0" w:line="240" w:lineRule="auto"/>
      </w:pPr>
    </w:p>
    <w:p w14:paraId="78076032" w14:textId="77777777" w:rsidR="006C4F1E" w:rsidRPr="005846E7" w:rsidRDefault="006C4F1E" w:rsidP="000A0847">
      <w:pPr>
        <w:pStyle w:val="ListParagraph"/>
        <w:numPr>
          <w:ilvl w:val="0"/>
          <w:numId w:val="23"/>
        </w:numPr>
        <w:spacing w:after="0" w:line="240" w:lineRule="auto"/>
        <w:rPr>
          <w:b/>
          <w:sz w:val="24"/>
        </w:rPr>
      </w:pPr>
      <w:r w:rsidRPr="005846E7">
        <w:rPr>
          <w:b/>
          <w:sz w:val="24"/>
        </w:rPr>
        <w:t>Older industrial cities can enhance job access to spur proximity and connectedness</w:t>
      </w:r>
    </w:p>
    <w:p w14:paraId="4E024723" w14:textId="574B3FA6" w:rsidR="006C4F1E" w:rsidRDefault="006C4F1E" w:rsidP="000A0847">
      <w:pPr>
        <w:spacing w:after="0" w:line="240" w:lineRule="auto"/>
      </w:pPr>
      <w:r w:rsidRPr="00CE602C">
        <w:t>This report</w:t>
      </w:r>
      <w:r>
        <w:t xml:space="preserve"> argues that the very urban-ness of older industrial cities constitutes an important factor for achieving growth in an age when economic activity is urbanizing. While many older industrial counties possess proximity to large markets and positive trend lines in job clustering, their longer-run position for residential and commercial growth could be strengthened after many years of population and employment decline. To the extent such efforts put more opportunity within greater reach of the low-income communities of color that characterize many urban cores, they </w:t>
      </w:r>
      <w:r w:rsidR="00B768FE">
        <w:t>can</w:t>
      </w:r>
      <w:r>
        <w:t xml:space="preserve"> meaningfully advance economic inclusion as well.</w:t>
      </w:r>
    </w:p>
    <w:p w14:paraId="486FF5FC" w14:textId="77777777" w:rsidR="006C4F1E" w:rsidRPr="00CE602C" w:rsidRDefault="006C4F1E" w:rsidP="000A0847">
      <w:pPr>
        <w:spacing w:after="0" w:line="240" w:lineRule="auto"/>
      </w:pPr>
    </w:p>
    <w:p w14:paraId="0A3CB072" w14:textId="77777777" w:rsidR="006C4F1E" w:rsidRPr="005846E7" w:rsidRDefault="006C4F1E" w:rsidP="000A0847">
      <w:pPr>
        <w:spacing w:after="0" w:line="240" w:lineRule="auto"/>
        <w:rPr>
          <w:i/>
          <w:u w:val="single"/>
        </w:rPr>
      </w:pPr>
      <w:r w:rsidRPr="005846E7">
        <w:rPr>
          <w:i/>
          <w:u w:val="single"/>
        </w:rPr>
        <w:t>Detroit Future City (Detroit, Mich.)</w:t>
      </w:r>
    </w:p>
    <w:p w14:paraId="5549CE78" w14:textId="65134FED" w:rsidR="006C4F1E" w:rsidRDefault="006C4F1E" w:rsidP="000A0847">
      <w:pPr>
        <w:spacing w:after="0" w:line="240" w:lineRule="auto"/>
      </w:pPr>
      <w:r>
        <w:t>In 2012, the city of Detroit launched the Detroit Strategic Framework, the culmination of a two-year, public long-term planning process that commenced during the Great Recession and collapse of the auto sector, one of the city’s worst economic crises. While the Framework establishes policy directions and actions for Detroit across a variety of areas, it emphasizes land use, transportation, built environment, and other place-based strategies for achieving a more inclusive and sustainable city.</w:t>
      </w:r>
      <w:r w:rsidR="00655962">
        <w:rPr>
          <w:rStyle w:val="EndnoteReference"/>
        </w:rPr>
        <w:endnoteReference w:id="120"/>
      </w:r>
      <w:r>
        <w:t xml:space="preserve"> One of the key challenges the Framework outlines is adapting the footprint of a city that once housed 2 million people for something closer to its current population of 670,000, through directing investment toward key employment, transportation, educational, and open-space nodes.</w:t>
      </w:r>
    </w:p>
    <w:p w14:paraId="0B82AF42" w14:textId="77777777" w:rsidR="006C4F1E" w:rsidRDefault="006C4F1E" w:rsidP="000A0847">
      <w:pPr>
        <w:spacing w:after="0" w:line="240" w:lineRule="auto"/>
      </w:pPr>
    </w:p>
    <w:p w14:paraId="2F8A2C67" w14:textId="77777777" w:rsidR="006C4F1E" w:rsidRDefault="006C4F1E" w:rsidP="000A0847">
      <w:pPr>
        <w:spacing w:after="0" w:line="240" w:lineRule="auto"/>
      </w:pPr>
      <w:r>
        <w:t>To steward the implementation of that bold Strategic Framework, the Detroit Economic Growth Corporation incubated a new organization, Detroit Future City (DFC), which in 2016 became an independent nonprofit. DFC receives support from a range of philanthropic, business, and public sources to conduct research, convene stakeholders, develop best practices, and provide technical assistance to local land stewards. To that end, DFC has developed numerous web-based tools and resources to assist Detroiters in a variety of community development projects, such as repurposing empty lots or vacant land and installing environmentally sustainable friendly water infrastructure. DFC has also helped form a number of economic development initiatives, including the Detroit Neighborhood Housing Compact, a cross-sector group focused on strengthening Detroit’s single-family housing market.</w:t>
      </w:r>
    </w:p>
    <w:p w14:paraId="62D63273" w14:textId="77777777" w:rsidR="006C4F1E" w:rsidRDefault="006C4F1E" w:rsidP="000A0847">
      <w:pPr>
        <w:spacing w:after="0" w:line="240" w:lineRule="auto"/>
      </w:pPr>
    </w:p>
    <w:p w14:paraId="4E5A471C" w14:textId="09CCFA2F" w:rsidR="006C4F1E" w:rsidRPr="00F80952" w:rsidRDefault="006C4F1E" w:rsidP="000A0847">
      <w:pPr>
        <w:spacing w:after="0" w:line="240" w:lineRule="auto"/>
      </w:pPr>
      <w:r>
        <w:t xml:space="preserve">DFC uses its research to draw continued attention to the Framework and the city’s progress toward its goals. It recently released </w:t>
      </w:r>
      <w:r>
        <w:rPr>
          <w:i/>
        </w:rPr>
        <w:t>139 Square Miles</w:t>
      </w:r>
      <w:r>
        <w:t>,</w:t>
      </w:r>
      <w:r>
        <w:rPr>
          <w:i/>
        </w:rPr>
        <w:t xml:space="preserve"> </w:t>
      </w:r>
      <w:r>
        <w:t>the first comprehensive profile of the city since the Framework’s publication in 2012. It analyzes data on Detroit’s people, economy, and places, and highlights areas in which the city is making progress (e.g., increasing private-sector payrolls, moving toward population growth) and those where it continues to fall short of its goals (e.g., growing educational attainment disparities across racial groups). DFC’s work is also drawing needed local focus to critical below-the-radar issues, such as the implications of long-term shifts in the city’s housing market from owner-occupied toward rental, and the future of Detroit’s roughly 900 vacant industrial sites.</w:t>
      </w:r>
      <w:r w:rsidR="00655962">
        <w:rPr>
          <w:rStyle w:val="EndnoteReference"/>
        </w:rPr>
        <w:endnoteReference w:id="121"/>
      </w:r>
      <w:r w:rsidR="00655962" w:rsidRPr="00F80952">
        <w:t xml:space="preserve"> </w:t>
      </w:r>
    </w:p>
    <w:p w14:paraId="7866D522" w14:textId="77777777" w:rsidR="006C4F1E" w:rsidRDefault="006C4F1E" w:rsidP="000A0847">
      <w:pPr>
        <w:spacing w:after="0" w:line="240" w:lineRule="auto"/>
      </w:pPr>
    </w:p>
    <w:p w14:paraId="54578975" w14:textId="77777777" w:rsidR="006C0E72" w:rsidRPr="00AE7130" w:rsidRDefault="006C0E72" w:rsidP="000A0847">
      <w:pPr>
        <w:spacing w:after="0" w:line="240" w:lineRule="auto"/>
        <w:rPr>
          <w:i/>
          <w:u w:val="single"/>
        </w:rPr>
      </w:pPr>
      <w:r w:rsidRPr="00AE7130">
        <w:rPr>
          <w:i/>
          <w:u w:val="single"/>
        </w:rPr>
        <w:t>Transformative Development Initiative Fellows (Massachusetts)</w:t>
      </w:r>
    </w:p>
    <w:p w14:paraId="3D4131FC" w14:textId="00FABB40" w:rsidR="006C0E72" w:rsidRDefault="006C0E72" w:rsidP="000A0847">
      <w:pPr>
        <w:spacing w:after="0" w:line="240" w:lineRule="auto"/>
      </w:pPr>
      <w:r>
        <w:t xml:space="preserve">Whereas many state economic development organizations concentrate their efforts on attracting large employers to their major business hubs, </w:t>
      </w:r>
      <w:proofErr w:type="spellStart"/>
      <w:r>
        <w:t>MassDevelopment</w:t>
      </w:r>
      <w:proofErr w:type="spellEnd"/>
      <w:r>
        <w:t xml:space="preserve"> (the state economic and finance agency of Massachusetts) is trying a new tactic. Its Transformative Development Initiative (TDI) is a place-based approach to development that aims to form sustained connections on the ground with communities throughout the Commonwealth.</w:t>
      </w:r>
      <w:r w:rsidR="005D3C93">
        <w:rPr>
          <w:rStyle w:val="EndnoteReference"/>
        </w:rPr>
        <w:endnoteReference w:id="122"/>
      </w:r>
      <w:r>
        <w:t xml:space="preserve"> This is particularly the case in the state’s Gateway Cities, its historical </w:t>
      </w:r>
      <w:r w:rsidR="005D3C93">
        <w:t xml:space="preserve">mid-sized </w:t>
      </w:r>
      <w:r>
        <w:t xml:space="preserve">mill towns and manufacturing hubs. In these cities, </w:t>
      </w:r>
      <w:proofErr w:type="spellStart"/>
      <w:r>
        <w:t>MassDevelopment</w:t>
      </w:r>
      <w:proofErr w:type="spellEnd"/>
      <w:r>
        <w:t xml:space="preserve"> looks to create a “critical mass” that can spur growth and investment. Yet a lack of local professional economic development capacity in fiscally challenged Gateway Cities can sometimes hamstring those efforts.</w:t>
      </w:r>
    </w:p>
    <w:p w14:paraId="09275A48" w14:textId="77777777" w:rsidR="006C0E72" w:rsidRDefault="006C0E72" w:rsidP="000A0847">
      <w:pPr>
        <w:spacing w:after="0" w:line="240" w:lineRule="auto"/>
      </w:pPr>
    </w:p>
    <w:p w14:paraId="45BF2571" w14:textId="1736848B" w:rsidR="006C0E72" w:rsidRPr="00F80952" w:rsidRDefault="006C0E72" w:rsidP="000A0847">
      <w:pPr>
        <w:spacing w:after="0" w:line="240" w:lineRule="auto"/>
      </w:pPr>
      <w:r>
        <w:t xml:space="preserve">Beginning in 2014, TDI projects include a technical assistance program, equity investment in real estate, a small pilot grants program, and the unique TDI Fellows program. TDI Fellows sends experienced economic development professionals to selected Gateway Cities to work alongside local officials. The Fellows come from diverse backgrounds such as city planning, community partnership building, and real estate. With a minimum of three years spent serving their community, TDI Fellows </w:t>
      </w:r>
      <w:r w:rsidR="00B768FE">
        <w:t xml:space="preserve">work </w:t>
      </w:r>
      <w:r>
        <w:t>to ensure the implementation of best practices. To date, Fellows have been instrumental in launching several development initiatives including improving the walkability of downtown neighborhoods, revitalizing important cultural assets, and taking ownership of building renovation projects in seven Gateway Cities throughout the state, including those in the older industrial counties of Bristol (New Bedford), Essex (Haverhill, Lynn, Peabody), and Hampden (Holyoke, Springfield).</w:t>
      </w:r>
      <w:r w:rsidR="00FB5E46">
        <w:t xml:space="preserve"> Populations in these cities have stabilized or are growing for the first time in many years.</w:t>
      </w:r>
    </w:p>
    <w:p w14:paraId="510C3D1C" w14:textId="77777777" w:rsidR="006C0E72" w:rsidRDefault="006C0E72" w:rsidP="000A0847">
      <w:pPr>
        <w:pStyle w:val="NormalWeb"/>
        <w:rPr>
          <w:rFonts w:ascii="Calibri" w:hAnsi="Calibri"/>
          <w:color w:val="000000"/>
          <w:sz w:val="22"/>
          <w:szCs w:val="22"/>
        </w:rPr>
      </w:pPr>
    </w:p>
    <w:p w14:paraId="1131D177" w14:textId="75BCE53B" w:rsidR="006C4F1E" w:rsidRPr="005846E7" w:rsidRDefault="006C4F1E" w:rsidP="000A0847">
      <w:pPr>
        <w:pStyle w:val="ListParagraph"/>
        <w:numPr>
          <w:ilvl w:val="0"/>
          <w:numId w:val="23"/>
        </w:numPr>
        <w:spacing w:after="0" w:line="240" w:lineRule="auto"/>
        <w:rPr>
          <w:b/>
          <w:sz w:val="24"/>
        </w:rPr>
      </w:pPr>
      <w:r w:rsidRPr="005846E7">
        <w:rPr>
          <w:b/>
          <w:sz w:val="24"/>
        </w:rPr>
        <w:t xml:space="preserve">Older industrial cities </w:t>
      </w:r>
      <w:r w:rsidR="00216D62" w:rsidRPr="005846E7">
        <w:rPr>
          <w:b/>
          <w:sz w:val="24"/>
        </w:rPr>
        <w:t>can</w:t>
      </w:r>
      <w:r w:rsidRPr="005846E7">
        <w:rPr>
          <w:b/>
          <w:sz w:val="24"/>
        </w:rPr>
        <w:t xml:space="preserve"> </w:t>
      </w:r>
      <w:r w:rsidR="00B768FE">
        <w:rPr>
          <w:b/>
          <w:sz w:val="24"/>
        </w:rPr>
        <w:t>harness</w:t>
      </w:r>
      <w:r w:rsidRPr="005846E7">
        <w:rPr>
          <w:b/>
          <w:sz w:val="24"/>
        </w:rPr>
        <w:t xml:space="preserve"> regional capacity to deliver on inclusive growth</w:t>
      </w:r>
    </w:p>
    <w:p w14:paraId="3F3D6ED0" w14:textId="6A2946BB" w:rsidR="006C4F1E" w:rsidRDefault="006C4F1E" w:rsidP="000A0847">
      <w:pPr>
        <w:spacing w:after="0" w:line="240" w:lineRule="auto"/>
      </w:pPr>
      <w:r>
        <w:t xml:space="preserve">Individual strategies and initiatives can help older industrial cities deliver on the goals of job creation, job preparation, and job access. Often, however, older industrial </w:t>
      </w:r>
      <w:r w:rsidR="00165833">
        <w:t>cities themselves</w:t>
      </w:r>
      <w:r>
        <w:t xml:space="preserve"> lack the capacity and regional commitment that help sustain these efforts over time, and ensure that t</w:t>
      </w:r>
      <w:r w:rsidR="00165833">
        <w:t>hey reinforce one another. Some, however, benefit from organizations and networks that act across jurisdictions and sectors to pursue longer-term visions for these communities that span business and political cycles.</w:t>
      </w:r>
    </w:p>
    <w:p w14:paraId="32D109D4" w14:textId="77777777" w:rsidR="006C4F1E" w:rsidRDefault="006C4F1E" w:rsidP="000A0847">
      <w:pPr>
        <w:spacing w:after="0" w:line="240" w:lineRule="auto"/>
        <w:rPr>
          <w:i/>
        </w:rPr>
      </w:pPr>
    </w:p>
    <w:p w14:paraId="1872C729" w14:textId="77777777" w:rsidR="006C4F1E" w:rsidRPr="00AE7130" w:rsidRDefault="006C4F1E" w:rsidP="000A0847">
      <w:pPr>
        <w:spacing w:after="0" w:line="240" w:lineRule="auto"/>
        <w:rPr>
          <w:u w:val="single"/>
        </w:rPr>
      </w:pPr>
      <w:r w:rsidRPr="00AE7130">
        <w:rPr>
          <w:i/>
          <w:u w:val="single"/>
        </w:rPr>
        <w:t>The Right Place (Grand Rapids, Mich.)</w:t>
      </w:r>
    </w:p>
    <w:p w14:paraId="064F2BC4" w14:textId="079C9C7A" w:rsidR="006C4F1E" w:rsidRDefault="006C4F1E" w:rsidP="000A0847">
      <w:pPr>
        <w:spacing w:after="0" w:line="240" w:lineRule="auto"/>
      </w:pPr>
      <w:r>
        <w:t>The state of Michigan occupies a central position in the American Rust Belt. Many of its cities—exemplified by Battle Creek, Detroit, Flint, and Kalamazoo in this report, but including many smaller places like Jackson, Muskegon, and Saginaw—have suffered among the most severe effects nationwide of manufacturing’s long employment decline. Yet Grand Rapids, a historic capital of U.S. furniture manufacturing in Western Michigan, stands apart. The region today has more manufacturing jobs than it did in 1990, even as that figure fell 25 percent statewide over the same period, and as many furniture manufacturers relocated to North Carolina.</w:t>
      </w:r>
      <w:r w:rsidR="00655962">
        <w:rPr>
          <w:rStyle w:val="EndnoteReference"/>
        </w:rPr>
        <w:endnoteReference w:id="123"/>
      </w:r>
    </w:p>
    <w:p w14:paraId="264EB6B3" w14:textId="77777777" w:rsidR="006C4F1E" w:rsidRDefault="006C4F1E" w:rsidP="000A0847">
      <w:pPr>
        <w:spacing w:after="0" w:line="240" w:lineRule="auto"/>
      </w:pPr>
    </w:p>
    <w:p w14:paraId="34C3C938" w14:textId="77777777" w:rsidR="006C4F1E" w:rsidRDefault="006C4F1E" w:rsidP="000A0847">
      <w:pPr>
        <w:spacing w:after="0" w:line="240" w:lineRule="auto"/>
      </w:pPr>
      <w:r>
        <w:t>The Right Place, a regional economic development organization based in Grand Rapids and serving wider Western Michigan, has been an important factor for sustaining the region’s economic competitiveness and improving its quality of life. Since 1985</w:t>
      </w:r>
      <w:r w:rsidRPr="00B54CA4">
        <w:t>, The Right Place has</w:t>
      </w:r>
      <w:r>
        <w:t xml:space="preserve"> served businesses and communities in the region by attracting investment and expanding access to emerging growth opportunities. It fosters collaboration across a range of industries and sectors that weave throughout the city and the broader Western Michigan region. </w:t>
      </w:r>
    </w:p>
    <w:p w14:paraId="560B3B2A" w14:textId="77777777" w:rsidR="006C4F1E" w:rsidRDefault="006C4F1E" w:rsidP="000A0847">
      <w:pPr>
        <w:spacing w:after="0" w:line="240" w:lineRule="auto"/>
      </w:pPr>
    </w:p>
    <w:p w14:paraId="07E9A196" w14:textId="77777777" w:rsidR="006C4F1E" w:rsidRDefault="006C4F1E" w:rsidP="000A0847">
      <w:pPr>
        <w:spacing w:after="0" w:line="240" w:lineRule="auto"/>
      </w:pPr>
      <w:r>
        <w:t>The Right Place recognizes four strategic growth sectors (advanced manufacturing, food processing and agribusiness, life science and medical devices, and information technology and communications) as arenas in which the Western Michigan region has a competitive advantage. One of its more successful initiatives is The Manufacturer’s Council, first convened in 1989. The Council works to ensure the success of the region’s advanced manufacturers by providing a forum in which they can share best practices, solve common problems, and advocate for their future.</w:t>
      </w:r>
    </w:p>
    <w:p w14:paraId="28E8BD7A" w14:textId="77777777" w:rsidR="006C4F1E" w:rsidRDefault="006C4F1E" w:rsidP="000A0847">
      <w:pPr>
        <w:spacing w:after="0" w:line="240" w:lineRule="auto"/>
      </w:pPr>
    </w:p>
    <w:p w14:paraId="03B9BDD3" w14:textId="742AA870" w:rsidR="006C4F1E" w:rsidRPr="00DA5DDD" w:rsidRDefault="006C4F1E" w:rsidP="000A0847">
      <w:pPr>
        <w:spacing w:after="0" w:line="240" w:lineRule="auto"/>
      </w:pPr>
      <w:r>
        <w:t>The long-term strategy of The Right Place is to make its mark through a sustained focus on four existing assets, which it identifies as “Foundations for Economic Growth.” These include business support systems, infrastructure, work-ready talent, and quality of life. The organization reports that over its three decades, it has assisted companies to invest a cumulative $4.7 billion in the region and create 44,000 jobs.</w:t>
      </w:r>
      <w:r w:rsidR="00655962">
        <w:rPr>
          <w:rStyle w:val="EndnoteReference"/>
        </w:rPr>
        <w:endnoteReference w:id="124"/>
      </w:r>
      <w:r>
        <w:t xml:space="preserve"> Some of its most visible successes have occurred in and around downtown Grand Rapids, where committed civic leadership has helped transform previously vacant buildings and neighborhoods into vibrant destinations for commerce, education, and culture.</w:t>
      </w:r>
      <w:r w:rsidR="00655962">
        <w:rPr>
          <w:rStyle w:val="EndnoteReference"/>
        </w:rPr>
        <w:endnoteReference w:id="125"/>
      </w:r>
      <w:r w:rsidR="00655962" w:rsidRPr="00DA5DDD">
        <w:t xml:space="preserve"> </w:t>
      </w:r>
    </w:p>
    <w:p w14:paraId="07B40C97" w14:textId="071A7938" w:rsidR="006C4F1E" w:rsidRDefault="006C4F1E" w:rsidP="000A0847">
      <w:pPr>
        <w:spacing w:after="0" w:line="240" w:lineRule="auto"/>
        <w:rPr>
          <w:u w:val="single"/>
        </w:rPr>
      </w:pPr>
    </w:p>
    <w:p w14:paraId="1DA9179D" w14:textId="5E8D91D3" w:rsidR="00A81EF4" w:rsidRDefault="00890979" w:rsidP="006F66C8">
      <w:pPr>
        <w:spacing w:after="0" w:line="240" w:lineRule="auto"/>
        <w:rPr>
          <w:u w:val="single"/>
        </w:rPr>
      </w:pPr>
      <w:r>
        <w:rPr>
          <w:i/>
          <w:u w:val="single"/>
        </w:rPr>
        <w:t>Roanoke Regional Partnership (Roanoke, Va.)</w:t>
      </w:r>
    </w:p>
    <w:p w14:paraId="0FA2EF8E" w14:textId="00EA0FD0" w:rsidR="001F2E94" w:rsidRDefault="00165833" w:rsidP="001F2E94">
      <w:pPr>
        <w:spacing w:after="0" w:line="240" w:lineRule="auto"/>
      </w:pPr>
      <w:r>
        <w:t xml:space="preserve">Roanoke </w:t>
      </w:r>
      <w:r w:rsidR="00F735B8">
        <w:t xml:space="preserve">ranks among the more economically challenged of the 70 older industrial cities. Founded as a railroad town in the late 1800s, the community continued to rely heavily on Norfolk &amp; Western employment until the railroad </w:t>
      </w:r>
      <w:r w:rsidR="00B768FE">
        <w:t xml:space="preserve">company </w:t>
      </w:r>
      <w:r w:rsidR="00F735B8">
        <w:t xml:space="preserve">merged and relocated in the early 1980s. </w:t>
      </w:r>
      <w:r w:rsidR="001C767B">
        <w:t xml:space="preserve">The community has struggled to recover since </w:t>
      </w:r>
      <w:r w:rsidR="001F2E94">
        <w:t>that time</w:t>
      </w:r>
      <w:r w:rsidR="001C767B">
        <w:t xml:space="preserve">; </w:t>
      </w:r>
      <w:r w:rsidR="001F2E94">
        <w:t xml:space="preserve">inflation-adjusted </w:t>
      </w:r>
      <w:r w:rsidR="001C767B">
        <w:t>median household income in Roanoke today is still about 9 percent lower than in 1989.</w:t>
      </w:r>
      <w:r w:rsidR="001F2E94">
        <w:rPr>
          <w:rStyle w:val="EndnoteReference"/>
        </w:rPr>
        <w:endnoteReference w:id="126"/>
      </w:r>
      <w:r w:rsidR="001F2E94">
        <w:t xml:space="preserve"> </w:t>
      </w:r>
      <w:r w:rsidR="00E86299">
        <w:t>We i</w:t>
      </w:r>
      <w:r w:rsidR="00B768FE">
        <w:t>dentify</w:t>
      </w:r>
      <w:r w:rsidR="00E86299">
        <w:t xml:space="preserve"> it as one of the</w:t>
      </w:r>
      <w:r w:rsidR="001F2E94">
        <w:t xml:space="preserve"> “vulnerable” cities in our OIC typology.</w:t>
      </w:r>
    </w:p>
    <w:p w14:paraId="516A2B77" w14:textId="6B28EB8A" w:rsidR="001F2E94" w:rsidRDefault="001F2E94" w:rsidP="001F2E94">
      <w:pPr>
        <w:spacing w:after="0" w:line="240" w:lineRule="auto"/>
      </w:pPr>
    </w:p>
    <w:p w14:paraId="1BE0FD27" w14:textId="44D60A0E" w:rsidR="001F2E94" w:rsidRDefault="001F2E94" w:rsidP="001F2E94">
      <w:pPr>
        <w:spacing w:after="0" w:line="240" w:lineRule="auto"/>
      </w:pPr>
      <w:r>
        <w:t xml:space="preserve">Yet Roanoke is enjoying renewed demographic and economic vitality, thanks in part to the efforts of the Roanoke Regional Partnership and a network of civic partners throughout Virginia’s Blue Ridge region. Founded in 1983, the Partnership is a joint venture among the region’s seven counties and cities and its private-sector businesses. The Partnership conducts conventional economic development activities such as marketing and business recruitment/retention/expansion. But </w:t>
      </w:r>
      <w:r w:rsidR="009208C7">
        <w:t xml:space="preserve">it has also been a critical part of </w:t>
      </w:r>
      <w:r w:rsidR="00E86299">
        <w:t xml:space="preserve">“post-cluster” </w:t>
      </w:r>
      <w:r w:rsidR="009208C7">
        <w:t>efforts that are helping to remake the city’s ec</w:t>
      </w:r>
      <w:r w:rsidR="00B11D56">
        <w:t>onomy and its built environment through a long-term focus on upgrading the region’s competitiveness.</w:t>
      </w:r>
      <w:r w:rsidR="00AA5AC0">
        <w:rPr>
          <w:rStyle w:val="EndnoteReference"/>
        </w:rPr>
        <w:endnoteReference w:id="127"/>
      </w:r>
    </w:p>
    <w:p w14:paraId="5314709A" w14:textId="7566833B" w:rsidR="009208C7" w:rsidRDefault="009208C7" w:rsidP="001F2E94">
      <w:pPr>
        <w:spacing w:after="0" w:line="240" w:lineRule="auto"/>
      </w:pPr>
    </w:p>
    <w:p w14:paraId="78C57441" w14:textId="0A4C23CC" w:rsidR="009208C7" w:rsidRDefault="009208C7" w:rsidP="001F2E94">
      <w:pPr>
        <w:spacing w:after="0" w:line="240" w:lineRule="auto"/>
      </w:pPr>
      <w:r>
        <w:t>Leaders built the scaffolding for Roanoke’s re-emergence in its downtown, where socially minded developers</w:t>
      </w:r>
      <w:r w:rsidR="00E86299">
        <w:t xml:space="preserve"> </w:t>
      </w:r>
      <w:r>
        <w:t xml:space="preserve">used federal and state tax credits in the early to mid-2000s to convert abandoned industrial and commercial spaces into housing. </w:t>
      </w:r>
      <w:r w:rsidR="00BD1AB5">
        <w:t>A downtown higher education center that opened in the railroad’s former headquarters building in 2000 now serves students with programs from 10 colleges and universities from across the region.</w:t>
      </w:r>
      <w:r w:rsidR="00AA5AC0">
        <w:rPr>
          <w:rStyle w:val="EndnoteReference"/>
        </w:rPr>
        <w:endnoteReference w:id="128"/>
      </w:r>
      <w:r w:rsidR="00BD1AB5">
        <w:t xml:space="preserve"> These efforts</w:t>
      </w:r>
      <w:r w:rsidR="00E86299">
        <w:t>, guided by public-private partnerships like Downtown Roanoke, Inc.,</w:t>
      </w:r>
      <w:r w:rsidR="00BD1AB5">
        <w:t xml:space="preserve"> </w:t>
      </w:r>
      <w:r>
        <w:t xml:space="preserve">helped </w:t>
      </w:r>
      <w:r w:rsidR="00E86299">
        <w:t xml:space="preserve">double </w:t>
      </w:r>
      <w:r w:rsidR="00BD1AB5">
        <w:t xml:space="preserve">Roanoke’s downtown population and </w:t>
      </w:r>
      <w:r w:rsidR="00E86299">
        <w:t xml:space="preserve">fuel </w:t>
      </w:r>
      <w:r w:rsidR="00BD1AB5">
        <w:t xml:space="preserve">a wider </w:t>
      </w:r>
      <w:r>
        <w:t xml:space="preserve">6,000-person increase in </w:t>
      </w:r>
      <w:r w:rsidR="00BD1AB5">
        <w:t xml:space="preserve">the city’s </w:t>
      </w:r>
      <w:r>
        <w:t xml:space="preserve">population from </w:t>
      </w:r>
      <w:r w:rsidR="00E86299">
        <w:t>2004 to 2015</w:t>
      </w:r>
      <w:r>
        <w:t>, a veritable boom among post-industrial Appalachian communities.</w:t>
      </w:r>
      <w:r>
        <w:rPr>
          <w:rStyle w:val="EndnoteReference"/>
        </w:rPr>
        <w:endnoteReference w:id="129"/>
      </w:r>
    </w:p>
    <w:p w14:paraId="64AAED82" w14:textId="50377509" w:rsidR="00BD1AB5" w:rsidRDefault="00BD1AB5" w:rsidP="001F2E94">
      <w:pPr>
        <w:spacing w:after="0" w:line="240" w:lineRule="auto"/>
      </w:pPr>
    </w:p>
    <w:p w14:paraId="7A91C676" w14:textId="32EBAF6B" w:rsidR="00BD1AB5" w:rsidRDefault="00BD1AB5" w:rsidP="00BF037E">
      <w:pPr>
        <w:spacing w:after="0" w:line="240" w:lineRule="auto"/>
      </w:pPr>
      <w:r>
        <w:t xml:space="preserve">The Partnership </w:t>
      </w:r>
      <w:r w:rsidR="00BF037E">
        <w:t xml:space="preserve">has been at the forefront of efforts to embrace the advantages of Roanoke’s location amid the Blue Ridge and Allegheny mountains </w:t>
      </w:r>
      <w:r w:rsidR="00C459D4">
        <w:t>by</w:t>
      </w:r>
      <w:r w:rsidR="00BF037E">
        <w:t xml:space="preserve"> </w:t>
      </w:r>
      <w:r w:rsidR="00C459D4">
        <w:t>developing</w:t>
      </w:r>
      <w:r w:rsidR="00BF037E">
        <w:t xml:space="preserve"> a robust “outdoor industry” that today boasts </w:t>
      </w:r>
      <w:r w:rsidR="00C459D4">
        <w:t xml:space="preserve">local </w:t>
      </w:r>
      <w:r w:rsidR="00BF037E">
        <w:t xml:space="preserve">tour providers, apparel manufacturers, and equipment retailers. That strategy drew on the efforts of </w:t>
      </w:r>
      <w:r w:rsidR="00B11D56">
        <w:t xml:space="preserve">the city and local nonprofits like Valley Beautiful Foundation that restored riverside parks and expanded trails and bike paths to better </w:t>
      </w:r>
      <w:r w:rsidR="00E86299">
        <w:t xml:space="preserve">connect Roanoke to its </w:t>
      </w:r>
      <w:r w:rsidR="00B11D56">
        <w:t>region’s natural assets.</w:t>
      </w:r>
      <w:r w:rsidR="00AA5AC0">
        <w:rPr>
          <w:rStyle w:val="EndnoteReference"/>
        </w:rPr>
        <w:endnoteReference w:id="130"/>
      </w:r>
    </w:p>
    <w:p w14:paraId="26EB43B9" w14:textId="196ADEAF" w:rsidR="00B11D56" w:rsidRDefault="00B11D56" w:rsidP="00BF037E">
      <w:pPr>
        <w:spacing w:after="0" w:line="240" w:lineRule="auto"/>
      </w:pPr>
    </w:p>
    <w:p w14:paraId="33ED8E41" w14:textId="37A3FAA2" w:rsidR="00B11D56" w:rsidRDefault="00B11D56" w:rsidP="00BF037E">
      <w:pPr>
        <w:spacing w:after="0" w:line="240" w:lineRule="auto"/>
      </w:pPr>
      <w:r>
        <w:t xml:space="preserve">In 2010, Roanoke became home to the Virginia Tech </w:t>
      </w:r>
      <w:proofErr w:type="spellStart"/>
      <w:r>
        <w:t>Carilion</w:t>
      </w:r>
      <w:proofErr w:type="spellEnd"/>
      <w:r>
        <w:t xml:space="preserve"> School of Medicine and </w:t>
      </w:r>
      <w:r w:rsidR="00664AD8">
        <w:t>Research Institute. The institute conducts research in areas such as inflam</w:t>
      </w:r>
      <w:r w:rsidR="00664AD8" w:rsidRPr="00664AD8">
        <w:t>mation, infectious disease, neuroscience, and cardiovascular science and cardiology</w:t>
      </w:r>
      <w:r w:rsidR="00664AD8">
        <w:t xml:space="preserve">, and the medical school emphasizes research </w:t>
      </w:r>
      <w:r w:rsidR="00B768FE">
        <w:t xml:space="preserve">competency </w:t>
      </w:r>
      <w:r w:rsidR="00664AD8">
        <w:t xml:space="preserve">in training new physicians. The institutional partners—Virginia Tech University and </w:t>
      </w:r>
      <w:proofErr w:type="spellStart"/>
      <w:r w:rsidR="00664AD8">
        <w:t>Carilion</w:t>
      </w:r>
      <w:proofErr w:type="spellEnd"/>
      <w:r w:rsidR="00664AD8">
        <w:t xml:space="preserve"> </w:t>
      </w:r>
      <w:proofErr w:type="spellStart"/>
      <w:r w:rsidR="00664AD8">
        <w:t>Clininc</w:t>
      </w:r>
      <w:proofErr w:type="spellEnd"/>
      <w:r w:rsidR="00664AD8">
        <w:t>—</w:t>
      </w:r>
      <w:r w:rsidR="00E86299">
        <w:t>recently</w:t>
      </w:r>
      <w:r w:rsidR="00664AD8">
        <w:t xml:space="preserve"> formed a new venture capital fund to seed commercial applications of the</w:t>
      </w:r>
      <w:r w:rsidR="00B768FE">
        <w:t>ir</w:t>
      </w:r>
      <w:r w:rsidR="00664AD8">
        <w:t xml:space="preserve"> research </w:t>
      </w:r>
      <w:r w:rsidR="00B768FE">
        <w:t>that are beginning to take</w:t>
      </w:r>
      <w:r w:rsidR="00664AD8">
        <w:t xml:space="preserve"> root in an “innovation corridor” from nearby Blacksburg (home of the university) to Roanoke.</w:t>
      </w:r>
      <w:r w:rsidR="00664AD8">
        <w:rPr>
          <w:rStyle w:val="EndnoteReference"/>
        </w:rPr>
        <w:endnoteReference w:id="131"/>
      </w:r>
    </w:p>
    <w:p w14:paraId="25D2A5C5" w14:textId="2B42689D" w:rsidR="00AA5AC0" w:rsidRDefault="00AA5AC0" w:rsidP="00BF037E">
      <w:pPr>
        <w:spacing w:after="0" w:line="240" w:lineRule="auto"/>
      </w:pPr>
    </w:p>
    <w:p w14:paraId="2DB424E8" w14:textId="5A978724" w:rsidR="00AA5AC0" w:rsidRPr="001F2E94" w:rsidRDefault="00AA5AC0" w:rsidP="00BF037E">
      <w:pPr>
        <w:spacing w:after="0" w:line="240" w:lineRule="auto"/>
      </w:pPr>
      <w:r>
        <w:t xml:space="preserve">These efforts have not yet transformed the whole of Roanoke’s economy (as our analysis shows), nor is it yet clear whether </w:t>
      </w:r>
      <w:r w:rsidR="00E86299">
        <w:t xml:space="preserve">and how </w:t>
      </w:r>
      <w:r>
        <w:t xml:space="preserve">they will materially benefit the historically black communities that lie just north of </w:t>
      </w:r>
      <w:r w:rsidR="00E86299">
        <w:t xml:space="preserve">the city’s </w:t>
      </w:r>
      <w:r>
        <w:t>downtown.</w:t>
      </w:r>
      <w:r>
        <w:rPr>
          <w:rStyle w:val="EndnoteReference"/>
        </w:rPr>
        <w:endnoteReference w:id="132"/>
      </w:r>
      <w:r>
        <w:t xml:space="preserve"> But they reflect the sort of long-term regional vision, commitment to authentic economic diversification, </w:t>
      </w:r>
      <w:r w:rsidR="00C459D4">
        <w:t xml:space="preserve">deep partnerships, </w:t>
      </w:r>
      <w:r>
        <w:t xml:space="preserve">and valuing of place that </w:t>
      </w:r>
      <w:r w:rsidR="00523DCE">
        <w:t>is likely necessary to realize transformative change.</w:t>
      </w:r>
    </w:p>
    <w:p w14:paraId="2FB9620F" w14:textId="77777777" w:rsidR="006F66C8" w:rsidRDefault="006F66C8">
      <w:pPr>
        <w:rPr>
          <w:b/>
          <w:sz w:val="32"/>
        </w:rPr>
      </w:pPr>
      <w:r>
        <w:rPr>
          <w:b/>
          <w:sz w:val="32"/>
        </w:rPr>
        <w:br w:type="page"/>
      </w:r>
    </w:p>
    <w:p w14:paraId="1B2368F9" w14:textId="27241EAC" w:rsidR="00FB5E46" w:rsidRPr="00A81EF4" w:rsidRDefault="00A81EF4" w:rsidP="00A81EF4">
      <w:pPr>
        <w:pStyle w:val="ListParagraph"/>
        <w:numPr>
          <w:ilvl w:val="0"/>
          <w:numId w:val="26"/>
        </w:numPr>
        <w:spacing w:after="0" w:line="240" w:lineRule="auto"/>
        <w:rPr>
          <w:b/>
          <w:sz w:val="32"/>
        </w:rPr>
      </w:pPr>
      <w:r w:rsidRPr="00A81EF4">
        <w:rPr>
          <w:b/>
          <w:sz w:val="32"/>
        </w:rPr>
        <w:t>Conclusion</w:t>
      </w:r>
    </w:p>
    <w:p w14:paraId="3FCBE91B" w14:textId="49793F11" w:rsidR="00A81EF4" w:rsidRDefault="00A81EF4" w:rsidP="00A81EF4">
      <w:pPr>
        <w:spacing w:after="0" w:line="240" w:lineRule="auto"/>
        <w:rPr>
          <w:b/>
        </w:rPr>
      </w:pPr>
    </w:p>
    <w:p w14:paraId="4B753C20" w14:textId="103CEE2B" w:rsidR="00A81EF4" w:rsidRDefault="00A81EF4" w:rsidP="00A81EF4">
      <w:pPr>
        <w:spacing w:after="0" w:line="240" w:lineRule="auto"/>
      </w:pPr>
      <w:r>
        <w:t>The 2007 Brookings report “Restoring Prosperity” concluded with this observation:</w:t>
      </w:r>
    </w:p>
    <w:p w14:paraId="0C899E06" w14:textId="6B940B6D" w:rsidR="00A81EF4" w:rsidRDefault="00A81EF4" w:rsidP="00A81EF4">
      <w:pPr>
        <w:spacing w:after="0" w:line="240" w:lineRule="auto"/>
      </w:pPr>
    </w:p>
    <w:p w14:paraId="29874FA2" w14:textId="4C5BC8CB" w:rsidR="00A81EF4" w:rsidRDefault="00A81EF4" w:rsidP="00A81EF4">
      <w:pPr>
        <w:spacing w:after="0" w:line="240" w:lineRule="auto"/>
        <w:ind w:left="720"/>
      </w:pPr>
      <w:r>
        <w:t>After decades of deterioration and decline, current economic and demographic forces are providing fresh opportunities for older industrial cities to capitalize on their assets, and restore the prosperity that has for too long eluded so many of their neighborhoods and families.</w:t>
      </w:r>
      <w:r>
        <w:rPr>
          <w:rStyle w:val="EndnoteReference"/>
        </w:rPr>
        <w:endnoteReference w:id="133"/>
      </w:r>
    </w:p>
    <w:p w14:paraId="3BF1164D" w14:textId="08F932AC" w:rsidR="00A81EF4" w:rsidRDefault="00A81EF4" w:rsidP="00A81EF4">
      <w:pPr>
        <w:spacing w:after="0" w:line="240" w:lineRule="auto"/>
      </w:pPr>
    </w:p>
    <w:p w14:paraId="5B19B2A5" w14:textId="63F74034" w:rsidR="00A81EF4" w:rsidRDefault="00A81EF4" w:rsidP="00A81EF4">
      <w:pPr>
        <w:spacing w:after="0" w:line="240" w:lineRule="auto"/>
      </w:pPr>
      <w:r>
        <w:t>These words remain true in 2018. But their urgency has increased.</w:t>
      </w:r>
    </w:p>
    <w:p w14:paraId="20E87D11" w14:textId="1CB3D718" w:rsidR="00A81EF4" w:rsidRDefault="00A81EF4" w:rsidP="00A81EF4">
      <w:pPr>
        <w:spacing w:after="0" w:line="240" w:lineRule="auto"/>
      </w:pPr>
    </w:p>
    <w:p w14:paraId="73234F0B" w14:textId="7C7399AF" w:rsidR="009A7EF2" w:rsidRDefault="00A81EF4" w:rsidP="00A81EF4">
      <w:pPr>
        <w:spacing w:after="0" w:line="240" w:lineRule="auto"/>
      </w:pPr>
      <w:r>
        <w:t xml:space="preserve">Emerging from the wreckage of the Great Recession, America’s </w:t>
      </w:r>
      <w:r w:rsidR="009A7EF2">
        <w:t xml:space="preserve">economy and society exhibit growing fault lines, especially by place. The concentration of wealth, investment, and dynamism in a shrinking number of our communities threatens the long-run stability of the </w:t>
      </w:r>
      <w:r w:rsidR="003231FC">
        <w:t xml:space="preserve">U.S. </w:t>
      </w:r>
      <w:r w:rsidR="009A7EF2">
        <w:t xml:space="preserve">economy, erodes confidence in our democracy, and further imperils access to the American dream. </w:t>
      </w:r>
    </w:p>
    <w:p w14:paraId="35CE9E11" w14:textId="77777777" w:rsidR="009A7EF2" w:rsidRDefault="009A7EF2" w:rsidP="00A81EF4">
      <w:pPr>
        <w:spacing w:after="0" w:line="240" w:lineRule="auto"/>
      </w:pPr>
    </w:p>
    <w:p w14:paraId="3A4F6ED6" w14:textId="249F2872" w:rsidR="00A81EF4" w:rsidRDefault="00BE0312" w:rsidP="00A81EF4">
      <w:pPr>
        <w:spacing w:after="0" w:line="240" w:lineRule="auto"/>
      </w:pPr>
      <w:r>
        <w:t>This report shows that o</w:t>
      </w:r>
      <w:r w:rsidR="003231FC">
        <w:t xml:space="preserve">ur </w:t>
      </w:r>
      <w:r w:rsidR="00A81EF4">
        <w:t xml:space="preserve">older industrial cities </w:t>
      </w:r>
      <w:r w:rsidR="003231FC">
        <w:t xml:space="preserve">can help </w:t>
      </w:r>
      <w:r w:rsidR="00F62FEE">
        <w:t xml:space="preserve">repair </w:t>
      </w:r>
      <w:r w:rsidR="003231FC">
        <w:t xml:space="preserve">those fault lines. </w:t>
      </w:r>
      <w:r w:rsidR="00F62FEE">
        <w:t xml:space="preserve">They anchor regions of the country that have not fully participated in the latest waves of economic growth. Yet they remain significant centers of population and commerce. </w:t>
      </w:r>
      <w:r>
        <w:t xml:space="preserve">In the face of relentless economic and demographic change, older industrial cities </w:t>
      </w:r>
      <w:r w:rsidR="00F62FEE">
        <w:t xml:space="preserve">possess considerable </w:t>
      </w:r>
      <w:r>
        <w:t>innovation, talent, and built environment assets that can spur adaptation, growth, and broader opportunity.</w:t>
      </w:r>
    </w:p>
    <w:p w14:paraId="7377BBC0" w14:textId="74771F02" w:rsidR="00BE0312" w:rsidRDefault="00BE0312" w:rsidP="00A81EF4">
      <w:pPr>
        <w:spacing w:after="0" w:line="240" w:lineRule="auto"/>
      </w:pPr>
    </w:p>
    <w:p w14:paraId="4F757EF9" w14:textId="1216B888" w:rsidR="00E65302" w:rsidRDefault="00BE0312" w:rsidP="00A81EF4">
      <w:pPr>
        <w:spacing w:after="0" w:line="240" w:lineRule="auto"/>
      </w:pPr>
      <w:r>
        <w:t xml:space="preserve">But this healing won’t happen automatically. For all their strengths and market momentum, older industrial cities bear serious scars of the past that hold back business growth, </w:t>
      </w:r>
      <w:r w:rsidR="00391440">
        <w:t xml:space="preserve">limit </w:t>
      </w:r>
      <w:r w:rsidR="005868B8">
        <w:t>community revitalization</w:t>
      </w:r>
      <w:r>
        <w:t xml:space="preserve">, and </w:t>
      </w:r>
      <w:r w:rsidR="00391440">
        <w:t xml:space="preserve">constrain </w:t>
      </w:r>
      <w:r>
        <w:t xml:space="preserve">human potential. </w:t>
      </w:r>
      <w:r w:rsidR="005868B8">
        <w:t xml:space="preserve">A strategic national economic policy would assist these critical nodes to address their legacies, and thereby unleash more widely shared growth. It would </w:t>
      </w:r>
      <w:r w:rsidR="00E65302">
        <w:t xml:space="preserve">support emerging efforts </w:t>
      </w:r>
      <w:r w:rsidR="005868B8">
        <w:t>already underw</w:t>
      </w:r>
      <w:r w:rsidR="00E65302">
        <w:t>ay in many of these communities to stimulate technology-enabled job growth, prepare a diverse workforce for new opportunities, promote urbanization and job access, and steward growth and opportunity at the regional scale. And it would differentiate interventions based on the unique assets and challenges of these places.</w:t>
      </w:r>
    </w:p>
    <w:p w14:paraId="0CB1EB03" w14:textId="19A9B193" w:rsidR="00391440" w:rsidRDefault="00391440" w:rsidP="00A81EF4">
      <w:pPr>
        <w:spacing w:after="0" w:line="240" w:lineRule="auto"/>
      </w:pPr>
    </w:p>
    <w:p w14:paraId="1E0E0675" w14:textId="373EEC8A" w:rsidR="00391440" w:rsidRDefault="00391440" w:rsidP="00A81EF4">
      <w:pPr>
        <w:spacing w:after="0" w:line="240" w:lineRule="auto"/>
      </w:pPr>
      <w:r>
        <w:t xml:space="preserve">Fortunately, our nation’s older industrial cities are not waiting around for federal leadership on this front. Their public, private, and civic leaders are energetically engaged in the tough work of forging stronger economies and communities that provide opportunity for all of their residents. We hear it from the people on the front lines of those efforts in our older industrial </w:t>
      </w:r>
      <w:r w:rsidR="006F66C8">
        <w:t>regions</w:t>
      </w:r>
      <w:r>
        <w:t xml:space="preserve">, and we see it firsthand in the older industrial </w:t>
      </w:r>
      <w:r w:rsidR="006F66C8">
        <w:t xml:space="preserve">counties </w:t>
      </w:r>
      <w:r>
        <w:t xml:space="preserve">from which we hail (Worcester, Mass. and </w:t>
      </w:r>
      <w:r w:rsidR="006F66C8">
        <w:t>Cuyahoga</w:t>
      </w:r>
      <w:r>
        <w:t xml:space="preserve">, Ohio). </w:t>
      </w:r>
    </w:p>
    <w:p w14:paraId="3A76C245" w14:textId="7819FA56" w:rsidR="006F66C8" w:rsidRDefault="006F66C8" w:rsidP="00A81EF4">
      <w:pPr>
        <w:spacing w:after="0" w:line="240" w:lineRule="auto"/>
      </w:pPr>
    </w:p>
    <w:p w14:paraId="17A5A45D" w14:textId="24D2A506" w:rsidR="006F66C8" w:rsidRDefault="00076925" w:rsidP="00A81EF4">
      <w:pPr>
        <w:spacing w:after="0" w:line="240" w:lineRule="auto"/>
      </w:pPr>
      <w:r>
        <w:t>Evidence abounds</w:t>
      </w:r>
      <w:r w:rsidR="006F66C8">
        <w:t xml:space="preserve"> that we can build a </w:t>
      </w:r>
      <w:r>
        <w:t xml:space="preserve">stronger and more cohesive </w:t>
      </w:r>
      <w:r w:rsidR="006F66C8">
        <w:t xml:space="preserve">national economy that better </w:t>
      </w:r>
      <w:r>
        <w:t>supports</w:t>
      </w:r>
      <w:r w:rsidR="006F66C8">
        <w:t xml:space="preserve"> the ideals to which </w:t>
      </w:r>
      <w:r>
        <w:t>Americans</w:t>
      </w:r>
      <w:r w:rsidR="006F66C8">
        <w:t xml:space="preserve"> collectively aspire. We just need to start in the right places.</w:t>
      </w:r>
    </w:p>
    <w:p w14:paraId="56A55D3B" w14:textId="77777777" w:rsidR="00076925" w:rsidRPr="00A81EF4" w:rsidRDefault="00076925" w:rsidP="00A81EF4">
      <w:pPr>
        <w:spacing w:after="0" w:line="240" w:lineRule="auto"/>
      </w:pPr>
      <w:bookmarkStart w:id="2" w:name="_GoBack"/>
      <w:bookmarkEnd w:id="2"/>
    </w:p>
    <w:sectPr w:rsidR="00076925" w:rsidRPr="00A81EF4">
      <w:headerReference w:type="default"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8FE7C" w14:textId="77777777" w:rsidR="009A7EF2" w:rsidRDefault="009A7EF2" w:rsidP="00731424">
      <w:pPr>
        <w:spacing w:after="0" w:line="240" w:lineRule="auto"/>
      </w:pPr>
      <w:r>
        <w:separator/>
      </w:r>
    </w:p>
  </w:endnote>
  <w:endnote w:type="continuationSeparator" w:id="0">
    <w:p w14:paraId="2B338F69" w14:textId="77777777" w:rsidR="009A7EF2" w:rsidRDefault="009A7EF2" w:rsidP="00731424">
      <w:pPr>
        <w:spacing w:after="0" w:line="240" w:lineRule="auto"/>
      </w:pPr>
      <w:r>
        <w:continuationSeparator/>
      </w:r>
    </w:p>
  </w:endnote>
  <w:endnote w:id="1">
    <w:p w14:paraId="660BB4A3" w14:textId="630F589E" w:rsidR="009A7EF2" w:rsidRDefault="009A7EF2">
      <w:pPr>
        <w:pStyle w:val="EndnoteText"/>
      </w:pPr>
      <w:r>
        <w:rPr>
          <w:sz w:val="22"/>
        </w:rPr>
        <w:t>ENDNOTES</w:t>
      </w:r>
    </w:p>
    <w:p w14:paraId="57CDFC17" w14:textId="6E86B138"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{"citationID":"a18rfqfdbu1","properties":{"formattedCitation":"{\\rtf Jennifer S. Vey, \\uc0\\u8220{}Restoring Prosperity: The State Role in Revitalizing America\\uc0\\u8217{}s Older Industrial Cities,\\uc0\\u8221{} {\\i{}Brookings} (blog), 2007, https://www.brookings.edu/research/restoring-prosperity-the-state-role-in-revitalizing-americas-older-industrial-cities/.}","plainCitation":"Jennifer S. Vey, “Restoring Prosperity: The State Role in Revitalizing America’s Older Industrial Cities,” Brookings (blog), 2007, https://www.brookings.edu/research/restoring-prosperity-the-state-role-in-revitalizing-americas-older-industrial-cities/."},"citationItems":[{"id":140,"uris":["http://zotero.org/groups/2046111/items/N5YNPYIV"],"uri":["http://zotero.org/groups/2046111/items/N5YNPYIV"],"itemData":{"id":140,"type":"post-weblog","title":"Restoring Prosperity: The State Role in Revitalizing America’s Older Industrial Cities","container-title":"Brookings","abstract":"With over 16 million people and nearly 8.6 million jobs, America's older industrial cities remain a vital part of the economy, particularly in states such as Ohio and Pennsylvania where they are heavily concentrated. Jennifer Vey outlines an asset-oriented agenda to mobilize governors and legislative leaders, plus local constituencies, behind reinvigorating the market in the nation's older industrial cities.","URL":"https://www.brookings.edu/research/restoring-prosperity-the-state-role-in-revitalizing-americas-older-industrial-cities/","shortTitle":"Restoring Prosperity","language":"en-US","author":[{"family":"Vey","given":"Jennifer S."}],"issued":{"date-parts":[["2007"]]},"accessed":{"date-parts":[["2018",1,11]]}}}],"schema":"https://github.com/citation-style-language/schema/raw/master/csl-citation.json"} </w:instrText>
      </w:r>
      <w:r w:rsidRPr="000E25A7">
        <w:rPr>
          <w:rFonts w:ascii="Calibri" w:hAnsi="Calibri"/>
          <w:color w:val="000000"/>
        </w:rPr>
        <w:fldChar w:fldCharType="separate"/>
      </w:r>
      <w:r w:rsidRPr="00A81EF4">
        <w:rPr>
          <w:rFonts w:ascii="Calibri" w:hAnsi="Calibri" w:cs="Times New Roman"/>
          <w:szCs w:val="24"/>
        </w:rPr>
        <w:t xml:space="preserve">Jennifer S. Vey, “Restoring Prosperity: The State Role in Revitalizing America’s Older Industrial Cities,” </w:t>
      </w:r>
      <w:r w:rsidRPr="00A81EF4">
        <w:rPr>
          <w:rFonts w:ascii="Calibri" w:hAnsi="Calibri" w:cs="Times New Roman"/>
          <w:i/>
          <w:iCs/>
          <w:szCs w:val="24"/>
        </w:rPr>
        <w:t>Brookings</w:t>
      </w:r>
      <w:r w:rsidRPr="00A81EF4">
        <w:rPr>
          <w:rFonts w:ascii="Calibri" w:hAnsi="Calibri" w:cs="Times New Roman"/>
          <w:szCs w:val="24"/>
        </w:rPr>
        <w:t xml:space="preserve"> (blog), 2007, https://www.brookings.edu/research/restoring-prosperity-the-state-role-in-revitalizing-americas-older-industrial-cities/.</w:t>
      </w:r>
      <w:r w:rsidRPr="000E25A7">
        <w:rPr>
          <w:rFonts w:ascii="Calibri" w:hAnsi="Calibri"/>
          <w:color w:val="000000"/>
        </w:rPr>
        <w:fldChar w:fldCharType="end"/>
      </w:r>
    </w:p>
  </w:endnote>
  <w:endnote w:id="2">
    <w:p w14:paraId="144CDD38" w14:textId="55D6A168"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{"citationID":"a1t1794rot9","properties":{"formattedCitation":"{\\rtf Gretchen Livingston, \\uc0\\u8220{}Four-in-Ten Couples Are Saying \\uc0\\u8216{}I Do,\\uc0\\u8217{} Again,\\uc0\\u8221{} {\\i{}Pew Research Center\\uc0\\u8217{}s Social &amp; Demographic Trends Project} (blog), November 14, 2014, http://www.pewsocialtrends.org/2014/11/14/four-in-ten-couples-are-saying-i-do-again/.}","plainCitation":"Gretchen Livingston, “Four-in-Ten Couples Are Saying ‘I Do,’ Again,” Pew Research Center’s Social &amp; Demographic Trends Project (blog), November 14, 2014, http://www.pewsocialtrends.org/2014/11/14/four-in-ten-couples-are-saying-i-do-again/."},"citationItems":[{"id":138,"uris":["http://zotero.org/groups/2046111/items/LCMCMHQX"],"uri":["http://zotero.org/groups/2046111/items/LCMCMHQX"],"itemData":{"id":138,"type":"post-weblog","title":"Four-in-Ten Couples are Saying “I Do,” Again","container-title":"Pew Research Center’s Social &amp; Demographic Trends Project","abstract":"In 2013, 40% of new marriages in the U.S. included at least one partner who had been married before. Almost 42 million Americans have been married more than once, up from 22 million in 1980.","URL":"http://www.pewsocialtrends.org/2014/11/14/four-in-ten-couples-are-saying-i-do-again/","language":"en-US","author":[{"family":"Livingston","given":"Gretchen"}],"issued":{"date-parts":[["2014",11,14]]},"accessed":{"date-parts":[["2018",1,11]]}}}],"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Gretchen Livingston, “Four-in-Ten Couples Are Saying ‘I Do,’ Again,” </w:t>
      </w:r>
      <w:r w:rsidRPr="00655962">
        <w:rPr>
          <w:rFonts w:ascii="Calibri" w:hAnsi="Calibri" w:cs="Times New Roman"/>
          <w:i/>
          <w:iCs/>
          <w:szCs w:val="24"/>
        </w:rPr>
        <w:t>Pew Research Center’s Social &amp; Demographic Trends Project</w:t>
      </w:r>
      <w:r w:rsidRPr="00655962">
        <w:rPr>
          <w:rFonts w:ascii="Calibri" w:hAnsi="Calibri" w:cs="Times New Roman"/>
          <w:szCs w:val="24"/>
        </w:rPr>
        <w:t xml:space="preserve"> (blog), November 14, 2014, http://www.pewsocialtrends.org/2014/11/14/four-in-ten-couples-are-saying-i-do-again/.</w:t>
      </w:r>
      <w:r w:rsidRPr="000E25A7">
        <w:rPr>
          <w:rFonts w:ascii="Calibri" w:hAnsi="Calibri"/>
          <w:color w:val="000000"/>
        </w:rPr>
        <w:fldChar w:fldCharType="end"/>
      </w:r>
    </w:p>
  </w:endnote>
  <w:endnote w:id="3">
    <w:p w14:paraId="63CF5F2B" w14:textId="68E19AF1"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{"citationID":"a270gbn5phv","properties":{"formattedCitation":"{\\rtf Vey, \\uc0\\u8220{}Restoring Prosperity.\\uc0\\u8221{}}","plainCitation":"Vey, “Restoring Prosperity.”"},"citationItems":[{"id":140,"uris":["http://zotero.org/groups/2046111/items/N5YNPYIV"],"uri":["http://zotero.org/groups/2046111/items/N5YNPYIV"],"itemData":{"id":140,"type":"post-weblog","title":"Restoring Prosperity: The State Role in Revitalizing America’s Older Industrial Cities","container-title":"Brookings","abstract":"With over 16 million people and nearly 8.6 million jobs, America's older industrial cities remain a vital part of the economy, particularly in states such as Ohio and Pennsylvania where they are heavily concentrated. Jennifer Vey outlines an asset-oriented agenda to mobilize governors and legislative leaders, plus local constituencies, behind reinvigorating the market in the nation's older industrial cities.","URL":"https://www.brookings.edu/research/restoring-prosperity-the-state-role-in-revitalizing-americas-older-industrial-cities/","shortTitle":"Restoring Prosperity","language":"en-US","author":[{"family":"Vey","given":"Jennifer S."}],"issued":{"date-parts":[["2007"]]},"accessed":{"date-parts":[["2018",1,11]]}}}],"schema":"https://github.com/citation-style-language/schema/raw/master/csl-citation.json"} </w:instrText>
      </w:r>
      <w:r w:rsidRPr="000E25A7">
        <w:rPr>
          <w:rFonts w:ascii="Calibri" w:hAnsi="Calibri"/>
          <w:color w:val="000000"/>
        </w:rPr>
        <w:fldChar w:fldCharType="separate"/>
      </w:r>
      <w:r w:rsidRPr="000E25A7">
        <w:rPr>
          <w:rFonts w:ascii="Calibri" w:hAnsi="Calibri" w:cs="Times New Roman"/>
        </w:rPr>
        <w:t>Vey, “Restoring Prosperity.”</w:t>
      </w:r>
      <w:r w:rsidRPr="000E25A7">
        <w:rPr>
          <w:rFonts w:ascii="Calibri" w:hAnsi="Calibri"/>
          <w:color w:val="000000"/>
        </w:rPr>
        <w:fldChar w:fldCharType="end"/>
      </w:r>
    </w:p>
  </w:endnote>
  <w:endnote w:id="4">
    <w:p w14:paraId="2582ECCF" w14:textId="69A0498E"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{"citationID":"andelf67u6","properties":{"formattedCitation":"{\\rtf Diane Whitmore Schanzenbach et al., \\uc0\\u8220{}The Closing of the Jobs Gap: A Decade of Recession and Recovery\\uc0\\u8221{} (The Brookings Institution Hamilton Project, August 4, 2017), http://www.hamiltonproject.org/papers/the_closing_of_the_jobs_gap_a_decade_of_recession_and_recovery.}","plainCitation":"Diane Whitmore Schanzenbach et al., “The Closing of the Jobs Gap: A Decade of Recession and Recovery” (The Brookings Institution Hamilton Project, August 4, 2017), http://www.hamiltonproject.org/papers/the_closing_of_the_jobs_gap_a_decade_of_recession_and_recovery."},"citationItems":[{"id":134,"uris":["http://zotero.org/groups/2046111/items/4QGUN8QC"],"uri":["http://zotero.org/groups/2046111/items/4QGUN8QC"],"itemData":{"id":134,"type":"report","title":"The Closing of the Jobs Gap: A Decade of Recession and Recovery","publisher":"The Brookings Institution Hamilton Project","abstract":"The Hamilton Project seeks to advance America's promise of opportunity, prosperity, and growth.","URL":"http://www.hamiltonproject.org/papers/the_closing_of_the_jobs_gap_a_decade_of_recession_and_recovery","shortTitle":"The Closing of the Jobs Gap","author":[{"family":"Schanzenbach","given":"Diane Whitmore"},{"family":"Nunn","given":"Ryan"},{"family":"Bauer","given":"Lauren"},{"family":"Breitweiser","given":"Audrey"}],"issued":{"date-parts":[["2017",8,4]]},"accessed":{"date-parts":[["2018",1,11]]}}}],"schema":"https://github.com/citation-style-language/schema/raw/master/csl-citation.json"} </w:instrText>
      </w:r>
      <w:r w:rsidRPr="000E25A7">
        <w:rPr>
          <w:rFonts w:ascii="Calibri" w:hAnsi="Calibri"/>
          <w:color w:val="000000"/>
        </w:rPr>
        <w:fldChar w:fldCharType="separate"/>
      </w:r>
      <w:r w:rsidRPr="000E25A7">
        <w:rPr>
          <w:rFonts w:ascii="Calibri" w:hAnsi="Calibri" w:cs="Times New Roman"/>
        </w:rPr>
        <w:t>Diane Whitmore Schanzenbach et al., “The Closing of the Jobs Gap: A Decade of Recession and Recovery” (The Brookings Institution Hamilton Project, August 4, 2017), http://www.hamiltonproject.org/papers/the_closing_of_the_jobs_gap_a_decade_of_recession_and_recovery.</w:t>
      </w:r>
      <w:r w:rsidRPr="000E25A7">
        <w:rPr>
          <w:rFonts w:ascii="Calibri" w:hAnsi="Calibri"/>
          <w:color w:val="000000"/>
        </w:rPr>
        <w:fldChar w:fldCharType="end"/>
      </w:r>
    </w:p>
  </w:endnote>
  <w:endnote w:id="5">
    <w:p w14:paraId="2AC3822A" w14:textId="41A1C57C"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{"citationID":"ae4tspr56s","properties":{"formattedCitation":"{\\rtf Alan Berube and Cecile Murray, \\uc0\\u8220{}Metro Area Unemployment Trends Buck the National Narrative: A Story of Convergence, Not Divergence,\\uc0\\u8221{} {\\i{}Brookings} (blog), June 8, 2017, https://www.brookings.edu/blog/the-avenue/2017/06/08/on-unemployment-metro-areas/.}","plainCitation":"Alan Berube and Cecile Murray, “Metro Area Unemployment Trends Buck the National Narrative: A Story of Convergence, Not Divergence,” Brookings (blog), June 8, 2017, https://www.brookings.edu/blog/the-avenue/2017/06/08/on-unemployment-metro-areas/."},"citationItems":[{"id":132,"uris":["http://zotero.org/groups/2046111/items/8HEPQE4L"],"uri":["http://zotero.org/groups/2046111/items/8HEPQE4L"],"itemData":{"id":132,"type":"post-weblog","title":"Metro area unemployment trends buck the national narrative: A story of convergence, not divergence","container-title":"Brookings","abstract":"There has been a lot of talk recently about regional divergence in the American economy and what to do for places left behind, especially in the industrial Heartland. Judging by one important econo…","URL":"https://www.brookings.edu/blog/the-avenue/2017/06/08/on-unemployment-metro-areas/","shortTitle":"Metro area unemployment trends buck the national narrative","language":"en-US","author":[{"family":"Berube","given":"Alan"},{"family":"Murray","given":"Cecile"}],"issued":{"date-parts":[["2017",6,8]]},"accessed":{"date-parts":[["2018",1,11]]}}}],"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Alan Berube and Cecile Murray, “Metro Area Unemployment Trends Buck the National Narrative: A Story of Convergence, Not Divergence,” </w:t>
      </w:r>
      <w:r w:rsidRPr="00655962">
        <w:rPr>
          <w:rFonts w:ascii="Calibri" w:hAnsi="Calibri" w:cs="Times New Roman"/>
          <w:i/>
          <w:iCs/>
          <w:szCs w:val="24"/>
        </w:rPr>
        <w:t>Brookings</w:t>
      </w:r>
      <w:r w:rsidRPr="00655962">
        <w:rPr>
          <w:rFonts w:ascii="Calibri" w:hAnsi="Calibri" w:cs="Times New Roman"/>
          <w:szCs w:val="24"/>
        </w:rPr>
        <w:t xml:space="preserve"> (blog), June 8, 2017, https://www.brookings.edu/blog/the-avenue/2017/06/08/on-unemployment-metro-areas/.</w:t>
      </w:r>
      <w:r w:rsidRPr="000E25A7">
        <w:rPr>
          <w:rFonts w:ascii="Calibri" w:hAnsi="Calibri"/>
          <w:color w:val="000000"/>
        </w:rPr>
        <w:fldChar w:fldCharType="end"/>
      </w:r>
    </w:p>
  </w:endnote>
  <w:endnote w:id="6">
    <w:p w14:paraId="29654B3E" w14:textId="2AE63DF7" w:rsidR="009A7EF2" w:rsidRPr="000E25A7" w:rsidRDefault="009A7EF2">
      <w:pPr>
        <w:pStyle w:val="EndnoteText"/>
      </w:pPr>
      <w:r w:rsidRPr="000E25A7">
        <w:rPr>
          <w:rStyle w:val="EndnoteReference"/>
        </w:rPr>
        <w:endnoteRef/>
      </w:r>
      <w:r w:rsidRPr="000E25A7">
        <w:t xml:space="preserve"> </w:t>
      </w:r>
      <w:r w:rsidRPr="000E25A7">
        <w:fldChar w:fldCharType="begin"/>
      </w:r>
      <w:r>
        <w:instrText xml:space="preserve"> ADDIN ZOTERO_ITEM CSL_CITATION {"citationID":"ryqbLXns","properties":{"formattedCitation":"{\\rtf Richard Shearer et al., \\uc0\\u8220{}Metro Monitor 2018 Dashboard,\\uc0\\u8221{} forthcoming.}","plainCitation":"Richard Shearer et al., “Metro Monitor 2018 Dashboard,” forthcoming."},"citationItems":[{"id":227,"uris":["http://zotero.org/groups/2046111/items/QRZ2ISUI"],"uri":["http://zotero.org/groups/2046111/items/QRZ2ISUI"],"itemData":{"id":227,"type":"report","title":"Metro Monitor 2018 Dashboard","author":[{"family":"Shearer","given":"Richard"},{"family":"Friedhoff","given":"Alec"},{"family":"Shah","given":"Isha"},{"family":"Berube","given":"Alan"}],"issued":{"literal":"forthcoming"}}}],"schema":"https://github.com/citation-style-language/schema/raw/master/csl-citation.json"} </w:instrText>
      </w:r>
      <w:r w:rsidRPr="000E25A7">
        <w:fldChar w:fldCharType="separate"/>
      </w:r>
      <w:r w:rsidRPr="000E25A7">
        <w:rPr>
          <w:rFonts w:ascii="Calibri" w:hAnsi="Calibri" w:cs="Times New Roman"/>
        </w:rPr>
        <w:t>Richard Shearer et al., “Metro Monitor 2018 Dashboard,” forthcoming.</w:t>
      </w:r>
      <w:r w:rsidRPr="000E25A7">
        <w:fldChar w:fldCharType="end"/>
      </w:r>
    </w:p>
  </w:endnote>
  <w:endnote w:id="7">
    <w:p w14:paraId="2E045607" w14:textId="259C0981"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{"citationID":"a2f1k0s1a6t","properties":{"formattedCitation":"{\\rtf Arloc Sherman, Isaac Shapiro, and Robert Greenstein, \\uc0\\u8220{}Census Data Show Robust Progress Across the Board in 2016 in Income, Poverty, and Health Coverage,\\uc0\\u8221{} Center on Budget and Policy Priorities, September 12, 2017, https://www.cbpp.org/research/poverty-and-inequality/census-data-show-robust-progress-across-the-board-in-2016-in-income.}","plainCitation":"Arloc Sherman, Isaac Shapiro, and Robert Greenstein, “Census Data Show Robust Progress Across the Board in 2016 in Income, Poverty, and Health Coverage,” Center on Budget and Policy Priorities, September 12, 2017, https://www.cbpp.org/research/poverty-and-inequality/census-data-show-robust-progress-across-the-board-in-2016-in-income."},"citationItems":[{"id":142,"uris":["http://zotero.org/groups/2046111/items/PJTQWLWU"],"uri":["http://zotero.org/groups/2046111/items/PJTQWLWU"],"itemData":{"id":142,"type":"webpage","title":"Census Data Show Robust Progress Across the Board in 2016 in Income, Poverty, and Health Coverage","container-title":"Center on Budget and Policy Priorities","abstract":"Two consecutive years of progress on all three measures Is unprecedented.","URL":"https://www.cbpp.org/research/poverty-and-inequality/census-data-show-robust-progress-across-the-board-in-2016-in-income","language":"en","author":[{"family":"Sherman","given":"Arloc"},{"family":"Shapiro","given":"Isaac"},{"family":"Greenstein","given":"Robert"}],"issued":{"date-parts":[["2017",9,12]]},"accessed":{"date-parts":[["2018",1,11]]}}}],"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Arloc Sherman, Isaac Shapiro, and Robert Greenstein, “Census Data Show Robust Progress Across the Board in 2016 in Income, Poverty, and Health Coverage,” Center on Budget and Policy Priorities, September 12, 2017, https://www.cbpp.org/research/poverty-and-inequality/census-data-show-robust-progress-across-the-board-in-2016-in-income.</w:t>
      </w:r>
      <w:r w:rsidRPr="000E25A7">
        <w:rPr>
          <w:rFonts w:ascii="Calibri" w:hAnsi="Calibri"/>
          <w:color w:val="000000"/>
        </w:rPr>
        <w:fldChar w:fldCharType="end"/>
      </w:r>
    </w:p>
  </w:endnote>
  <w:endnote w:id="8">
    <w:p w14:paraId="22181974" w14:textId="70F88152" w:rsidR="009A7EF2" w:rsidRDefault="009A7EF2">
      <w:pPr>
        <w:pStyle w:val="EndnoteText"/>
      </w:pPr>
      <w:r>
        <w:rPr>
          <w:rStyle w:val="EndnoteReference"/>
        </w:rPr>
        <w:endnoteRef/>
      </w:r>
      <w:r>
        <w:t xml:space="preserve"> </w:t>
      </w:r>
      <w:r>
        <w:fldChar w:fldCharType="begin"/>
      </w:r>
      <w:r w:rsidR="008C6B08">
        <w:instrText xml:space="preserve"> ADDIN ZOTERO_ITEM CSL_CITATION {"citationID":"TriUKtSg","properties":{"formattedCitation":"{\\rtf Jay Shmbaugh et al., \\uc0\\u8220{}Thirteen Facts about Wage Growth | The Hamilton Project\\uc0\\u8221{} (Brookings Institution, 2017), http://www.hamiltonproject.org/papers/thirteen_facts_about_wage_growth.}","plainCitation":"Jay Shmbaugh et al., “Thirteen Facts about Wage Growth | The Hamilton Project” (Brookings Institution, 2017), http://www.hamiltonproject.org/papers/thirteen_facts_about_wage_growth."},"citationItems":[{"id":262,"uris":["http://zotero.org/groups/2046111/items/IXRQ8YKG"],"uri":["http://zotero.org/groups/2046111/items/IXRQ8YKG"],"itemData":{"id":262,"type":"report","title":"Thirteen Facts about Wage Growth | The Hamilton Project","publisher":"Brookings Institution","abstract":"The Hamilton Project seeks to advance America's promise of opportunity, prosperity, and growth.","URL":"http://www.hamiltonproject.org/papers/thirteen_facts_about_wage_growth","author":[{"family":"Shmbaugh","given":"Jay"},{"family":"Nunn","given":"Ryan"},{"family":"Liu","given":"Patrick"},{"family":"Nantz","given":"Greg"}],"issued":{"date-parts":[["2017"]]},"accessed":{"date-parts":[["2018",2,1]]}}}],"schema":"https://github.com/citation-style-language/schema/raw/master/csl-citation.json"} </w:instrText>
      </w:r>
      <w:r>
        <w:fldChar w:fldCharType="separate"/>
      </w:r>
      <w:r w:rsidR="008C6B08" w:rsidRPr="008C6B08">
        <w:rPr>
          <w:rFonts w:ascii="Calibri" w:hAnsi="Calibri" w:cs="Times New Roman"/>
          <w:szCs w:val="24"/>
        </w:rPr>
        <w:t xml:space="preserve">Jay </w:t>
      </w:r>
      <w:proofErr w:type="spellStart"/>
      <w:r w:rsidR="008C6B08" w:rsidRPr="008C6B08">
        <w:rPr>
          <w:rFonts w:ascii="Calibri" w:hAnsi="Calibri" w:cs="Times New Roman"/>
          <w:szCs w:val="24"/>
        </w:rPr>
        <w:t>Shmbaugh</w:t>
      </w:r>
      <w:proofErr w:type="spellEnd"/>
      <w:r w:rsidR="008C6B08" w:rsidRPr="008C6B08">
        <w:rPr>
          <w:rFonts w:ascii="Calibri" w:hAnsi="Calibri" w:cs="Times New Roman"/>
          <w:szCs w:val="24"/>
        </w:rPr>
        <w:t xml:space="preserve"> et al., “Thirteen Facts about Wage Growth | The Hamilton Project” (Brookings Institution, 2017), http://www.hamiltonproject.org/papers/thirteen_facts_about_wage_growth.</w:t>
      </w:r>
      <w:r>
        <w:fldChar w:fldCharType="end"/>
      </w:r>
    </w:p>
  </w:endnote>
  <w:endnote w:id="9">
    <w:p w14:paraId="14953ECA" w14:textId="2C3C1486" w:rsidR="009A7EF2" w:rsidRDefault="009A7EF2">
      <w:pPr>
        <w:pStyle w:val="EndnoteText"/>
      </w:pPr>
      <w:r>
        <w:rPr>
          <w:rStyle w:val="EndnoteReference"/>
        </w:rPr>
        <w:endnoteRef/>
      </w:r>
      <w:r>
        <w:t xml:space="preserve"> </w:t>
      </w:r>
      <w:r>
        <w:fldChar w:fldCharType="begin"/>
      </w:r>
      <w:r w:rsidR="008C6B08">
        <w:instrText xml:space="preserve"> ADDIN ZOTERO_ITEM CSL_CITATION {"citationID":"wQltRHWO","properties":{"formattedCitation":"{\\rtf Brendan Duke and Andrew Schwartz, \\uc0\\u8220{}The Midwestern Great Recession of 2001 and the Destruction of Good Jobs\\uc0\\u8221{} (Center for American Progress, 2017), https://www.americanprogress.org/issues/economy/reports/2017/06/07/429492/midwestern-great-recession-2001-destruction-good-jobs/.}","plainCitation":"Brendan Duke and Andrew Schwartz, “The Midwestern Great Recession of 2001 and the Destruction of Good Jobs” (Center for American Progress, 2017), https://www.americanprogress.org/issues/economy/reports/2017/06/07/429492/midwestern-great-recession-2001-destruction-good-jobs/."},"citationItems":[{"id":264,"uris":["http://zotero.org/groups/2046111/items/7VIVNZL4"],"uri":["http://zotero.org/groups/2046111/items/7VIVNZL4"],"itemData":{"id":264,"type":"report","title":"The Midwestern Great Recession of 2001 and the Destruction of Good Jobs","publisher":"Center for American Progress","abstract":"The Midwest has been coping with falling employment rates and stagnant wages twice as long as the rest of the country.","URL":"https://www.americanprogress.org/issues/economy/reports/2017/06/07/429492/midwestern-great-recession-2001-destruction-good-jobs/","language":"en-US","author":[{"family":"Duke","given":"Brendan"},{"family":"Schwartz","given":"Andrew"}],"issued":{"date-parts":[["2017"]]},"accessed":{"date-parts":[["2018",2,1]]}}}],"schema":"https://github.com/citation-style-language/schema/raw/master/csl-citation.json"} </w:instrText>
      </w:r>
      <w:r>
        <w:fldChar w:fldCharType="separate"/>
      </w:r>
      <w:r w:rsidR="008C6B08" w:rsidRPr="008C6B08">
        <w:rPr>
          <w:rFonts w:ascii="Calibri" w:hAnsi="Calibri" w:cs="Times New Roman"/>
          <w:szCs w:val="24"/>
        </w:rPr>
        <w:t>Brendan Duke and Andrew Schwartz, “The Midwestern Great Recession of 2001 and the Destruction of Good Jobs” (Center for American Progress, 2017), https://www.americanprogress.org/issues/economy/reports/2017/06/07/429492/midwestern-great-recession-2001-destruction-good-jobs/.</w:t>
      </w:r>
      <w:r>
        <w:fldChar w:fldCharType="end"/>
      </w:r>
    </w:p>
  </w:endnote>
  <w:endnote w:id="10">
    <w:p w14:paraId="77650F79" w14:textId="195D617A" w:rsidR="009A7EF2" w:rsidRPr="000E25A7" w:rsidRDefault="009A7EF2">
      <w:pPr>
        <w:pStyle w:val="EndnoteText"/>
      </w:pPr>
      <w:r w:rsidRPr="000E25A7">
        <w:rPr>
          <w:rStyle w:val="EndnoteReference"/>
        </w:rPr>
        <w:endnoteRef/>
      </w:r>
      <w:r w:rsidRPr="000E25A7">
        <w:t xml:space="preserve"> </w:t>
      </w:r>
      <w:r w:rsidRPr="000E25A7">
        <w:rPr>
          <w:rFonts w:ascii="Calibri" w:hAnsi="Calibri"/>
          <w:bCs/>
          <w:color w:val="000000"/>
        </w:rPr>
        <w:fldChar w:fldCharType="begin"/>
      </w:r>
      <w:r w:rsidR="008C6B08">
        <w:rPr>
          <w:rFonts w:ascii="Calibri" w:hAnsi="Calibri"/>
          <w:bCs/>
          <w:color w:val="000000"/>
        </w:rPr>
        <w:instrText xml:space="preserve"> ADDIN ZOTERO_ITEM CSL_CITATION {"citationID":"a21k1e0o195","properties":{"formattedCitation":"{\\rtf David Autor, David Dorn, and Gordon Hanson, \\uc0\\u8220{}The China Trade Shock \\uc0\\u8211{} Studying the Impact of China\\uc0\\u8217{}s Rise on Workers, Firms, and Markets,\\uc0\\u8221{} The China Trade Shock, accessed January 11, 2018, http://chinashock.info/.}","plainCitation":"David Autor, David Dorn, and Gordon Hanson, “The China Trade Shock – Studying the Impact of China’s Rise on Workers, Firms, and Markets,” The China Trade Shock, accessed January 11, 2018, http://chinashock.info/."},"citationItems":[{"id":144,"uris":["http://zotero.org/groups/2046111/items/43UBWY5W"],"uri":["http://zotero.org/groups/2046111/items/43UBWY5W"],"itemData":{"id":144,"type":"webpage","title":"The China Trade Shock – Studying the Impact of China's Rise on Workers, Firms, and Markets","container-title":"The China Trade Shock","URL":"http://chinashock.info/","language":"en-US","author":[{"family":"Autor","given":"David"},{"family":"Dorn","given":"David"},{"family":"Hanson","given":"Gordon"}],"accessed":{"date-parts":[["2018",1,11]]}}}],"schema":"https://github.com/citation-style-language/schema/raw/master/csl-citation.json"} </w:instrText>
      </w:r>
      <w:r w:rsidRPr="000E25A7">
        <w:rPr>
          <w:rFonts w:ascii="Calibri" w:hAnsi="Calibri"/>
          <w:bCs/>
          <w:color w:val="000000"/>
        </w:rPr>
        <w:fldChar w:fldCharType="separate"/>
      </w:r>
      <w:r w:rsidR="008C6B08" w:rsidRPr="008C6B08">
        <w:rPr>
          <w:rFonts w:ascii="Calibri" w:hAnsi="Calibri" w:cs="Times New Roman"/>
          <w:szCs w:val="24"/>
        </w:rPr>
        <w:t xml:space="preserve">David </w:t>
      </w:r>
      <w:proofErr w:type="spellStart"/>
      <w:r w:rsidR="008C6B08" w:rsidRPr="008C6B08">
        <w:rPr>
          <w:rFonts w:ascii="Calibri" w:hAnsi="Calibri" w:cs="Times New Roman"/>
          <w:szCs w:val="24"/>
        </w:rPr>
        <w:t>Autor</w:t>
      </w:r>
      <w:proofErr w:type="spellEnd"/>
      <w:r w:rsidR="008C6B08" w:rsidRPr="008C6B08">
        <w:rPr>
          <w:rFonts w:ascii="Calibri" w:hAnsi="Calibri" w:cs="Times New Roman"/>
          <w:szCs w:val="24"/>
        </w:rPr>
        <w:t>, David Dorn, and Gordon Hanson, “The China Trade Shock – Studying the Impact of China’s Rise on Workers, Firms, and Markets,” The China Trade Shock, accessed January 11, 2018, http://chinashock.info/.</w:t>
      </w:r>
      <w:r w:rsidRPr="000E25A7">
        <w:rPr>
          <w:rFonts w:ascii="Calibri" w:hAnsi="Calibri"/>
          <w:bCs/>
          <w:color w:val="000000"/>
        </w:rPr>
        <w:fldChar w:fldCharType="end"/>
      </w:r>
    </w:p>
  </w:endnote>
  <w:endnote w:id="11">
    <w:p w14:paraId="4E7AE597" w14:textId="652821CE" w:rsidR="009A7EF2" w:rsidRDefault="009A7EF2">
      <w:pPr>
        <w:pStyle w:val="EndnoteText"/>
      </w:pPr>
      <w:r>
        <w:rPr>
          <w:rStyle w:val="EndnoteReference"/>
        </w:rPr>
        <w:endnoteRef/>
      </w:r>
      <w:r>
        <w:t xml:space="preserve"> These terms are as much cultural as they are strictly geographic; some urban areas along the coasts have not fared well (e.g., in Florida and Connecticut) while others in the interior have (e.g., in Texas and Colorado). People variously define the Heartland as: areas away from the East and West Coasts; synonymous with the Midwest; home to agriculture or manufacturing; and predominantly white America. </w:t>
      </w:r>
      <w:r>
        <w:fldChar w:fldCharType="begin"/>
      </w:r>
      <w:r>
        <w:instrText xml:space="preserve"> ADDIN ZOTERO_ITEM CSL_CITATION {"citationID":"czShuAy5","properties":{"formattedCitation":"{\\rtf Emily Badger, \\uc0\\u8220{}Where Is America\\uc0\\u8217{}s Heartland? Pick Your Map,\\uc0\\u8221{} {\\i{}The New York Times}, January 3, 2017, sec. The Upshot, https://www.nytimes.com/interactive/2017/01/03/upshot/where-is-americas-heartland-pick-your-map.html.}","plainCitation":"Emily Badger, “Where Is America’s Heartland? Pick Your Map,” The New York Times, January 3, 2017, sec. The Upshot, https://www.nytimes.com/interactive/2017/01/03/upshot/where-is-americas-heartland-pick-your-map.html."},"citationItems":[{"id":266,"uris":["http://zotero.org/groups/2046111/items/4XG2937M"],"uri":["http://zotero.org/groups/2046111/items/4XG2937M"],"itemData":{"id":266,"type":"article-newspaper","title":"Where Is America’s Heartland? Pick Your Map","container-title":"The New York Times","section":"The Upshot","source":"NYTimes.com","abstract":"An exploration in maps of the boundaries of an American state of mind.","URL":"https://www.nytimes.com/interactive/2017/01/03/upshot/where-is-americas-heartland-pick-your-map.html","ISSN":"0362-4331","shortTitle":"Where Is America’s Heartland?","language":"en-US","author":[{"family":"Badger","given":"Emily"}],"issued":{"date-parts":[["2017",1,3]]},"accessed":{"date-parts":[["2018",2,1]]}}}],"schema":"https://github.com/citation-style-language/schema/raw/master/csl-citation.json"} </w:instrText>
      </w:r>
      <w:r>
        <w:fldChar w:fldCharType="separate"/>
      </w:r>
      <w:r w:rsidRPr="00DC2834">
        <w:rPr>
          <w:rFonts w:ascii="Calibri" w:hAnsi="Calibri" w:cs="Times New Roman"/>
          <w:szCs w:val="24"/>
        </w:rPr>
        <w:t xml:space="preserve">Emily Badger, “Where Is America’s Heartland? Pick Your Map,” </w:t>
      </w:r>
      <w:r w:rsidRPr="00DC2834">
        <w:rPr>
          <w:rFonts w:ascii="Calibri" w:hAnsi="Calibri" w:cs="Times New Roman"/>
          <w:i/>
          <w:iCs/>
          <w:szCs w:val="24"/>
        </w:rPr>
        <w:t>The New York Times</w:t>
      </w:r>
      <w:r w:rsidRPr="00DC2834">
        <w:rPr>
          <w:rFonts w:ascii="Calibri" w:hAnsi="Calibri" w:cs="Times New Roman"/>
          <w:szCs w:val="24"/>
        </w:rPr>
        <w:t>, January 3, 2017, sec. The Upshot, https://www.nytimes.com/interactive/2017/01/03/upshot/where-is-americas-heartland-pick-your-map.html.</w:t>
      </w:r>
      <w:r>
        <w:fldChar w:fldCharType="end"/>
      </w:r>
    </w:p>
  </w:endnote>
  <w:endnote w:id="12">
    <w:p w14:paraId="7B0F995A" w14:textId="6D3D6268"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{"citationID":"aoa0057hnq","properties":{"formattedCitation":"{\\rtf Mark Muro and Sifan Liu, \\uc0\\u8220{}Tech in Metros: The Strong Are Getting Stronger,\\uc0\\u8221{} {\\i{}Brookings} (blog), March 8, 2017, https://www.brookings.edu/blog/the-avenue/2017/03/08/tech-in-metros-the-strong-are-getting-stronger/.}","plainCitation":"Mark Muro and Sifan Liu, “Tech in Metros: The Strong Are Getting Stronger,” Brookings (blog), March 8, 2017, https://www.brookings.edu/blog/the-avenue/2017/03/08/tech-in-metros-the-strong-are-getting-stronger/."},"citationItems":[{"id":136,"uris":["http://zotero.org/groups/2046111/items/A4G72VJN"],"uri":["http://zotero.org/groups/2046111/items/A4G72VJN"],"itemData":{"id":136,"type":"post-weblog","title":"Tech in metros: The strong are getting stronger","container-title":"Brookings","abstract":"A close look at job-creation in four key digital services industries—software publishing, data processing and hosting, computer systems design, and web publishing / search—finds that while tech employment is growing all over America, it really isn’t “spreading out” in terms of cities’ share.","URL":"https://www.brookings.edu/blog/the-avenue/2017/03/08/tech-in-metros-the-strong-are-getting-stronger/","shortTitle":"Tech in metros","language":"en-US","author":[{"family":"Muro","given":"Mark"},{"family":"Liu","given":"Sifan"}],"issued":{"date-parts":[["2017",3,8]]},"accessed":{"date-parts":[["2018",1,11]]}}}],"schema":"https://github.com/citation-style-language/schema/raw/master/csl-citation.json"}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Mark Muro and Sifan Liu, “Tech in Metros: The Strong Are Getting Stronger,” </w:t>
      </w:r>
      <w:r w:rsidRPr="00655962">
        <w:rPr>
          <w:rFonts w:ascii="Calibri" w:hAnsi="Calibri" w:cs="Times New Roman"/>
          <w:i/>
          <w:iCs/>
          <w:szCs w:val="24"/>
        </w:rPr>
        <w:t>Brookings</w:t>
      </w:r>
      <w:r w:rsidRPr="00655962">
        <w:rPr>
          <w:rFonts w:ascii="Calibri" w:hAnsi="Calibri" w:cs="Times New Roman"/>
          <w:szCs w:val="24"/>
        </w:rPr>
        <w:t xml:space="preserve"> (blog), March 8, 2017, https://www.brookings.edu/blog/the-avenue/2017/03/08/tech-in-metros-the-strong-are-getting-stronger/.</w:t>
      </w:r>
      <w:r w:rsidRPr="000E25A7">
        <w:rPr>
          <w:rFonts w:ascii="Calibri" w:hAnsi="Calibri"/>
          <w:color w:val="000000"/>
        </w:rPr>
        <w:fldChar w:fldCharType="end"/>
      </w:r>
    </w:p>
  </w:endnote>
  <w:endnote w:id="13">
    <w:p w14:paraId="207B1067" w14:textId="0A1A44F9"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sidR="008C6B08">
        <w:rPr>
          <w:rFonts w:ascii="Calibri" w:hAnsi="Calibri"/>
          <w:color w:val="000000"/>
        </w:rPr>
        <w:instrText xml:space="preserve"> ADDIN ZOTERO_ITEM CSL_CITATION {"citationID":"a26gs1l33vq","properties":{"formattedCitation":"{\\rtf Kenan Fikri, John Lettieri, and Angela Reyes, \\uc0\\u8220{}Dynamism in Retreat: Consequences for Regions, Markets, and Workers\\uc0\\u8221{} (Economic Innovation Group, 2017), http://eig.org/dynamism.}","plainCitation":"Kenan Fikri, John Lettieri, and Angela Reyes, “Dynamism in Retreat: Consequences for Regions, Markets, and Workers” (Economic Innovation Group, 2017), http://eig.org/dynamism."},"citationItems":[{"id":147,"uris":["http://zotero.org/groups/2046111/items/NVULNQMM"],"uri":["http://zotero.org/groups/2046111/items/NVULNQMM"],"itemData":{"id":147,"type":"report","title":"Dynamism in Retreat: Consequences for Regions, Markets, and Workers","publisher":"Economic Innovation Group","URL":"http://eig.org/dynamism","language":"en-US","author":[{"family":"Fikri","given":"Kenan"},{"family":"Lettieri","given":"John"},{"family":"Reyes","given":"Angela"}],"issued":{"date-parts":[["2017"]]},"accessed":{"date-parts":[["2018",1,12]]}}}],"schema":"https://github.com/citation-style-language/schema/raw/master/csl-citation.json"} </w:instrText>
      </w:r>
      <w:r w:rsidRPr="000E25A7">
        <w:rPr>
          <w:rFonts w:ascii="Calibri" w:hAnsi="Calibri"/>
          <w:color w:val="000000"/>
        </w:rPr>
        <w:fldChar w:fldCharType="separate"/>
      </w:r>
      <w:r w:rsidR="008C6B08" w:rsidRPr="008C6B08">
        <w:rPr>
          <w:rFonts w:ascii="Calibri" w:hAnsi="Calibri" w:cs="Times New Roman"/>
          <w:szCs w:val="24"/>
        </w:rPr>
        <w:t xml:space="preserve">Kenan Fikri, John </w:t>
      </w:r>
      <w:proofErr w:type="spellStart"/>
      <w:r w:rsidR="008C6B08" w:rsidRPr="008C6B08">
        <w:rPr>
          <w:rFonts w:ascii="Calibri" w:hAnsi="Calibri" w:cs="Times New Roman"/>
          <w:szCs w:val="24"/>
        </w:rPr>
        <w:t>Lettieri</w:t>
      </w:r>
      <w:proofErr w:type="spellEnd"/>
      <w:r w:rsidR="008C6B08" w:rsidRPr="008C6B08">
        <w:rPr>
          <w:rFonts w:ascii="Calibri" w:hAnsi="Calibri" w:cs="Times New Roman"/>
          <w:szCs w:val="24"/>
        </w:rPr>
        <w:t>, and Angela Reyes, “Dynamism in Retreat: Consequences for Regions, Markets, and Workers” (Economic Innovation Group, 2017), http://eig.org/dynamism.</w:t>
      </w:r>
      <w:r w:rsidRPr="000E25A7">
        <w:rPr>
          <w:rFonts w:ascii="Calibri" w:hAnsi="Calibri"/>
          <w:color w:val="000000"/>
        </w:rPr>
        <w:fldChar w:fldCharType="end"/>
      </w:r>
    </w:p>
  </w:endnote>
  <w:endnote w:id="14">
    <w:p w14:paraId="2C30F8E4" w14:textId="082B1C83"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{"citationID":"aatomu3ncu","properties":{"formattedCitation":"{\\rtf Eduardo Porter, \\uc0\\u8220{}Why Big Cities Thrive, and Smaller Ones Are Being Left Behind,\\uc0\\u8221{} {\\i{}The New York Times}, October 10, 2017, sec. Economy, https://www.nytimes.com/2017/10/10/business/economy/big-cities.html.}","plainCitation":"Eduardo Porter, “Why Big Cities Thrive, and Smaller Ones Are Being Left Behind,” The New York Times, October 10, 2017, sec. Economy, https://www.nytimes.com/2017/10/10/business/economy/big-cities.html."},"citationItems":[{"id":149,"uris":["http://zotero.org/groups/2046111/items/FX248IQZ"],"uri":["http://zotero.org/groups/2046111/items/FX248IQZ"],"itemData":{"id":149,"type":"article-newspaper","title":"Why Big Cities Thrive, and Smaller Ones Are Being Left Behind","container-title":"The New York Times","section":"Economy","source":"NYTimes.com","abstract":"Population is a growing source of economic cleavage, as larger metropolitan areas adapt better to the disruptions arising from trade and technology.","URL":"https://www.nytimes.com/2017/10/10/business/economy/big-cities.html","ISSN":"0362-4331","language":"en-US","author":[{"family":"Porter","given":"Eduardo"}],"issued":{"date-parts":[["2017",10,10]]},"accessed":{"date-parts":[["2018",1,12]]}}}],"schema":"https://github.com/citation-style-language/schema/raw/master/csl-citation.json"} </w:instrText>
      </w:r>
      <w:r w:rsidRPr="000E25A7">
        <w:rPr>
          <w:rFonts w:ascii="Calibri" w:hAnsi="Calibri"/>
          <w:color w:val="000000"/>
        </w:rPr>
        <w:fldChar w:fldCharType="separate"/>
      </w:r>
      <w:r w:rsidRPr="000E25A7">
        <w:rPr>
          <w:rFonts w:ascii="Calibri" w:hAnsi="Calibri" w:cs="Times New Roman"/>
        </w:rPr>
        <w:t xml:space="preserve">Eduardo Porter, “Why Big Cities Thrive, and Smaller Ones Are Being Left Behind,” </w:t>
      </w:r>
      <w:r w:rsidRPr="000E25A7">
        <w:rPr>
          <w:rFonts w:ascii="Calibri" w:hAnsi="Calibri" w:cs="Times New Roman"/>
          <w:i/>
          <w:iCs/>
        </w:rPr>
        <w:t>The New York Times</w:t>
      </w:r>
      <w:r w:rsidRPr="000E25A7">
        <w:rPr>
          <w:rFonts w:ascii="Calibri" w:hAnsi="Calibri" w:cs="Times New Roman"/>
        </w:rPr>
        <w:t>, October 10, 2017, sec. Economy, https://www.nytimes.com/2017/10/10/business/economy/big-cities.html.</w:t>
      </w:r>
      <w:r w:rsidRPr="000E25A7">
        <w:rPr>
          <w:rFonts w:ascii="Calibri" w:hAnsi="Calibri"/>
          <w:color w:val="000000"/>
        </w:rPr>
        <w:fldChar w:fldCharType="end"/>
      </w:r>
    </w:p>
  </w:endnote>
  <w:endnote w:id="15">
    <w:p w14:paraId="73C6D5E9" w14:textId="6701028B" w:rsidR="009A7EF2" w:rsidRDefault="009A7EF2">
      <w:pPr>
        <w:pStyle w:val="EndnoteText"/>
      </w:pPr>
      <w:r>
        <w:rPr>
          <w:rStyle w:val="EndnoteReference"/>
        </w:rPr>
        <w:endnoteRef/>
      </w:r>
      <w:r>
        <w:t xml:space="preserve"> </w:t>
      </w:r>
      <w:r>
        <w:fldChar w:fldCharType="begin"/>
      </w:r>
      <w:r>
        <w:instrText xml:space="preserve"> ADDIN ZOTERO_ITEM CSL_CITATION {"citationID":"Xb1UK3cL","properties":{"formattedCitation":"{\\rtf \\uc0\\u8220{}Regional Economic Development in Theory and Practice,\\uc0\\u8221{} Community-Wealth.org, June 22, 2012, https://community-wealth.org/content/regional-economic-development-theory-and-practice.}","plainCitation":"“Regional Economic Development in Theory and Practice,” Community-Wealth.org, June 22, 2012, https://community-wealth.org/content/regional-economic-development-theory-and-practice."},"citationItems":[{"id":268,"uris":["http://zotero.org/groups/2046111/items/LWJ5D3H7"],"uri":["http://zotero.org/groups/2046111/items/LWJ5D3H7"],"itemData":{"id":268,"type":"webpage","title":"Regional Economic Development in Theory and Practice","container-title":"Community-Wealth.org","URL":"https://community-wealth.org/content/regional-economic-development-theory-and-practice","language":"en","issued":{"date-parts":[["2012",6,22]]},"accessed":{"date-parts":[["2018",2,1]]}}}],"schema":"https://github.com/citation-style-language/schema/raw/master/csl-citation.json"} </w:instrText>
      </w:r>
      <w:r>
        <w:fldChar w:fldCharType="separate"/>
      </w:r>
      <w:r w:rsidRPr="00DC2834">
        <w:rPr>
          <w:rFonts w:ascii="Calibri" w:hAnsi="Calibri" w:cs="Times New Roman"/>
          <w:szCs w:val="24"/>
        </w:rPr>
        <w:t>“Regional Economic Development in Theory and Practice,” Community-Wealth.org, June 22, 2012, https://community-wealth.org/content/regional-economic-development-theory-and-practice.</w:t>
      </w:r>
      <w:r>
        <w:fldChar w:fldCharType="end"/>
      </w:r>
    </w:p>
  </w:endnote>
  <w:endnote w:id="16">
    <w:p w14:paraId="6DC90284" w14:textId="4E92B5E7"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sidR="008C6B08">
        <w:rPr>
          <w:rFonts w:ascii="Calibri" w:hAnsi="Calibri"/>
          <w:color w:val="000000"/>
        </w:rPr>
        <w:instrText xml:space="preserve"> ADDIN ZOTERO_ITEM CSL_CITATION {"citationID":"a24i8fljgqa","properties":{"formattedCitation":"{\\rtf Alfred Marshall, \\uc0\\u8220{}Principles of Economics,\\uc0\\u8221{} accessed January 12, 2018, http://www.econlib.org/library/Marshall/marPCover.html.}","plainCitation":"Alfred Marshall, “Principles of Economics,” accessed January 12, 2018, http://www.econlib.org/library/Marshall/marPCover.html."},"citationItems":[{"id":151,"uris":["http://zotero.org/groups/2046111/items/I3N9Z48R"],"uri":["http://zotero.org/groups/2046111/items/I3N9Z48R"],"itemData":{"id":151,"type":"webpage","title":"Principles of Economics","URL":"http://www.econlib.org/library/Marshall/marPCover.html","author":[{"family":"Marshall","given":"Alfred"}],"accessed":{"date-parts":[["2018",1,12]]}}}],"schema":"https://github.com/citation-style-language/schema/raw/master/csl-citation.json"} </w:instrText>
      </w:r>
      <w:r w:rsidRPr="000E25A7">
        <w:rPr>
          <w:rFonts w:ascii="Calibri" w:hAnsi="Calibri"/>
          <w:color w:val="000000"/>
        </w:rPr>
        <w:fldChar w:fldCharType="separate"/>
      </w:r>
      <w:r w:rsidR="008C6B08" w:rsidRPr="008C6B08">
        <w:rPr>
          <w:rFonts w:ascii="Calibri" w:hAnsi="Calibri" w:cs="Times New Roman"/>
          <w:szCs w:val="24"/>
        </w:rPr>
        <w:t>Alfred Marshall, “Principles of Economics,” accessed January 12, 2018, http://www.econlib.org/library/Marshall/marPCover.html.</w:t>
      </w:r>
      <w:r w:rsidRPr="000E25A7">
        <w:rPr>
          <w:rFonts w:ascii="Calibri" w:hAnsi="Calibri"/>
          <w:color w:val="000000"/>
        </w:rPr>
        <w:fldChar w:fldCharType="end"/>
      </w:r>
    </w:p>
  </w:endnote>
  <w:endnote w:id="17">
    <w:p w14:paraId="53726AED" w14:textId="733C1737"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{"citationID":"a2gfskh9p8q","properties":{"formattedCitation":"{\\rtf Mark Muro Liu Jacob Whiton, and Sifan, \\uc0\\u8220{}Online Giants Must Accept Responsibility for Impacts on the Physical World,\\uc0\\u8221{} {\\i{}Brookings} (blog), January 8, 2018, https://www.brookings.edu/blog/the-avenue/2018/01/08/online-giants-must-accept-responsibility-for-impacts-on-the-physical-world/.}","plainCitation":"Mark Muro Liu Jacob Whiton, and Sifan, “Online Giants Must Accept Responsibility for Impacts on the Physical World,” Brookings (blog), January 8, 2018, https://www.brookings.edu/blog/the-avenue/2018/01/08/online-giants-must-accept-responsibility-for-impacts-on-the-physical-world/."},"citationItems":[{"id":153,"uris":["http://zotero.org/groups/2046111/items/ZGJT46S9"],"uri":["http://zotero.org/groups/2046111/items/ZGJT46S9"],"itemData":{"id":153,"type":"post-weblog","title":"Online giants must accept responsibility for impacts on the physical world","container-title":"Brookings","abstract":"Mark Muro and the authors describe the need to widen the discussion of Big Tech’s impacts on society and the economy.","URL":"https://www.brookings.edu/blog/the-avenue/2018/01/08/online-giants-must-accept-responsibility-for-impacts-on-the-physical-world/","language":"en-US","author":[{"family":"Liu","given":"Mark Muro","suffix":"Jacob Whiton, and Sifan"}],"issued":{"date-parts":[["2018",1,8]]},"accessed":{"date-parts":[["2018",1,12]]}}}],"schema":"https://github.com/citation-style-language/schema/raw/master/csl-citation.json"}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Mark Muro Liu Jacob Whiton, and Sifan, “Online Giants Must Accept Responsibility for Impacts on the Physical World,” </w:t>
      </w:r>
      <w:r w:rsidRPr="00655962">
        <w:rPr>
          <w:rFonts w:ascii="Calibri" w:hAnsi="Calibri" w:cs="Times New Roman"/>
          <w:i/>
          <w:iCs/>
          <w:szCs w:val="24"/>
        </w:rPr>
        <w:t>Brookings</w:t>
      </w:r>
      <w:r w:rsidRPr="00655962">
        <w:rPr>
          <w:rFonts w:ascii="Calibri" w:hAnsi="Calibri" w:cs="Times New Roman"/>
          <w:szCs w:val="24"/>
        </w:rPr>
        <w:t xml:space="preserve"> (blog), January 8, 2018, https://www.brookings.edu/blog/the-avenue/2018/01/08/online-giants-must-accept-responsibility-for-impacts-on-the-physical-world/.</w:t>
      </w:r>
      <w:r w:rsidRPr="000E25A7">
        <w:rPr>
          <w:rFonts w:ascii="Calibri" w:hAnsi="Calibri"/>
          <w:color w:val="000000"/>
        </w:rPr>
        <w:fldChar w:fldCharType="end"/>
      </w:r>
    </w:p>
  </w:endnote>
  <w:endnote w:id="18">
    <w:p w14:paraId="677CF25E" w14:textId="25A84A71"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{"citationID":"a1uasa497b6","properties":{"formattedCitation":"{\\rtf Edward Glaeser, \\uc0\\u8220{}Reforming Land Use Regulations,\\uc0\\u8221{} {\\i{}Brookings} (blog), April 24, 2017, https://www.brookings.edu/research/reforming-land-use-regulations/.}","plainCitation":"Edward Glaeser, “Reforming Land Use Regulations,” Brookings (blog), April 24, 2017, https://www.brookings.edu/research/reforming-land-use-regulations/."},"citationItems":[{"id":155,"uris":["http://zotero.org/groups/2046111/items/TP2FDWZS"],"uri":["http://zotero.org/groups/2046111/items/TP2FDWZS"],"itemData":{"id":155,"type":"post-weblog","title":"Reforming land use regulations","container-title":"Brookings","abstract":"Edward Glaeser looks at how local land use regulation has impacted Americans' decisions across state lines and suggests ways to reform this system.","URL":"https://www.brookings.edu/research/reforming-land-use-regulations/","language":"en-US","author":[{"family":"Glaeser","given":"Edward"}],"issued":{"date-parts":[["2017",4,24]]},"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Edward Glaeser, “Reforming Land Use Regulations,” </w:t>
      </w:r>
      <w:r w:rsidRPr="00655962">
        <w:rPr>
          <w:rFonts w:ascii="Calibri" w:hAnsi="Calibri" w:cs="Times New Roman"/>
          <w:i/>
          <w:iCs/>
          <w:szCs w:val="24"/>
        </w:rPr>
        <w:t>Brookings</w:t>
      </w:r>
      <w:r w:rsidRPr="00655962">
        <w:rPr>
          <w:rFonts w:ascii="Calibri" w:hAnsi="Calibri" w:cs="Times New Roman"/>
          <w:szCs w:val="24"/>
        </w:rPr>
        <w:t xml:space="preserve"> (blog), April 24, 2017, https://www.brookings.edu/research/reforming-land-use-regulations/.</w:t>
      </w:r>
      <w:r w:rsidRPr="000E25A7">
        <w:rPr>
          <w:rFonts w:ascii="Calibri" w:hAnsi="Calibri"/>
          <w:color w:val="000000"/>
        </w:rPr>
        <w:fldChar w:fldCharType="end"/>
      </w:r>
    </w:p>
  </w:endnote>
  <w:endnote w:id="19">
    <w:p w14:paraId="3F6AEC0C" w14:textId="14382D05"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{"citationID":"a1h333rjjro","properties":{"formattedCitation":"{\\rtf Chang-Tai Hsieh and Enrico Moretti, \\uc0\\u8220{}Housing Constraints and Spatial Misallocation,\\uc0\\u8221{} Working Paper (National Bureau of Economic Research, May 2015), https://doi.org/10.3386/w21154.}","plainCitation":"Chang-Tai Hsieh and Enrico Moretti, “Housing Constraints and Spatial Misallocation,” Working Paper (National Bureau of Economic Research, May 2015), https://doi.org/10.3386/w21154."},"citationItems":[{"id":157,"uris":["http://zotero.org/groups/2046111/items/YHJMVYLP"],"uri":["http://zotero.org/groups/2046111/items/YHJMVYLP"],"itemData":{"id":157,"type":"report","title":"Housing Constraints and Spatial Misallocation","publisher":"National Bureau of Economic Research","genre":"Working Paper","source":"National Bureau of Economic Research","abstract":"We quantify the amount of spatial misallocation of labor across US cities and its aggregate costs. Misallocation arises because high productivity cities like New York and the San Francisco Bay Area have adopted stringent restrictions to new housing supply, effectively limiting the number of workers who have access to such high productivity. Using a spatial equilibrium model and data from 220 metropolitan areas we find that these constraints lowered aggregate US growth by more than 50% from 1964 to 2009.","URL":"http://www.nber.org/papers/w21154","note":"DOI: 10.3386/w21154","number":"21154","author":[{"family":"Hsieh","given":"Chang-Tai"},{"family":"Moretti","given":"Enrico"}],"issued":{"date-parts":[["2015",5]]},"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Chang-Tai Hsieh and Enrico Moretti, “Housing Constraints and Spatial Misallocation,” Working Paper (National Bureau of Economic Research, May 2015), https://doi.org/10.3386/w21154.</w:t>
      </w:r>
      <w:r w:rsidRPr="000E25A7">
        <w:rPr>
          <w:rFonts w:ascii="Calibri" w:hAnsi="Calibri"/>
          <w:color w:val="000000"/>
        </w:rPr>
        <w:fldChar w:fldCharType="end"/>
      </w:r>
    </w:p>
  </w:endnote>
  <w:endnote w:id="20">
    <w:p w14:paraId="03EE516B" w14:textId="7FA46728"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{"citationID":"a27bgkppar8","properties":{"formattedCitation":"{\\rtf Wolf Richter Street Wolf, \\uc0\\u8220{}Insane Home Prices in Silicon Valley and San Francisco Are Tripping up Jobs Growth,\\uc0\\u8221{} Business Insider, accessed January 12, 2018, http://www.businessinsider.com/how-home-prices-in-silicon-valley-and-san-francisco-impact-jobs-growth-2017-8.}","plainCitation":"Wolf Richter Street Wolf, “Insane Home Prices in Silicon Valley and San Francisco Are Tripping up Jobs Growth,” Business Insider, accessed January 12, 2018, http://www.businessinsider.com/how-home-prices-in-silicon-valley-and-san-francisco-impact-jobs-growth-2017-8."},"citationItems":[{"id":159,"uris":["http://zotero.org/groups/2046111/items/8JA5J2BS"],"uri":["http://zotero.org/groups/2046111/items/8JA5J2BS"],"itemData":{"id":159,"type":"webpage","title":"Insane home prices in Silicon Valley and San Francisco are tripping up jobs growth","container-title":"Business Insider","abstract":"The median home price in San Francisco hit $1.45 million in the second quarter.","URL":"http://www.businessinsider.com/how-home-prices-in-silicon-valley-and-san-francisco-impact-jobs-growth-2017-8","language":"en","author":[{"family":"Street","given":"Wolf Richter","suffix":"Wolf"}],"accessed":{"date-parts":[["2018",1,12]]}}}],"schema":"https://github.com/citation-style-language/schema/raw/master/csl-citation.json"}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Wolf Richter Street Wolf, “Insane Home Prices in Silicon Valley and San Francisco Are Tripping up Jobs Growth,” Business Insider, accessed January 12, 2018, http://www.businessinsider.com/how-home-prices-in-silicon-valley-and-san-francisco-impact-jobs-growth-2017-8.</w:t>
      </w:r>
      <w:r w:rsidRPr="000E25A7">
        <w:rPr>
          <w:rFonts w:ascii="Calibri" w:hAnsi="Calibri"/>
          <w:color w:val="000000"/>
        </w:rPr>
        <w:fldChar w:fldCharType="end"/>
      </w:r>
    </w:p>
  </w:endnote>
  <w:endnote w:id="21">
    <w:p w14:paraId="68B62D2B" w14:textId="3B03E262"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{"citationID":"a2ddohf0m4g","properties":{"formattedCitation":"{\\rtf William H. Frey, \\uc0\\u8220{}U.S. Migration Still at Historically Low Levels, Census Shows,\\uc0\\u8221{} {\\i{}Brookings} (blog), November 20, 2017, https://www.brookings.edu/blog/the-avenue/2017/11/20/u-s-migration-still-at-historically-low-levels-census-shows/.}","plainCitation":"William H. Frey, “U.S. Migration Still at Historically Low Levels, Census Shows,” Brookings (blog), November 20, 2017, https://www.brookings.edu/blog/the-avenue/2017/11/20/u-s-migration-still-at-historically-low-levels-census-shows/."},"citationItems":[{"id":161,"uris":["http://zotero.org/groups/2046111/items/7GAEKDKQ"],"uri":["http://zotero.org/groups/2046111/items/7GAEKDKQ"],"itemData":{"id":161,"type":"post-weblog","title":"U.S. migration still at historically low levels, census shows","container-title":"Brookings","abstract":"Now eight years since the end of the Great Recession, and with the economy coming back, the U.S. Census Bureau’s new statistics about migration within the U.S. are surprising. The new data show a n…","URL":"https://www.brookings.edu/blog/the-avenue/2017/11/20/u-s-migration-still-at-historically-low-levels-census-shows/","language":"en-US","author":[{"family":"Frey","given":"William H."}],"issued":{"date-parts":[["2017",11,20]]},"accessed":{"date-parts":[["2018",1,12]]}}}],"schema":"https://github.com/citation-style-language/schema/raw/master/csl-citation.json"}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William H. Frey, “U.S. Migration Still at Historically Low Levels, Census Shows,” </w:t>
      </w:r>
      <w:r w:rsidRPr="00655962">
        <w:rPr>
          <w:rFonts w:ascii="Calibri" w:hAnsi="Calibri" w:cs="Times New Roman"/>
          <w:i/>
          <w:iCs/>
          <w:szCs w:val="24"/>
        </w:rPr>
        <w:t>Brookings</w:t>
      </w:r>
      <w:r w:rsidRPr="00655962">
        <w:rPr>
          <w:rFonts w:ascii="Calibri" w:hAnsi="Calibri" w:cs="Times New Roman"/>
          <w:szCs w:val="24"/>
        </w:rPr>
        <w:t xml:space="preserve"> (blog), November 20, 2017, https://www.brookings.edu/blog/the-avenue/2017/11/20/u-s-migration-still-at-historically-low-levels-census-shows/.</w:t>
      </w:r>
      <w:r w:rsidRPr="000E25A7">
        <w:rPr>
          <w:rFonts w:ascii="Calibri" w:hAnsi="Calibri"/>
          <w:color w:val="000000"/>
        </w:rPr>
        <w:fldChar w:fldCharType="end"/>
      </w:r>
    </w:p>
  </w:endnote>
  <w:endnote w:id="22">
    <w:p w14:paraId="2FEFA669" w14:textId="230390EF"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{"citationID":"a2fn2rrpurv","properties":{"formattedCitation":"{\\rtf \\uc0\\u8220{}Move Americans to Jobs, Not the Other Way Around,\\uc0\\u8221{} {\\i{}Bloomberg.Com}, August 28, 2017, https://www.bloomberg.com/view/articles/2017-08-28/move-americans-to-jobs-not-the-other-way-around.}","plainCitation":"“Move Americans to Jobs, Not the Other Way Around,” Bloomberg.Com, August 28, 2017, https://www.bloomberg.com/view/articles/2017-08-28/move-americans-to-jobs-not-the-other-way-around."},"citationItems":[{"id":177,"uris":["http://zotero.org/groups/2046111/items/A7HWPEXQ"],"uri":["http://zotero.org/groups/2046111/items/A7HWPEXQ"],"itemData":{"id":177,"type":"article-newspaper","title":"Move Americans to Jobs, Not the Other Way Around","container-title":"Bloomberg.com","source":"www.bloomberg.com","abstract":"Give people a tax incentive to seek out opportunity.","URL":"https://www.bloomberg.com/view/articles/2017-08-28/move-americans-to-jobs-not-the-other-way-around","language":"en","issued":{"date-parts":[["2017",8,28]]},"accessed":{"date-parts":[["2018",1,15]]}}}],"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“Move Americans to Jobs, Not the Other Way Around,” </w:t>
      </w:r>
      <w:r w:rsidRPr="00655962">
        <w:rPr>
          <w:rFonts w:ascii="Calibri" w:hAnsi="Calibri" w:cs="Times New Roman"/>
          <w:i/>
          <w:iCs/>
          <w:szCs w:val="24"/>
        </w:rPr>
        <w:t>Bloomberg.Com</w:t>
      </w:r>
      <w:r w:rsidRPr="00655962">
        <w:rPr>
          <w:rFonts w:ascii="Calibri" w:hAnsi="Calibri" w:cs="Times New Roman"/>
          <w:szCs w:val="24"/>
        </w:rPr>
        <w:t>, August 28, 2017, https://www.bloomberg.com/view/articles/2017-08-28/move-americans-to-jobs-not-the-other-way-around.</w:t>
      </w:r>
      <w:r w:rsidRPr="000E25A7">
        <w:rPr>
          <w:rFonts w:ascii="Calibri" w:hAnsi="Calibri"/>
          <w:color w:val="000000"/>
        </w:rPr>
        <w:fldChar w:fldCharType="end"/>
      </w:r>
    </w:p>
  </w:endnote>
  <w:endnote w:id="23">
    <w:p w14:paraId="17CFD12E" w14:textId="2297398D"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{"citationID":"a2767iimune","properties":{"formattedCitation":"{\\rtf Heather Long, \\uc0\\u8220{}America\\uc0\\u8217{}s Forgotten Towns: Can They Be Saved or Should People Just Leave?,\\uc0\\u8221{} {\\i{}Washington Post}, January 2, 2018, sec. Wonkblog, https://www.washingtonpost.com/news/wonk/wp/2018/01/02/americas-forgotten-towns-can-they-be-saved-or-should-people-just-leave/.}","plainCitation":"Heather Long, “America’s Forgotten Towns: Can They Be Saved or Should People Just Leave?,” Washington Post, January 2, 2018, sec. Wonkblog, https://www.washingtonpost.com/news/wonk/wp/2018/01/02/americas-forgotten-towns-can-they-be-saved-or-should-people-just-leave/."},"citationItems":[{"id":163,"uris":["http://zotero.org/groups/2046111/items/NISV2KTI"],"uri":["http://zotero.org/groups/2046111/items/NISV2KTI"],"itemData":{"id":163,"type":"article-newspaper","title":"America’s forgotten towns: Can they be saved or should people just leave?","container-title":"Washington Post","section":"Wonkblog","source":"www.washingtonpost.com","abstract":"Conventional wisdom says people in dying towns should move. But Trump and Nobel prizewinner Joseph Stiglitz have different ideas.","URL":"https://www.washingtonpost.com/news/wonk/wp/2018/01/02/americas-forgotten-towns-can-they-be-saved-or-should-people-just-leave/","ISSN":"0190-8286","shortTitle":"Analysis | America’s forgotten towns","language":"en-US","author":[{"family":"Long","given":"Heather"}],"issued":{"date-parts":[["2018",1,2]]},"accessed":{"date-parts":[["2018",1,12]]}}}],"schema":"https://github.com/citation-style-language/schema/raw/master/csl-citation.json"} </w:instrText>
      </w:r>
      <w:r w:rsidRPr="000E25A7">
        <w:rPr>
          <w:rFonts w:ascii="Calibri" w:hAnsi="Calibri"/>
          <w:color w:val="000000"/>
        </w:rPr>
        <w:fldChar w:fldCharType="separate"/>
      </w:r>
      <w:r w:rsidRPr="000E25A7">
        <w:rPr>
          <w:rFonts w:ascii="Calibri" w:hAnsi="Calibri" w:cs="Times New Roman"/>
        </w:rPr>
        <w:t xml:space="preserve">Heather Long, “America’s Forgotten Towns: Can They Be Saved or Should People Just Leave?,” </w:t>
      </w:r>
      <w:r w:rsidRPr="000E25A7">
        <w:rPr>
          <w:rFonts w:ascii="Calibri" w:hAnsi="Calibri" w:cs="Times New Roman"/>
          <w:i/>
          <w:iCs/>
        </w:rPr>
        <w:t>Washington Post</w:t>
      </w:r>
      <w:r w:rsidRPr="000E25A7">
        <w:rPr>
          <w:rFonts w:ascii="Calibri" w:hAnsi="Calibri" w:cs="Times New Roman"/>
        </w:rPr>
        <w:t>, January 2, 2018, sec. Wonkblog, https://www.washingtonpost.com/news/wonk/wp/2018/01/02/americas-forgotten-towns-can-they-be-saved-or-should-people-just-leave/.</w:t>
      </w:r>
      <w:r w:rsidRPr="000E25A7">
        <w:rPr>
          <w:rFonts w:ascii="Calibri" w:hAnsi="Calibri"/>
          <w:color w:val="000000"/>
        </w:rPr>
        <w:fldChar w:fldCharType="end"/>
      </w:r>
    </w:p>
  </w:endnote>
  <w:endnote w:id="24">
    <w:p w14:paraId="1A988CAF" w14:textId="617A8ECC"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{"citationID":"a2grmv59ppv","properties":{"formattedCitation":"{\\rtf Thomas Farole, Andr\\uc0\\u233{}s Rodr\\uc0\\u237{}guez-Pose, and Michael Storper, \\uc0\\u8220{}Cohesion Policy in the European Union: Growth, Geography, Institutions,\\uc0\\u8221{} {\\i{}JCMS: Journal of Common Market Studies} 49, no. 5 (September 2011): 1089\\uc0\\u8211{}1111.}","plainCitation":"Thomas Farole, Andrés Rodríguez-Pose, and Michael Storper, “Cohesion Policy in the European Union: Growth, Geography, Institutions,” JCMS: Journal of Common Market Studies 49, no. 5 (September 2011): 1089–1111."},"citationItems":[{"id":166,"uris":["http://zotero.org/groups/2046111/items/JPS5W8YA"],"uri":["http://zotero.org/groups/2046111/items/JPS5W8YA"],"itemData":{"id":166,"type":"article-journal","title":"Cohesion policy in the European Union: growth, geography, institutions","container-title":"JCMS: Journal of Common Market Studies","page":"1089-1111","volume":"49","issue":"5","source":"eprints.lse.ac.uk","abstract":"Since the reform of the Structural Funds in 1989, the EU has made the principle of cohesion one of its key policies. Much of the language of European cohesion policy eschews the idea of trade-offs between efficiency and equity, suggesting it is possible to maximize overall growth while also achieving continuous convergence in outcomes and productivity across Europe's regions. Yet, given the rise in inter-regional disparities, it is unclear that cohesion policy has altered the pathway of development from what would have occurred in the absence of intervention. This article draws on geographical economics, institutionalist social science and endogenous growth theory, with the aim of providing a fresh look at cohesion policy. By highlighting a complex set of potential trade-offs and interrelations – overall growth and efficiency; inter-territorial equity; territorial democracy and governance capacities; and social equity within places – it revisits the rationale of cohesion policy, with particular attention to the geographical dynamics of economic development.","ISSN":"0021-9886","shortTitle":"Cohesion policy in the European Union","language":"en","author":[{"family":"Farole","given":"Thomas"},{"family":"Rodríguez-Pose","given":"Andrés"},{"family":"Storper","given":"Michael"}],"issued":{"date-parts":[["2011",9]]}}}],"schema":"https://github.com/citation-style-language/schema/raw/master/csl-citation.json"} </w:instrText>
      </w:r>
      <w:r w:rsidRPr="000E25A7">
        <w:rPr>
          <w:rFonts w:ascii="Calibri" w:hAnsi="Calibri"/>
          <w:color w:val="000000"/>
        </w:rPr>
        <w:fldChar w:fldCharType="separate"/>
      </w:r>
      <w:r w:rsidRPr="000E25A7">
        <w:rPr>
          <w:rFonts w:ascii="Calibri" w:hAnsi="Calibri" w:cs="Times New Roman"/>
        </w:rPr>
        <w:t xml:space="preserve">Thomas Farole, Andrés Rodríguez-Pose, and Michael Storper, “Cohesion Policy in the European Union: Growth, Geography, Institutions,” </w:t>
      </w:r>
      <w:r w:rsidRPr="000E25A7">
        <w:rPr>
          <w:rFonts w:ascii="Calibri" w:hAnsi="Calibri" w:cs="Times New Roman"/>
          <w:i/>
          <w:iCs/>
        </w:rPr>
        <w:t>JCMS: Journal of Common Market Studies</w:t>
      </w:r>
      <w:r w:rsidRPr="000E25A7">
        <w:rPr>
          <w:rFonts w:ascii="Calibri" w:hAnsi="Calibri" w:cs="Times New Roman"/>
        </w:rPr>
        <w:t xml:space="preserve"> 49, no. 5 (September 2011): 1089–1111.</w:t>
      </w:r>
      <w:r w:rsidRPr="000E25A7">
        <w:rPr>
          <w:rFonts w:ascii="Calibri" w:hAnsi="Calibri"/>
          <w:color w:val="000000"/>
        </w:rPr>
        <w:fldChar w:fldCharType="end"/>
      </w:r>
    </w:p>
  </w:endnote>
  <w:endnote w:id="25">
    <w:p w14:paraId="6959C72D" w14:textId="38A9BDE2"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{"citationID":"a11hdhecrlh","properties":{"formattedCitation":"{\\rtf David Castells-Quintana and Vicente Royuela, \\uc0\\u8220{}Agglomeration, Inequality and Economic Growth,\\uc0\\u8221{} {\\i{}The Annals of Regional Science} 52, no. 2 (March 1, 2014): 343\\uc0\\u8211{}66, https://doi.org/10.1007/s00168-014-0589-1.}","plainCitation":"David Castells-Quintana and Vicente Royuela, “Agglomeration, Inequality and Economic Growth,” The Annals of Regional Science 52, no. 2 (March 1, 2014): 343–66, https://doi.org/10.1007/s00168-014-0589-1."},"citationItems":[{"id":170,"uris":["http://zotero.org/groups/2046111/items/U6ULVVSE"],"uri":["http://zotero.org/groups/2046111/items/U6ULVVSE"],"itemData":{"id":170,"type":"article-journal","title":"Agglomeration, inequality and economic growth","container-title":"The Annals of Regional Science","page":"343-366","volume":"52","issue":"2","source":"link.springer.com","abstract":"Agglomeration and income inequality at country level can be both understood as concentration of physical and human capital in the process of economic development. As such, it seems pertinent to analyse their impact on economic growth considering both phenomena together. By estimating a dynamic panel specification at country level, this paper analyses how agglomeration and inequality (both their levels and their evolution) influence long-run economic growth. In line with previous findings, our results suggest that while high-inequality levels are a limiting factor for long-run growth, agglomeration processes can be associated with economic growth, at least in countries at early stages of development. Moreover, we find that the growth-enhancing benefits from agglomeration processes depend not only on the country’s level of development, but also on its initial income distribution (something, to the best of our knowledge, not considered before). In fact, probably suggesting a social dimension to congestion diseconomies, increasing agglomeration is associated with lower growth when income distribution is particularly unequal.","DOI":"10.1007/s00168-014-0589-1","ISSN":"0570-1864, 1432-0592","journalAbbreviation":"Ann Reg Sci","language":"en","author":[{"family":"Castells-Quintana","given":"David"},{"family":"Royuela","given":"Vicente"}],"issued":{"date-parts":[["2014",3,1]]}}}],"schema":"https://github.com/citation-style-language/schema/raw/master/csl-citation.json"}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David Castells-Quintana and Vicente Royuela, “Agglomeration, Inequality and Economic Growth,” </w:t>
      </w:r>
      <w:r w:rsidRPr="00655962">
        <w:rPr>
          <w:rFonts w:ascii="Calibri" w:hAnsi="Calibri" w:cs="Times New Roman"/>
          <w:i/>
          <w:iCs/>
          <w:szCs w:val="24"/>
        </w:rPr>
        <w:t>The Annals of Regional Science</w:t>
      </w:r>
      <w:r w:rsidRPr="00655962">
        <w:rPr>
          <w:rFonts w:ascii="Calibri" w:hAnsi="Calibri" w:cs="Times New Roman"/>
          <w:szCs w:val="24"/>
        </w:rPr>
        <w:t xml:space="preserve"> 52, no. 2 (March 1, 2014): 343–66, https://doi.org/10.1007/s00168-014-0589-1.</w:t>
      </w:r>
      <w:r w:rsidRPr="000E25A7">
        <w:rPr>
          <w:rFonts w:ascii="Calibri" w:hAnsi="Calibri"/>
          <w:color w:val="000000"/>
        </w:rPr>
        <w:fldChar w:fldCharType="end"/>
      </w:r>
    </w:p>
  </w:endnote>
  <w:endnote w:id="26">
    <w:p w14:paraId="1C4B9EC9" w14:textId="1AF6D28E" w:rsidR="009A7EF2" w:rsidRDefault="009A7EF2">
      <w:pPr>
        <w:pStyle w:val="EndnoteText"/>
      </w:pPr>
      <w:r>
        <w:rPr>
          <w:rStyle w:val="EndnoteReference"/>
        </w:rPr>
        <w:endnoteRef/>
      </w:r>
      <w:r>
        <w:t xml:space="preserve"> </w:t>
      </w:r>
      <w:r>
        <w:fldChar w:fldCharType="begin"/>
      </w:r>
      <w:r w:rsidR="008C6B08">
        <w:instrText xml:space="preserve"> ADDIN ZOTERO_ITEM CSL_CITATION {"citationID":"KQ1cFEMp","properties":{"formattedCitation":"{\\rtf Benjamin Friedman, {\\i{}The Moral Consequences of Economic Growth} (Vintage, 2005), https://scholar.harvard.edu/bfriedman/pages/moral-consequences-economic-growth.}","plainCitation":"Benjamin Friedman, The Moral Consequences of Economic Growth (Vintage, 2005), https://scholar.harvard.edu/bfriedman/pages/moral-consequences-economic-growth."},"citationItems":[{"id":279,"uris":["http://zotero.org/groups/2046111/items/5VNGSMV5"],"uri":["http://zotero.org/groups/2046111/items/5VNGSMV5"],"itemData":{"id":279,"type":"book","title":"The Moral Consequences of Economic Growth","publisher":"Vintage","URL":"https://scholar.harvard.edu/bfriedman/pages/moral-consequences-economic-growth","language":"en","author":[{"family":"Friedman","given":"Benjamin"}],"issued":{"date-parts":[["2005"]]},"accessed":{"date-parts":[["2018",2,2]]}}}],"schema":"https://github.com/citation-style-language/schema/raw/master/csl-citation.json"} </w:instrText>
      </w:r>
      <w:r>
        <w:fldChar w:fldCharType="separate"/>
      </w:r>
      <w:r w:rsidR="008C6B08" w:rsidRPr="008C6B08">
        <w:rPr>
          <w:rFonts w:ascii="Calibri" w:hAnsi="Calibri" w:cs="Times New Roman"/>
          <w:szCs w:val="24"/>
        </w:rPr>
        <w:t xml:space="preserve">Benjamin Friedman, </w:t>
      </w:r>
      <w:r w:rsidR="008C6B08" w:rsidRPr="008C6B08">
        <w:rPr>
          <w:rFonts w:ascii="Calibri" w:hAnsi="Calibri" w:cs="Times New Roman"/>
          <w:i/>
          <w:iCs/>
          <w:szCs w:val="24"/>
        </w:rPr>
        <w:t>The Moral Consequences of Economic Growth</w:t>
      </w:r>
      <w:r w:rsidR="008C6B08" w:rsidRPr="008C6B08">
        <w:rPr>
          <w:rFonts w:ascii="Calibri" w:hAnsi="Calibri" w:cs="Times New Roman"/>
          <w:szCs w:val="24"/>
        </w:rPr>
        <w:t xml:space="preserve"> (Vintage, 2005), https://scholar.harvard.edu/bfriedman/pages/moral-consequences-economic-growth.</w:t>
      </w:r>
      <w:r>
        <w:fldChar w:fldCharType="end"/>
      </w:r>
    </w:p>
  </w:endnote>
  <w:endnote w:id="27">
    <w:p w14:paraId="053B69F5" w14:textId="4AA559E7" w:rsidR="009A7EF2" w:rsidRDefault="009A7EF2">
      <w:pPr>
        <w:pStyle w:val="EndnoteText"/>
      </w:pPr>
      <w:r>
        <w:rPr>
          <w:rStyle w:val="EndnoteReference"/>
        </w:rPr>
        <w:endnoteRef/>
      </w:r>
      <w:r>
        <w:t xml:space="preserve"> See, e.g., </w:t>
      </w:r>
      <w:r>
        <w:fldChar w:fldCharType="begin"/>
      </w:r>
      <w:r w:rsidR="008C6B08">
        <w:instrText xml:space="preserve"> ADDIN ZOTERO_ITEM CSL_CITATION {"citationID":"AuUIxwAU","properties":{"formattedCitation":"{\\rtf {\\i{}The Politics of Resentment}, accessed February 1, 2018, http://www.press.uchicago.edu/ucp/books/book/chicago/P/bo22879533.html.}","plainCitation":"The Politics of Resentment, accessed February 1, 2018, http://www.press.uchicago.edu/ucp/books/book/chicago/P/bo22879533.html.","dontUpdate":true},"citationItems":[{"id":270,"uris":["http://zotero.org/groups/2046111/items/LGF8TBTA"],"uri":["http://zotero.org/groups/2046111/items/LGF8TBTA"],"itemData":{"id":270,"type":"book","title":"The Politics of Resentment: Rural Consciousness in Wisconsin and the Rise of Scott Walker","publisher":"University of Chicago Press","source":"www.press.uchicago.edu","abstract":"Since the election of Scott Walker, Wisconsin has been seen as ground zero for debates about the appropriate role of government in the wake of the Great Recession. In a time of rising inequality, Walker not only survived a bitterly contested recall that brought thousands of protesters to Capitol Square, he was subsequently reelected. How could this happen? How is it that the very people who stand to benefit from strong government services not only vote against the candidates who support those services but are vehemently against the very idea of big government?             With The Politics of Resentment, Katherine J. Cramer uncovers an oft-overlooked piece of the puzzle: rural political consciousness and the resentment of the “liberal elite.” Rural voters are distrustful that politicians will respect the distinct values of their communities and allocate a fair share of resources. What can look like disagreements about basic political principles are therefore actually rooted in something even more fundamental: who we are as people and how closely a candidate’s social identity matches our own. Using Scott Walker and Wisconsin’s prominent and protracted debate about the appropriate role of government, Cramer illuminates the contours of rural consciousness, showing how place-based identities profoundly influence how people understand politics, regardless of whether urban politicians and their supporters really do shortchange or look down on those living in the country.The Politics of Resentment shows that rural resentment—no less than partisanship, race, or class—plays a major role in dividing America against itself.","URL":"http://www.press.uchicago.edu/ucp/books/book/chicago/P/bo22879533.html","author":[{"family":"Cramer","given":"Katherine J."}],"issued":{"date-parts":[["2016"]]},"accessed":{"date-parts":[["2018",2,1]]}}}],"schema":"https://github.com/citation-style-language/schema/raw/master/csl-citation.json"} </w:instrText>
      </w:r>
      <w:r>
        <w:fldChar w:fldCharType="separate"/>
      </w:r>
      <w:r w:rsidRPr="00241307">
        <w:rPr>
          <w:rFonts w:ascii="Calibri" w:hAnsi="Calibri" w:cs="Times New Roman"/>
          <w:i/>
          <w:iCs/>
          <w:szCs w:val="24"/>
        </w:rPr>
        <w:t>The Politics of Resentment</w:t>
      </w:r>
      <w:r w:rsidRPr="00241307">
        <w:rPr>
          <w:rFonts w:ascii="Calibri" w:hAnsi="Calibri" w:cs="Times New Roman"/>
          <w:szCs w:val="24"/>
        </w:rPr>
        <w:t>, accessed February 1, 2018, http://www.press.uchicago.edu/ucp/books/book/chicago/P/bo22879533.html</w:t>
      </w:r>
      <w:r>
        <w:fldChar w:fldCharType="end"/>
      </w:r>
      <w:r>
        <w:t xml:space="preserve">, and </w:t>
      </w:r>
      <w:r>
        <w:fldChar w:fldCharType="begin"/>
      </w:r>
      <w:r w:rsidR="008C6B08">
        <w:instrText xml:space="preserve"> ADDIN ZOTERO_ITEM CSL_CITATION {"citationID":"dl3nAg0C","properties":{"formattedCitation":"{\\rtf Arlie Russell Hochschild, {\\i{}Strangers in Their Own Land} (The New Press, 2016), https://thenewpress.com/books/strangers-their-own-land.}","plainCitation":"Arlie Russell Hochschild, Strangers in Their Own Land (The New Press, 2016), https://thenewpress.com/books/strangers-their-own-land."},"citationItems":[{"id":272,"uris":["http://zotero.org/groups/2046111/items/JCNVNPBB"],"uri":["http://zotero.org/groups/2046111/items/JCNVNPBB"],"itemData":{"id":272,"type":"book","title":"Strangers in Their Own Land","publisher":"The New Press","abstract":"When Donald Trump won the 2016 presidential election, a bewildered nation turned to Strangers in Their Own Land to understand what Trump voters were thinking when they cast their ballots. Arlie Hochschild, one of the most influential sociologists of her generation, had spent the preceding five years immersed in the community around Lake Charles, Louisiana, a Tea Party stronghold. As Jedediah Purdy put it in the New Republic, “Hochschild is fascinated by how people make sense of their lives. . . . [Her] attentive, detailed portraits . . .","URL":"https://thenewpress.com/books/strangers-their-own-land","language":"en","author":[{"family":"Hochschild","given":"Arlie Russell"}],"issued":{"date-parts":[["2016"]]},"accessed":{"date-parts":[["2018",2,1]]}}}],"schema":"https://github.com/citation-style-language/schema/raw/master/csl-citation.json"} </w:instrText>
      </w:r>
      <w:r>
        <w:fldChar w:fldCharType="separate"/>
      </w:r>
      <w:r w:rsidR="008C6B08" w:rsidRPr="008C6B08">
        <w:rPr>
          <w:rFonts w:ascii="Calibri" w:hAnsi="Calibri" w:cs="Times New Roman"/>
          <w:szCs w:val="24"/>
        </w:rPr>
        <w:t xml:space="preserve">Arlie Russell </w:t>
      </w:r>
      <w:proofErr w:type="spellStart"/>
      <w:r w:rsidR="008C6B08" w:rsidRPr="008C6B08">
        <w:rPr>
          <w:rFonts w:ascii="Calibri" w:hAnsi="Calibri" w:cs="Times New Roman"/>
          <w:szCs w:val="24"/>
        </w:rPr>
        <w:t>Hochschild</w:t>
      </w:r>
      <w:proofErr w:type="spellEnd"/>
      <w:r w:rsidR="008C6B08" w:rsidRPr="008C6B08">
        <w:rPr>
          <w:rFonts w:ascii="Calibri" w:hAnsi="Calibri" w:cs="Times New Roman"/>
          <w:szCs w:val="24"/>
        </w:rPr>
        <w:t xml:space="preserve">, </w:t>
      </w:r>
      <w:r w:rsidR="008C6B08" w:rsidRPr="008C6B08">
        <w:rPr>
          <w:rFonts w:ascii="Calibri" w:hAnsi="Calibri" w:cs="Times New Roman"/>
          <w:i/>
          <w:iCs/>
          <w:szCs w:val="24"/>
        </w:rPr>
        <w:t>Strangers in Their Own Land</w:t>
      </w:r>
      <w:r w:rsidR="008C6B08" w:rsidRPr="008C6B08">
        <w:rPr>
          <w:rFonts w:ascii="Calibri" w:hAnsi="Calibri" w:cs="Times New Roman"/>
          <w:szCs w:val="24"/>
        </w:rPr>
        <w:t xml:space="preserve"> (The New Press, 2016), https://thenewpress.com/books/strangers-their-own-land.</w:t>
      </w:r>
      <w:r>
        <w:fldChar w:fldCharType="end"/>
      </w:r>
    </w:p>
  </w:endnote>
  <w:endnote w:id="28">
    <w:p w14:paraId="343AECA1" w14:textId="73EE75D4" w:rsidR="009A7EF2" w:rsidRPr="000E25A7" w:rsidRDefault="009A7EF2">
      <w:pPr>
        <w:pStyle w:val="EndnoteText"/>
      </w:pPr>
      <w:r w:rsidRPr="000E25A7">
        <w:rPr>
          <w:rStyle w:val="EndnoteReference"/>
        </w:rPr>
        <w:endnoteRef/>
      </w:r>
      <w:r w:rsidRPr="000E25A7">
        <w:t xml:space="preserve"> </w:t>
      </w:r>
      <w:r w:rsidRPr="000E25A7">
        <w:fldChar w:fldCharType="begin"/>
      </w:r>
      <w:r>
        <w:instrText xml:space="preserve"> ADDIN ZOTERO_ITEM CSL_CITATION {"citationID":"EOAEqhaX","properties":{"formattedCitation":"{\\rtf Mark Muro and Sifan Liu, \\uc0\\u8220{}Another Clinton-Trump Divide: High-Output America vs Low-Output America,\\uc0\\u8221{} {\\i{}Brookings} (blog), November 29, 2016, https://www.brookings.edu/blog/the-avenue/2016/11/29/another-clinton-trump-divide-high-output-america-vs-low-output-america/.}","plainCitation":"Mark Muro and Sifan Liu, “Another Clinton-Trump Divide: High-Output America vs Low-Output America,” Brookings (blog), November 29, 2016, https://www.brookings.edu/blog/the-avenue/2016/11/29/another-clinton-trump-divide-high-output-america-vs-low-output-america/."},"citationItems":[{"id":226,"uris":["http://zotero.org/groups/2046111/items/CUMZMUX7"],"uri":["http://zotero.org/groups/2046111/items/CUMZMUX7"],"itemData":{"id":226,"type":"post-weblog","title":"Another Clinton-Trump divide: High-output America vs low-output America","container-title":"Brookings","abstract":"While looking at number of influences on the presidential vote outcome, we found that in a year of massive divides, one particular economic split stands out. With few exceptions Clinton won every large-sized county economy in the country.","URL":"https://www.brookings.edu/blog/the-avenue/2016/11/29/another-clinton-trump-divide-high-output-america-vs-low-output-america/","shortTitle":"Another Clinton-Trump divide","language":"en-US","author":[{"family":"Muro","given":"Mark"},{"family":"Liu","given":"Sifan"}],"issued":{"date-parts":[["2016",11,29]]},"accessed":{"date-parts":[["2018",1,16]]}}}],"schema":"https://github.com/citation-style-language/schema/raw/master/csl-citation.json"} </w:instrText>
      </w:r>
      <w:r w:rsidRPr="000E25A7">
        <w:fldChar w:fldCharType="separate"/>
      </w:r>
      <w:r w:rsidRPr="00655962">
        <w:rPr>
          <w:rFonts w:ascii="Calibri" w:hAnsi="Calibri" w:cs="Times New Roman"/>
          <w:szCs w:val="24"/>
        </w:rPr>
        <w:t xml:space="preserve">Mark Muro and Sifan Liu, “Another Clinton-Trump Divide: High-Output America vs Low-Output America,” </w:t>
      </w:r>
      <w:r w:rsidRPr="00655962">
        <w:rPr>
          <w:rFonts w:ascii="Calibri" w:hAnsi="Calibri" w:cs="Times New Roman"/>
          <w:i/>
          <w:iCs/>
          <w:szCs w:val="24"/>
        </w:rPr>
        <w:t>Brookings</w:t>
      </w:r>
      <w:r w:rsidRPr="00655962">
        <w:rPr>
          <w:rFonts w:ascii="Calibri" w:hAnsi="Calibri" w:cs="Times New Roman"/>
          <w:szCs w:val="24"/>
        </w:rPr>
        <w:t xml:space="preserve"> (blog), November 29, 2016, https://www.brookings.edu/blog/the-avenue/2016/11/29/another-clinton-trump-divide-high-output-america-vs-low-output-america/.</w:t>
      </w:r>
      <w:r w:rsidRPr="000E25A7">
        <w:fldChar w:fldCharType="end"/>
      </w:r>
    </w:p>
  </w:endnote>
  <w:endnote w:id="29">
    <w:p w14:paraId="5394A9D0" w14:textId="6CC9B45B"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{"citationID":"a1ulsa8js7l","properties":{"formattedCitation":"{\\rtf Michael Kruse, \\uc0\\u8220{}Heartland Democrats to Washington: You\\uc0\\u8217{}re Killing Us,\\uc0\\u8221{} POLITICO Magazine, accessed January 12, 2018, http://politi.co/2qShQfc.}","plainCitation":"Michael Kruse, “Heartland Democrats to Washington: You’re Killing Us,” POLITICO Magazine, accessed January 12, 2018, http://politi.co/2qShQfc."},"citationItems":[{"id":172,"uris":["http://zotero.org/groups/2046111/items/FADW92P3"],"uri":["http://zotero.org/groups/2046111/items/FADW92P3"],"itemData":{"id":172,"type":"webpage","title":"Heartland Democrats to Washington: You’re Killing Us","container-title":"POLITICO Magazine","abstract":"A new report blames an elitist national party for alienating vast swaths of once reliable voters. If the party doesn’t win them back, it could spell disaster in 2020.","URL":"http://politi.co/2qShQfc","shortTitle":"Heartland Democrats to Washington","author":[{"family":"Kruse","given":"Michael"}],"accessed":{"date-parts":[["2018",1,12]]}}}],"schema":"https://github.com/citation-style-language/schema/raw/master/csl-citation.json"}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Michael Kruse, “Heartland Democrats to Washington: You’re Killing Us,” POLITICO Magazine, accessed January 12, 2018, http://politi.co/2qShQfc.</w:t>
      </w:r>
      <w:r w:rsidRPr="000E25A7">
        <w:rPr>
          <w:rFonts w:ascii="Calibri" w:hAnsi="Calibri"/>
          <w:color w:val="000000"/>
        </w:rPr>
        <w:fldChar w:fldCharType="end"/>
      </w:r>
    </w:p>
  </w:endnote>
  <w:endnote w:id="30">
    <w:p w14:paraId="0EBE04C5" w14:textId="7A769415" w:rsidR="00D0446C" w:rsidRDefault="00D0446C">
      <w:pPr>
        <w:pStyle w:val="EndnoteText"/>
      </w:pPr>
      <w:r>
        <w:rPr>
          <w:rStyle w:val="EndnoteReference"/>
        </w:rPr>
        <w:endnoteRef/>
      </w:r>
      <w:r>
        <w:t xml:space="preserve"> </w:t>
      </w:r>
      <w:r>
        <w:fldChar w:fldCharType="begin"/>
      </w:r>
      <w:r>
        <w:instrText xml:space="preserve"> ADDIN ZOTERO_ITEM CSL_CITATION {"citationID":"y2nKMerc","properties":{"formattedCitation":"{\\rtf Peter Hirshberg, Dale Dougherty, and Marcia Kadanoff, {\\i{}Maker City: A Practical Guide to Reinvention in American Cities} (Maker Media, 2016), https://makercity.com/book/.}","plainCitation":"Peter Hirshberg, Dale Dougherty, and Marcia Kadanoff, Maker City: A Practical Guide to Reinvention in American Cities (Maker Media, 2016), https://makercity.com/book/."},"citationItems":[{"id":330,"uris":["http://zotero.org/groups/2046111/items/2EJGZP7J"],"uri":["http://zotero.org/groups/2046111/items/2EJGZP7J"],"itemData":{"id":330,"type":"book","title":"Maker City: A Practical Guide to Reinvention in American Cities","publisher":"Maker Media","URL":"https://makercity.com/book/","language":"en-US","author":[{"family":"Hirshberg","given":"Peter"},{"family":"Dougherty","given":"Dale"},{"family":"Kadanoff","given":"Marcia"}],"issued":{"date-parts":[["2016"]]},"accessed":{"date-parts":[["2018",2,16]]}}}],"schema":"https://github.com/citation-style-language/schema/raw/master/csl-citation.json"} </w:instrText>
      </w:r>
      <w:r>
        <w:fldChar w:fldCharType="separate"/>
      </w:r>
      <w:r w:rsidRPr="00D0446C">
        <w:rPr>
          <w:rFonts w:ascii="Calibri" w:hAnsi="Calibri" w:cs="Times New Roman"/>
          <w:szCs w:val="24"/>
        </w:rPr>
        <w:t xml:space="preserve">Peter Hirshberg, Dale Dougherty, and Marcia Kadanoff, </w:t>
      </w:r>
      <w:r w:rsidRPr="00D0446C">
        <w:rPr>
          <w:rFonts w:ascii="Calibri" w:hAnsi="Calibri" w:cs="Times New Roman"/>
          <w:i/>
          <w:iCs/>
          <w:szCs w:val="24"/>
        </w:rPr>
        <w:t>Maker City: A Practical Guide to Reinvention in American Cities</w:t>
      </w:r>
      <w:r w:rsidRPr="00D0446C">
        <w:rPr>
          <w:rFonts w:ascii="Calibri" w:hAnsi="Calibri" w:cs="Times New Roman"/>
          <w:szCs w:val="24"/>
        </w:rPr>
        <w:t xml:space="preserve"> (Maker Media, 2016), https://makercity.com/book/.</w:t>
      </w:r>
      <w:r>
        <w:fldChar w:fldCharType="end"/>
      </w:r>
    </w:p>
  </w:endnote>
  <w:endnote w:id="31">
    <w:p w14:paraId="26784759" w14:textId="7AEBD1A5" w:rsidR="00D0446C" w:rsidRDefault="00D0446C">
      <w:pPr>
        <w:pStyle w:val="EndnoteText"/>
      </w:pPr>
      <w:r>
        <w:rPr>
          <w:rStyle w:val="EndnoteReference"/>
        </w:rPr>
        <w:endnoteRef/>
      </w:r>
      <w:r>
        <w:t xml:space="preserve"> </w:t>
      </w:r>
      <w:r>
        <w:fldChar w:fldCharType="begin"/>
      </w:r>
      <w:r>
        <w:instrText xml:space="preserve"> ADDIN ZOTERO_ITEM CSL_CITATION {"citationID":"A8PiFksJ","properties":{"formattedCitation":"{\\rtf Antoine van Agtmael and Fred Bakker, {\\i{}The Smartest Places on Earth: Why Rustbelts Are the Emerging Hotspots of Global Innovation} (PublicAffairs, 2016).}","plainCitation":"Antoine van Agtmael and Fred Bakker, The Smartest Places on Earth: Why Rustbelts Are the Emerging Hotspots of Global Innovation (PublicAffairs, 2016)."},"citationItems":[{"id":332,"uris":["http://zotero.org/groups/2046111/items/MIUJLYM5"],"uri":["http://zotero.org/groups/2046111/items/MIUJLYM5"],"itemData":{"id":332,"type":"book","title":"The Smartest Places on Earth: Why Rustbelts are the Emerging Hotspots of Global Innovation","publisher":"PublicAffairs","author":[{"family":"Agtmael","given":"Antoine","non-dropping-particle":"van"},{"family":"Bakker","given":"Fred"}],"issued":{"date-parts":[["2016"]]}}}],"schema":"https://github.com/citation-style-language/schema/raw/master/csl-citation.json"} </w:instrText>
      </w:r>
      <w:r>
        <w:fldChar w:fldCharType="separate"/>
      </w:r>
      <w:r w:rsidRPr="00D0446C">
        <w:rPr>
          <w:rFonts w:ascii="Calibri" w:hAnsi="Calibri" w:cs="Times New Roman"/>
          <w:szCs w:val="24"/>
        </w:rPr>
        <w:t xml:space="preserve">Antoine van Agtmael and Fred Bakker, </w:t>
      </w:r>
      <w:r w:rsidRPr="00D0446C">
        <w:rPr>
          <w:rFonts w:ascii="Calibri" w:hAnsi="Calibri" w:cs="Times New Roman"/>
          <w:i/>
          <w:iCs/>
          <w:szCs w:val="24"/>
        </w:rPr>
        <w:t>The Smartest Places on Earth: Why Rustbelts Are the Emerging Hotspots of Global Innovation</w:t>
      </w:r>
      <w:r w:rsidRPr="00D0446C">
        <w:rPr>
          <w:rFonts w:ascii="Calibri" w:hAnsi="Calibri" w:cs="Times New Roman"/>
          <w:szCs w:val="24"/>
        </w:rPr>
        <w:t xml:space="preserve"> (PublicAffairs, 2016).</w:t>
      </w:r>
      <w:r>
        <w:fldChar w:fldCharType="end"/>
      </w:r>
    </w:p>
  </w:endnote>
  <w:endnote w:id="32">
    <w:p w14:paraId="6002CE58" w14:textId="7FF464BA" w:rsidR="009A7EF2" w:rsidRDefault="009A7EF2" w:rsidP="008F3712">
      <w:pPr>
        <w:pStyle w:val="EndnoteText"/>
      </w:pPr>
      <w:r>
        <w:rPr>
          <w:rStyle w:val="EndnoteReference"/>
        </w:rPr>
        <w:endnoteRef/>
      </w:r>
      <w:r>
        <w:t xml:space="preserve"> </w:t>
      </w:r>
      <w:r>
        <w:fldChar w:fldCharType="begin"/>
      </w:r>
      <w:r w:rsidR="008C6B08">
        <w:instrText xml:space="preserve"> ADDIN ZOTERO_ITEM CSL_CITATION {"citationID":"da2oPcEZ","properties":{"formattedCitation":"{\\rtf Aaron Renn, \\uc0\\u8220{}Ed Glaeser on the Future of the American Heartland,\\uc0\\u8221{} The Urbanophile, October 9, 2017, http://www.urbanophile.com/2017/10/09/ed-glaeser-on-the-future-of-the-american-heartland/.}","plainCitation":"Aaron Renn, “Ed Glaeser on the Future of the American Heartland,” The Urbanophile, October 9, 2017, http://www.urbanophile.com/2017/10/09/ed-glaeser-on-the-future-of-the-american-heartland/."},"citationItems":[{"id":259,"uris":["http://zotero.org/groups/2046111/items/QBBYPMPP"],"uri":["http://zotero.org/groups/2046111/items/QBBYPMPP"],"itemData":{"id":259,"type":"webpage","title":"Ed Glaeser on the Future of the American Heartland","container-title":"The Urbanophile","abstract":"Economist Ed Glaeser delivers the annual James Q. Wilson lecture on policy at the Manhattan Institute. This year he talked about the future of the American heartland. He has some interesting framew…","URL":"http://www.urbanophile.com/2017/10/09/ed-glaeser-on-the-future-of-the-american-heartland/","language":"en-US","author":[{"family":"Renn","given":"Aaron"}],"issued":{"date-parts":[["2017",10,9]]},"accessed":{"date-parts":[["2018",1,18]]}}}],"schema":"https://github.com/citation-style-language/schema/raw/master/csl-citation.json"} </w:instrText>
      </w:r>
      <w:r>
        <w:fldChar w:fldCharType="separate"/>
      </w:r>
      <w:r w:rsidR="008C6B08" w:rsidRPr="008C6B08">
        <w:rPr>
          <w:rFonts w:ascii="Calibri" w:hAnsi="Calibri" w:cs="Times New Roman"/>
          <w:szCs w:val="24"/>
        </w:rPr>
        <w:t xml:space="preserve">Aaron </w:t>
      </w:r>
      <w:proofErr w:type="spellStart"/>
      <w:r w:rsidR="008C6B08" w:rsidRPr="008C6B08">
        <w:rPr>
          <w:rFonts w:ascii="Calibri" w:hAnsi="Calibri" w:cs="Times New Roman"/>
          <w:szCs w:val="24"/>
        </w:rPr>
        <w:t>Renn</w:t>
      </w:r>
      <w:proofErr w:type="spellEnd"/>
      <w:r w:rsidR="008C6B08" w:rsidRPr="008C6B08">
        <w:rPr>
          <w:rFonts w:ascii="Calibri" w:hAnsi="Calibri" w:cs="Times New Roman"/>
          <w:szCs w:val="24"/>
        </w:rPr>
        <w:t xml:space="preserve">, “Ed </w:t>
      </w:r>
      <w:proofErr w:type="spellStart"/>
      <w:r w:rsidR="008C6B08" w:rsidRPr="008C6B08">
        <w:rPr>
          <w:rFonts w:ascii="Calibri" w:hAnsi="Calibri" w:cs="Times New Roman"/>
          <w:szCs w:val="24"/>
        </w:rPr>
        <w:t>Glaeser</w:t>
      </w:r>
      <w:proofErr w:type="spellEnd"/>
      <w:r w:rsidR="008C6B08" w:rsidRPr="008C6B08">
        <w:rPr>
          <w:rFonts w:ascii="Calibri" w:hAnsi="Calibri" w:cs="Times New Roman"/>
          <w:szCs w:val="24"/>
        </w:rPr>
        <w:t xml:space="preserve"> on the Future of the American Heartland,” The </w:t>
      </w:r>
      <w:proofErr w:type="spellStart"/>
      <w:r w:rsidR="008C6B08" w:rsidRPr="008C6B08">
        <w:rPr>
          <w:rFonts w:ascii="Calibri" w:hAnsi="Calibri" w:cs="Times New Roman"/>
          <w:szCs w:val="24"/>
        </w:rPr>
        <w:t>Urbanophile</w:t>
      </w:r>
      <w:proofErr w:type="spellEnd"/>
      <w:r w:rsidR="008C6B08" w:rsidRPr="008C6B08">
        <w:rPr>
          <w:rFonts w:ascii="Calibri" w:hAnsi="Calibri" w:cs="Times New Roman"/>
          <w:szCs w:val="24"/>
        </w:rPr>
        <w:t>, October 9, 2017, http://www.urbanophile.com/2017/10/09/ed-glaeser-on-the-future-of-the-american-heartland/.</w:t>
      </w:r>
      <w:r>
        <w:fldChar w:fldCharType="end"/>
      </w:r>
    </w:p>
  </w:endnote>
  <w:endnote w:id="33">
    <w:p w14:paraId="66B2EECB" w14:textId="77777777" w:rsidR="009A7EF2" w:rsidRDefault="009A7EF2" w:rsidP="008F3712">
      <w:pPr>
        <w:pStyle w:val="EndnoteText"/>
      </w:pPr>
      <w:r>
        <w:rPr>
          <w:rStyle w:val="EndnoteReference"/>
        </w:rPr>
        <w:endnoteRef/>
      </w:r>
      <w:r>
        <w:t xml:space="preserve"> </w:t>
      </w:r>
      <w:r>
        <w:fldChar w:fldCharType="begin"/>
      </w:r>
      <w:r>
        <w:instrText xml:space="preserve"> ADDIN ZOTERO_ITEM CSL_CITATION {"citationID":"amvv7tn8fa","properties":{"formattedCitation":"{\\rtf Simeon Alder, David Lagakos, and Lee Ohanian, \\uc0\\u8220{}Competitive Pressure and the Decline of the Rust Belt: A Macroeconomic Analysis,\\uc0\\u8221{} Working Paper (National Bureau of Economic Research, October 2014), https://doi.org/10.3386/w20538.}","plainCitation":"Simeon Alder, David Lagakos, and Lee Ohanian, “Competitive Pressure and the Decline of the Rust Belt: A Macroeconomic Analysis,” Working Paper (National Bureau of Economic Research, October 2014), https://doi.org/10.3386/w20538."},"citationItems":[{"id":182,"uris":["http://zotero.org/groups/2046111/items/JJMD4AKE"],"uri":["http://zotero.org/groups/2046111/items/JJMD4AKE"],"itemData":{"id":182,"type":"report","title":"Competitive Pressure and the Decline of the Rust Belt: A Macroeconomic Analysis","publisher":"National Bureau of Economic Research","genre":"Working Paper","source":"National Bureau of Economic Research","abstract":"No region of the United States fared worse over the postwar period than the \"Rust Belt,\" the heavy manufacturing region bordering the Great Lakes. This paper hypothesizes that the Rust Belt declined in large part due to a lack of competitive pressure in its labor and output markets. We formalize this thesis in a two-region dynamic general equilibrium model, in which productivity growth and regional employment shares are determined by the extent of competition. Quantitatively, the model accounts for much of the large secular decline in the Rust Belt's employment share before the 1980s, and the relative stabilization of the Rust Belt since then, as competitive pressure increased.","URL":"http://www.nber.org/papers/w20538","note":"DOI: 10.3386/w20538","number":"20538","shortTitle":"Competitive Pressure and the Decline of the Rust Belt","author":[{"family":"Alder","given":"Simeon"},{"family":"Lagakos","given":"David"},{"family":"Ohanian","given":"Lee"}],"issued":{"date-parts":[["2014",10]]},"accessed":{"date-parts":[["2018",1,15]]}}}],"schema":"https://github.com/citation-style-language/schema/raw/master/csl-citation.json"} </w:instrText>
      </w:r>
      <w:r>
        <w:fldChar w:fldCharType="separate"/>
      </w:r>
      <w:r w:rsidRPr="00655962">
        <w:rPr>
          <w:rFonts w:ascii="Calibri" w:hAnsi="Calibri" w:cs="Times New Roman"/>
          <w:szCs w:val="24"/>
        </w:rPr>
        <w:t>Simeon Alder, David Lagakos, and Lee Ohanian, “Competitive Pressure and the Decline of the Rust Belt: A Macroeconomic Analysis,” Working Paper (National Bureau of Economic Research, October 2014), https://doi.org/10.3386/w20538.</w:t>
      </w:r>
      <w:r>
        <w:fldChar w:fldCharType="end"/>
      </w:r>
    </w:p>
  </w:endnote>
  <w:endnote w:id="34">
    <w:p w14:paraId="797FC001" w14:textId="39721027" w:rsidR="009A7EF2" w:rsidRDefault="009A7EF2" w:rsidP="008F3712">
      <w:pPr>
        <w:pStyle w:val="EndnoteText"/>
      </w:pPr>
      <w:r>
        <w:rPr>
          <w:rStyle w:val="EndnoteReference"/>
        </w:rPr>
        <w:endnoteRef/>
      </w:r>
      <w:r>
        <w:t xml:space="preserve"> </w:t>
      </w:r>
      <w:r>
        <w:fldChar w:fldCharType="begin"/>
      </w:r>
      <w:r w:rsidR="008C6B08">
        <w:instrText xml:space="preserve"> ADDIN ZOTERO_ITEM CSL_CITATION {"citationID":"atrngacoo5","properties":{"formattedCitation":"{\\rtf Richard Rothstein, {\\i{}The Color of Law: A Forgotten History of How Our Government Segregated America} (Liveright, 2017), http://www.epi.org/publication/the-color-of-law-a-forgotten-history-of-how-our-government-segregated-america/.}","plainCitation":"Richard Rothstein, The Color of Law: A Forgotten History of How Our Government Segregated America (Liveright, 2017), http://www.epi.org/publication/the-color-of-law-a-forgotten-history-of-how-our-government-segregated-america/."},"citationItems":[{"id":179,"uris":["http://zotero.org/groups/2046111/items/B33AMTS8"],"uri":["http://zotero.org/groups/2046111/items/B33AMTS8"],"itemData":{"id":179,"type":"book","title":"The Color of Law: A Forgotten History of How Our Government Segregated America","publisher":"Liveright","URL":"http://www.epi.org/publication/the-color-of-law-a-forgotten-history-of-how-our-government-segregated-america/","shortTitle":"The Color of Law","language":"en-US","author":[{"family":"Rothstein","given":"Richard"}],"issued":{"date-parts":[["2017"]]},"accessed":{"date-parts":[["2018",1,15]]}}}],"schema":"https://github.com/citation-style-language/schema/raw/master/csl-citation.json"} </w:instrText>
      </w:r>
      <w:r>
        <w:fldChar w:fldCharType="separate"/>
      </w:r>
      <w:r w:rsidR="008C6B08" w:rsidRPr="008C6B08">
        <w:rPr>
          <w:rFonts w:ascii="Calibri" w:hAnsi="Calibri" w:cs="Times New Roman"/>
          <w:szCs w:val="24"/>
        </w:rPr>
        <w:t xml:space="preserve">Richard Rothstein, </w:t>
      </w:r>
      <w:r w:rsidR="008C6B08" w:rsidRPr="008C6B08">
        <w:rPr>
          <w:rFonts w:ascii="Calibri" w:hAnsi="Calibri" w:cs="Times New Roman"/>
          <w:i/>
          <w:iCs/>
          <w:szCs w:val="24"/>
        </w:rPr>
        <w:t>The Color of Law: A Forgotten History of How Our Government Segregated America</w:t>
      </w:r>
      <w:r w:rsidR="008C6B08" w:rsidRPr="008C6B08">
        <w:rPr>
          <w:rFonts w:ascii="Calibri" w:hAnsi="Calibri" w:cs="Times New Roman"/>
          <w:szCs w:val="24"/>
        </w:rPr>
        <w:t xml:space="preserve"> (</w:t>
      </w:r>
      <w:proofErr w:type="spellStart"/>
      <w:r w:rsidR="008C6B08" w:rsidRPr="008C6B08">
        <w:rPr>
          <w:rFonts w:ascii="Calibri" w:hAnsi="Calibri" w:cs="Times New Roman"/>
          <w:szCs w:val="24"/>
        </w:rPr>
        <w:t>Liveright</w:t>
      </w:r>
      <w:proofErr w:type="spellEnd"/>
      <w:r w:rsidR="008C6B08" w:rsidRPr="008C6B08">
        <w:rPr>
          <w:rFonts w:ascii="Calibri" w:hAnsi="Calibri" w:cs="Times New Roman"/>
          <w:szCs w:val="24"/>
        </w:rPr>
        <w:t>, 2017), http://www.epi.org/publication/the-color-of-law-a-forgotten-history-of-how-our-government-segregated-america/.</w:t>
      </w:r>
      <w:r>
        <w:fldChar w:fldCharType="end"/>
      </w:r>
    </w:p>
  </w:endnote>
  <w:endnote w:id="35">
    <w:p w14:paraId="09437BCA" w14:textId="1C10C4BA" w:rsidR="009A7EF2" w:rsidRPr="000E25A7" w:rsidRDefault="009A7EF2">
      <w:pPr>
        <w:pStyle w:val="EndnoteText"/>
      </w:pPr>
      <w:r w:rsidRPr="000E25A7">
        <w:rPr>
          <w:rStyle w:val="EndnoteReference"/>
        </w:rPr>
        <w:endnoteRef/>
      </w:r>
      <w:r w:rsidRPr="000E25A7">
        <w:t xml:space="preserve"> </w:t>
      </w:r>
      <w:r w:rsidRPr="000E25A7">
        <w:rPr>
          <w:rFonts w:ascii="Calibri" w:hAnsi="Calibri"/>
        </w:rPr>
        <w:fldChar w:fldCharType="begin"/>
      </w:r>
      <w:r>
        <w:rPr>
          <w:rFonts w:ascii="Calibri" w:hAnsi="Calibri"/>
        </w:rPr>
        <w:instrText xml:space="preserve"> ADDIN ZOTERO_ITEM CSL_CITATION {"citationID":"al9eib7fp1","properties":{"formattedCitation":"{\\rtf Castells-Quintana and Royuela, \\uc0\\u8220{}Agglomeration, Inequality and Economic Growth.\\uc0\\u8221{}}","plainCitation":"Castells-Quintana and Royuela, “Agglomeration, Inequality and Economic Growth.”"},"citationItems":[{"id":170,"uris":["http://zotero.org/groups/2046111/items/U6ULVVSE"],"uri":["http://zotero.org/groups/2046111/items/U6ULVVSE"],"itemData":{"id":170,"type":"article-journal","title":"Agglomeration, inequality and economic growth","container-title":"The Annals of Regional Science","page":"343-366","volume":"52","issue":"2","source":"link.springer.com","abstract":"Agglomeration and income inequality at country level can be both understood as concentration of physical and human capital in the process of economic development. As such, it seems pertinent to analyse their impact on economic growth considering both phenomena together. By estimating a dynamic panel specification at country level, this paper analyses how agglomeration and inequality (both their levels and their evolution) influence long-run economic growth. In line with previous findings, our results suggest that while high-inequality levels are a limiting factor for long-run growth, agglomeration processes can be associated with economic growth, at least in countries at early stages of development. Moreover, we find that the growth-enhancing benefits from agglomeration processes depend not only on the country’s level of development, but also on its initial income distribution (something, to the best of our knowledge, not considered before). In fact, probably suggesting a social dimension to congestion diseconomies, increasing agglomeration is associated with lower growth when income distribution is particularly unequal.","DOI":"10.1007/s00168-014-0589-1","ISSN":"0570-1864, 1432-0592","journalAbbreviation":"Ann Reg Sci","language":"en","author":[{"family":"Castells-Quintana","given":"David"},{"family":"Royuela","given":"Vicente"}],"issued":{"date-parts":[["2014",3,1]]}}}],"schema":"https://github.com/citation-style-language/schema/raw/master/csl-citation.json"} </w:instrText>
      </w:r>
      <w:r w:rsidRPr="000E25A7">
        <w:rPr>
          <w:rFonts w:ascii="Calibri" w:hAnsi="Calibri"/>
        </w:rPr>
        <w:fldChar w:fldCharType="separate"/>
      </w:r>
      <w:r w:rsidRPr="000E25A7">
        <w:rPr>
          <w:rFonts w:ascii="Calibri" w:hAnsi="Calibri" w:cs="Times New Roman"/>
        </w:rPr>
        <w:t>Castells-Quintana and Royuela, “Agglomeration, Inequality and Economic Growth.”</w:t>
      </w:r>
      <w:r w:rsidRPr="000E25A7">
        <w:rPr>
          <w:rFonts w:ascii="Calibri" w:hAnsi="Calibri"/>
        </w:rPr>
        <w:fldChar w:fldCharType="end"/>
      </w:r>
    </w:p>
  </w:endnote>
  <w:endnote w:id="36">
    <w:p w14:paraId="2BD7F8D6" w14:textId="1F2ACC73" w:rsidR="009A7EF2" w:rsidRDefault="009A7EF2">
      <w:pPr>
        <w:pStyle w:val="EndnoteText"/>
      </w:pPr>
      <w:r>
        <w:rPr>
          <w:rStyle w:val="EndnoteReference"/>
        </w:rPr>
        <w:endnoteRef/>
      </w:r>
      <w:r>
        <w:t xml:space="preserve"> </w:t>
      </w:r>
      <w:r>
        <w:fldChar w:fldCharType="begin"/>
      </w:r>
      <w:r>
        <w:instrText xml:space="preserve"> ADDIN ZOTERO_ITEM CSL_CITATION {"citationID":"pEQVQaoF","properties":{"formattedCitation":"{\\rtf Henry Grabar, \\uc0\\u8220{}America\\uc0\\u8217{}s Small Cities Don\\uc0\\u8217{}t Have to Die at the Expense of Big Ones,\\uc0\\u8221{} Slate Magazine, February 1, 2018, https://slate.com/business/2018/02/small-cities-and-rural-areas-deserve-revitalization.html.}","plainCitation":"Henry Grabar, “America’s Small Cities Don’t Have to Die at the Expense of Big Ones,” Slate Magazine, February 1, 2018, https://slate.com/business/2018/02/small-cities-and-rural-areas-deserve-revitalization.html."},"citationItems":[{"id":274,"uris":["http://zotero.org/groups/2046111/items/RH2VA3SC"],"uri":["http://zotero.org/groups/2046111/items/RH2VA3SC"],"itemData":{"id":274,"type":"webpage","title":"America’s Small Cities Don’t Have to Die at the Expense of Big Ones","container-title":"Slate Magazine","abstract":"The cosmopolitan glory days won’t last forever.","URL":"https://slate.com/business/2018/02/small-cities-and-rural-areas-deserve-revitalization.html","language":"en","author":[{"family":"Grabar","given":"Henry"}],"issued":{"date-parts":[["2018",2,1]]},"accessed":{"date-parts":[["2018",2,1]]}}}],"schema":"https://github.com/citation-style-language/schema/raw/master/csl-citation.json"} </w:instrText>
      </w:r>
      <w:r>
        <w:fldChar w:fldCharType="separate"/>
      </w:r>
      <w:r w:rsidRPr="00656332">
        <w:rPr>
          <w:rFonts w:ascii="Calibri" w:hAnsi="Calibri" w:cs="Times New Roman"/>
          <w:szCs w:val="24"/>
        </w:rPr>
        <w:t>Henry Grabar, “America’s Small Cities Don’t Have to Die at the Expense of Big Ones,” Slate Magazine, February 1, 2018, https://slate.com/business/2018/02/small-cities-and-rural-areas-deserve-revitalization.html.</w:t>
      </w:r>
      <w:r>
        <w:fldChar w:fldCharType="end"/>
      </w:r>
    </w:p>
  </w:endnote>
  <w:endnote w:id="37">
    <w:p w14:paraId="7CF0A515" w14:textId="40245FF3" w:rsidR="009A7EF2" w:rsidRPr="000E25A7" w:rsidRDefault="009A7EF2">
      <w:pPr>
        <w:pStyle w:val="EndnoteText"/>
      </w:pPr>
      <w:r w:rsidRPr="000E25A7">
        <w:rPr>
          <w:rStyle w:val="EndnoteReference"/>
        </w:rPr>
        <w:endnoteRef/>
      </w:r>
      <w:r w:rsidRPr="000E25A7">
        <w:t xml:space="preserve"> </w:t>
      </w:r>
      <w:r w:rsidRPr="000E25A7">
        <w:rPr>
          <w:rFonts w:ascii="Calibri" w:hAnsi="Calibri"/>
          <w:color w:val="000000"/>
        </w:rPr>
        <w:fldChar w:fldCharType="begin"/>
      </w:r>
      <w:r>
        <w:rPr>
          <w:rFonts w:ascii="Calibri" w:hAnsi="Calibri"/>
          <w:color w:val="000000"/>
        </w:rPr>
        <w:instrText xml:space="preserve"> ADDIN ZOTERO_ITEM CSL_CITATION {"citationID":"aag6907ihb","properties":{"formattedCitation":"{\\rtf Alan Berube, \\uc0\\u8220{}Political Rhetoric Exaggerates Economic Divisions between Rural and Urban America,\\uc0\\u8221{} {\\i{}Brookings} (blog), August 3, 2016, https://www.brookings.edu/blog/the-avenue/2016/08/03/political-rhetoric-exaggerates-economic-divisions-between-rural-and-urban-america/.}","plainCitation":"Alan Berube, “Political Rhetoric Exaggerates Economic Divisions between Rural and Urban America,” Brookings (blog), August 3, 2016, https://www.brookings.edu/blog/the-avenue/2016/08/03/political-rhetoric-exaggerates-economic-divisions-between-rural-and-urban-america/."},"citationItems":[{"id":174,"uris":["http://zotero.org/groups/2046111/items/VMR7LJZZ"],"uri":["http://zotero.org/groups/2046111/items/VMR7LJZZ"],"itemData":{"id":174,"type":"post-weblog","title":"Political rhetoric exaggerates economic divisions between rural and urban America","container-title":"Brookings","abstract":"Americans are bound to hear a lot about the urban/rural divide in the coming months as the 2016 general election heats up. A new report from the Pew Research Center describes growing Democratic domination of big cities, at the same time that Republican voters are becoming more concentrated in rural","URL":"https://www.brookings.edu/blog/the-avenue/2016/08/03/political-rhetoric-exaggerates-economic-divisions-between-rural-and-urban-america/","language":"en-US","author":[{"family":"Berube","given":"Alan"}],"issued":{"date-parts":[["2016",8,3]]},"accessed":{"date-parts":[["2018",1,12]]}}}],"schema":"https://github.com/citation-style-language/schema/raw/master/csl-citation.json"} </w:instrText>
      </w:r>
      <w:r w:rsidRPr="000E25A7">
        <w:rPr>
          <w:rFonts w:ascii="Calibri" w:hAnsi="Calibri"/>
          <w:color w:val="000000"/>
        </w:rPr>
        <w:fldChar w:fldCharType="separate"/>
      </w:r>
      <w:r w:rsidRPr="00655962">
        <w:rPr>
          <w:rFonts w:ascii="Calibri" w:hAnsi="Calibri" w:cs="Times New Roman"/>
          <w:szCs w:val="24"/>
        </w:rPr>
        <w:t xml:space="preserve">Alan Berube, “Political Rhetoric Exaggerates Economic Divisions between Rural and Urban America,” </w:t>
      </w:r>
      <w:r w:rsidRPr="00655962">
        <w:rPr>
          <w:rFonts w:ascii="Calibri" w:hAnsi="Calibri" w:cs="Times New Roman"/>
          <w:i/>
          <w:iCs/>
          <w:szCs w:val="24"/>
        </w:rPr>
        <w:t>Brookings</w:t>
      </w:r>
      <w:r w:rsidRPr="00655962">
        <w:rPr>
          <w:rFonts w:ascii="Calibri" w:hAnsi="Calibri" w:cs="Times New Roman"/>
          <w:szCs w:val="24"/>
        </w:rPr>
        <w:t xml:space="preserve"> (blog), August 3, 2016, https://www.brookings.edu/blog/the-avenue/2016/08/03/political-rhetoric-exaggerates-economic-divisions-between-rural-and-urban-america/.</w:t>
      </w:r>
      <w:r w:rsidRPr="000E25A7">
        <w:rPr>
          <w:rFonts w:ascii="Calibri" w:hAnsi="Calibri"/>
          <w:color w:val="000000"/>
        </w:rPr>
        <w:fldChar w:fldCharType="end"/>
      </w:r>
    </w:p>
  </w:endnote>
  <w:endnote w:id="38">
    <w:p w14:paraId="7A53AB43" w14:textId="16B42E39" w:rsidR="009A7EF2" w:rsidRDefault="009A7EF2" w:rsidP="00FE7701">
      <w:pPr>
        <w:pStyle w:val="EndnoteText"/>
      </w:pPr>
      <w:r>
        <w:rPr>
          <w:rStyle w:val="EndnoteReference"/>
        </w:rPr>
        <w:endnoteRef/>
      </w:r>
      <w:r>
        <w:t xml:space="preserve"> </w:t>
      </w:r>
      <w:r>
        <w:fldChar w:fldCharType="begin"/>
      </w:r>
      <w:r w:rsidR="008C6B08">
        <w:instrText xml:space="preserve"> ADDIN ZOTERO_ITEM CSL_CITATION {"citationID":"a45r03t9v3","properties":{"formattedCitation":"{\\rtf Witold Rybczynski, \\uc0\\u8220{}Downsizing Cities,\\uc0\\u8221{} {\\i{}The Atlantic}, October 1995, https://www.theatlantic.com/past/docs/issues/95oct/rybczyns.htm.}","plainCitation":"Witold Rybczynski, “Downsizing Cities,” The Atlantic, October 1995, https://www.theatlantic.com/past/docs/issues/95oct/rybczyns.htm."},"citationItems":[{"id":196,"uris":["http://zotero.org/groups/2046111/items/DNCED9WA"],"uri":["http://zotero.org/groups/2046111/items/DNCED9WA"],"itemData":{"id":196,"type":"article-magazine","title":"Downsizing Cities","container-title":"The Atlantic","URL":"https://www.theatlantic.com/past/docs/issues/95oct/rybczyns.htm","author":[{"family":"Rybczynski","given":"Witold"}],"issued":{"date-parts":[["1995",10]]},"accessed":{"date-parts":[["2018",1,15]]}}}],"schema":"https://github.com/citation-style-language/schema/raw/master/csl-citation.json"} </w:instrText>
      </w:r>
      <w:r>
        <w:fldChar w:fldCharType="separate"/>
      </w:r>
      <w:proofErr w:type="spellStart"/>
      <w:r w:rsidR="008C6B08" w:rsidRPr="008C6B08">
        <w:rPr>
          <w:rFonts w:ascii="Calibri" w:hAnsi="Calibri" w:cs="Times New Roman"/>
          <w:szCs w:val="24"/>
        </w:rPr>
        <w:t>Witold</w:t>
      </w:r>
      <w:proofErr w:type="spellEnd"/>
      <w:r w:rsidR="008C6B08" w:rsidRPr="008C6B08">
        <w:rPr>
          <w:rFonts w:ascii="Calibri" w:hAnsi="Calibri" w:cs="Times New Roman"/>
          <w:szCs w:val="24"/>
        </w:rPr>
        <w:t xml:space="preserve"> </w:t>
      </w:r>
      <w:proofErr w:type="spellStart"/>
      <w:r w:rsidR="008C6B08" w:rsidRPr="008C6B08">
        <w:rPr>
          <w:rFonts w:ascii="Calibri" w:hAnsi="Calibri" w:cs="Times New Roman"/>
          <w:szCs w:val="24"/>
        </w:rPr>
        <w:t>Rybczynski</w:t>
      </w:r>
      <w:proofErr w:type="spellEnd"/>
      <w:r w:rsidR="008C6B08" w:rsidRPr="008C6B08">
        <w:rPr>
          <w:rFonts w:ascii="Calibri" w:hAnsi="Calibri" w:cs="Times New Roman"/>
          <w:szCs w:val="24"/>
        </w:rPr>
        <w:t xml:space="preserve">, “Downsizing Cities,” </w:t>
      </w:r>
      <w:r w:rsidR="008C6B08" w:rsidRPr="008C6B08">
        <w:rPr>
          <w:rFonts w:ascii="Calibri" w:hAnsi="Calibri" w:cs="Times New Roman"/>
          <w:i/>
          <w:iCs/>
          <w:szCs w:val="24"/>
        </w:rPr>
        <w:t>The Atlantic</w:t>
      </w:r>
      <w:r w:rsidR="008C6B08" w:rsidRPr="008C6B08">
        <w:rPr>
          <w:rFonts w:ascii="Calibri" w:hAnsi="Calibri" w:cs="Times New Roman"/>
          <w:szCs w:val="24"/>
        </w:rPr>
        <w:t>, October 1995, https://www.theatlantic.com/past/docs/issues/95oct/rybczyns.htm.</w:t>
      </w:r>
      <w:r>
        <w:fldChar w:fldCharType="end"/>
      </w:r>
    </w:p>
  </w:endnote>
  <w:endnote w:id="39">
    <w:p w14:paraId="76DE268B" w14:textId="6ACE5966" w:rsidR="009A7EF2" w:rsidRDefault="009A7EF2" w:rsidP="00FE7701">
      <w:pPr>
        <w:pStyle w:val="EndnoteText"/>
      </w:pPr>
      <w:r>
        <w:rPr>
          <w:rStyle w:val="EndnoteReference"/>
        </w:rPr>
        <w:endnoteRef/>
      </w:r>
      <w:r>
        <w:t xml:space="preserve"> </w:t>
      </w:r>
      <w:r>
        <w:fldChar w:fldCharType="begin"/>
      </w:r>
      <w:r w:rsidR="008C6B08">
        <w:instrText xml:space="preserve"> ADDIN ZOTERO_ITEM CSL_CITATION {"citationID":"a2imq7kptut","properties":{"formattedCitation":"{\\rtf Mark Alan Hughes, \\uc0\\u8220{}Dirt Into Dollars: Converting Vacant Land into Valuable Development\\uc0\\u8221{} (Brookings Institution, 2000), https://www.brookings.edu/articles/dirt-into-dollars-converting-vacant-land-into-valuable-development/.}","plainCitation":"Mark Alan Hughes, “Dirt Into Dollars: Converting Vacant Land into Valuable Development” (Brookings Institution, 2000), https://www.brookings.edu/articles/dirt-into-dollars-converting-vacant-land-into-valuable-development/."},"citationItems":[{"id":198,"uris":["http://zotero.org/groups/2046111/items/S9S7QQ9A"],"uri":["http://zotero.org/groups/2046111/items/S9S7QQ9A"],"itemData":{"id":198,"type":"report","title":"Dirt Into Dollars: Converting Vacant Land into Valuable Development","publisher":"Brookings Institution","abstract":"Brookings Review article by Mark Alan Hughes (Summer 2000)","URL":"https://www.brookings.edu/articles/dirt-into-dollars-converting-vacant-land-into-valuable-development/","shortTitle":"Dirt Into Dollars","language":"en-US","author":[{"family":"Hughes","given":"Mark Alan"}],"issued":{"date-parts":[["2000"]]},"accessed":{"date-parts":[["2018",1,15]]}}}],"schema":"https://github.com/citation-style-language/schema/raw/master/csl-citation.json"} </w:instrText>
      </w:r>
      <w:r>
        <w:fldChar w:fldCharType="separate"/>
      </w:r>
      <w:r w:rsidR="008C6B08" w:rsidRPr="008C6B08">
        <w:rPr>
          <w:rFonts w:ascii="Calibri" w:hAnsi="Calibri" w:cs="Times New Roman"/>
          <w:szCs w:val="24"/>
        </w:rPr>
        <w:t>Mark Alan Hughes, “Dirt Into Dollars: Converting Vacant Land into Valuable Development” (Brookings Institution, 2000), https://www.brookings.edu/articles/dirt-into-dollars-converting-vacant-land-into-valuable-development/.</w:t>
      </w:r>
      <w:r>
        <w:fldChar w:fldCharType="end"/>
      </w:r>
    </w:p>
  </w:endnote>
  <w:endnote w:id="40">
    <w:p w14:paraId="4379906B" w14:textId="4D984EFB" w:rsidR="009A7EF2" w:rsidRDefault="009A7EF2" w:rsidP="00FE7701">
      <w:pPr>
        <w:pStyle w:val="EndnoteText"/>
      </w:pPr>
      <w:r>
        <w:rPr>
          <w:rStyle w:val="EndnoteReference"/>
        </w:rPr>
        <w:endnoteRef/>
      </w:r>
      <w:r>
        <w:t xml:space="preserve"> </w:t>
      </w:r>
      <w:r>
        <w:fldChar w:fldCharType="begin"/>
      </w:r>
      <w:r>
        <w:instrText xml:space="preserve"> ADDIN ZOTERO_ITEM CSL_CITATION {"citationID":"a5jkp44ctl","properties":{"formattedCitation":"{\\rtf Susan B. Hansen, Carolyn Ban, and Leonard Huggins, \\uc0\\u8220{}Explaining the \\uc0\\u8216{}Brain Drain\\uc0\\u8217{} from Older Industrial Cities: The Pittsburgh Region,\\uc0\\u8221{} {\\i{}Economic Development Quarterly} 17, no. 2 (May 1, 2003): 132\\uc0\\u8211{}47, https://doi.org/10.1177/0891242403017002002.}","plainCitation":"Susan B. Hansen, Carolyn Ban, and Leonard Huggins, “Explaining the ‘Brain Drain’ from Older Industrial Cities: The Pittsburgh Region,” Economic Development Quarterly 17, no. 2 (May 1, 2003): 132–47, https://doi.org/10.1177/0891242403017002002."},"citationItems":[{"id":200,"uris":["http://zotero.org/groups/2046111/items/I95BZP8Y"],"uri":["http://zotero.org/groups/2046111/items/I95BZP8Y"],"itemData":{"id":200,"type":"article-journal","title":"Explaining the “Brain Drain” from Older Industrial Cities: The Pittsburgh Region","container-title":"Economic Development Quarterly","page":"132-147","volume":"17","issue":"2","source":"SAGE Journals","abstract":"In an effort to understand why so many college graduates are leaving western Pennsylvania, recent college graduates from three Pittsburgh-area universities were surveyed about their career and location decisions. The results indicated some increase in those staying between 1994 and 1999. A logistic regression analysis showed that an improving economy, low housing costs, and ample opportunities for continuing education were the major reasons. However, the region is still losing disproportionate numbers of minorities and graduates in high-tech fields and is attracting few immigrants. The major competition was from neighboring states rather than the Sun Belt. Low salaries and lack of advancement opportunities, especially for women, minorities, and two-career couples, were the primary reasons. The results suggest several policy recommendations to help retain recent area graduates and to attract more highly skilled workers to the region.","DOI":"10.1177/0891242403017002002","ISSN":"0891-2424","shortTitle":"Explaining the “Brain Drain” from Older Industrial Cities","journalAbbreviation":"Economic Development Quarterly","language":"en","author":[{"family":"Hansen","given":"Susan B."},{"family":"Ban","given":"Carolyn"},{"family":"Huggins","given":"Leonard"}],"issued":{"date-parts":[["2003",5,1]]}}}],"schema":"https://github.com/citation-style-language/schema/raw/master/csl-citation.json"} </w:instrText>
      </w:r>
      <w:r>
        <w:fldChar w:fldCharType="separate"/>
      </w:r>
      <w:r w:rsidRPr="00655962">
        <w:rPr>
          <w:rFonts w:ascii="Calibri" w:hAnsi="Calibri" w:cs="Times New Roman"/>
          <w:szCs w:val="24"/>
        </w:rPr>
        <w:t xml:space="preserve">Susan B. Hansen, Carolyn Ban, and Leonard Huggins, “Explaining the ‘Brain Drain’ from Older Industrial Cities: The Pittsburgh Region,” </w:t>
      </w:r>
      <w:r w:rsidRPr="00655962">
        <w:rPr>
          <w:rFonts w:ascii="Calibri" w:hAnsi="Calibri" w:cs="Times New Roman"/>
          <w:i/>
          <w:iCs/>
          <w:szCs w:val="24"/>
        </w:rPr>
        <w:t>Economic Development Quarterly</w:t>
      </w:r>
      <w:r w:rsidRPr="00655962">
        <w:rPr>
          <w:rFonts w:ascii="Calibri" w:hAnsi="Calibri" w:cs="Times New Roman"/>
          <w:szCs w:val="24"/>
        </w:rPr>
        <w:t xml:space="preserve"> 17, no. 2 (May 1, 2003): 132–47, https://doi.org/10.1177/0891242403017002002.</w:t>
      </w:r>
      <w:r>
        <w:fldChar w:fldCharType="end"/>
      </w:r>
    </w:p>
  </w:endnote>
  <w:endnote w:id="41">
    <w:p w14:paraId="29A61E55" w14:textId="35E9AE11"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{"citationID":"a2nsrt72ftl","properties":{"formattedCitation":"{\\rtf Vey, \\uc0\\u8220{}Restoring Prosperity.\\uc0\\u8221{}}","plainCitation":"Vey, “Restoring Prosperity.”"},"citationItems":[{"id":140,"uris":["http://zotero.org/groups/2046111/items/N5YNPYIV"],"uri":["http://zotero.org/groups/2046111/items/N5YNPYIV"],"itemData":{"id":140,"type":"post-weblog","title":"Restoring Prosperity: The State Role in Revitalizing America’s Older Industrial Cities","container-title":"Brookings","abstract":"With over 16 million people and nearly 8.6 million jobs, America's older industrial cities remain a vital part of the economy, particularly in states such as Ohio and Pennsylvania where they are heavily concentrated. Jennifer Vey outlines an asset-oriented agenda to mobilize governors and legislative leaders, plus local constituencies, behind reinvigorating the market in the nation's older industrial cities.","URL":"https://www.brookings.edu/research/restoring-prosperity-the-state-role-in-revitalizing-americas-older-industrial-cities/","shortTitle":"Restoring Prosperity","language":"en-US","author":[{"family":"Vey","given":"Jennifer S."}],"issued":{"date-parts":[["2007"]]},"accessed":{"date-parts":[["2018",1,11]]}}}],"schema":"https://github.com/citation-style-language/schema/raw/master/csl-citation.json"} </w:instrText>
      </w:r>
      <w:r>
        <w:fldChar w:fldCharType="separate"/>
      </w:r>
      <w:r w:rsidRPr="00655962">
        <w:rPr>
          <w:rFonts w:ascii="Calibri" w:hAnsi="Calibri" w:cs="Times New Roman"/>
          <w:szCs w:val="24"/>
        </w:rPr>
        <w:t>Vey, “Restoring Prosperity.”</w:t>
      </w:r>
      <w:r>
        <w:fldChar w:fldCharType="end"/>
      </w:r>
    </w:p>
  </w:endnote>
  <w:endnote w:id="42">
    <w:p w14:paraId="64E664F7" w14:textId="475D9C71" w:rsidR="009A7EF2" w:rsidRDefault="009A7EF2" w:rsidP="00FE7701">
      <w:pPr>
        <w:pStyle w:val="EndnoteText"/>
      </w:pPr>
      <w:r>
        <w:rPr>
          <w:rStyle w:val="EndnoteReference"/>
        </w:rPr>
        <w:endnoteRef/>
      </w:r>
      <w:r>
        <w:t xml:space="preserve"> </w:t>
      </w:r>
      <w:r>
        <w:fldChar w:fldCharType="begin"/>
      </w:r>
      <w:r>
        <w:instrText xml:space="preserve"> ADDIN ZOTERO_ITEM CSL_CITATION {"citationID":"af825fj9kp","properties":{"formattedCitation":"{\\rtf \\uc0\\u8220{}Older Industrial Cities | Funders Network,\\uc0\\u8221{} accessed January 15, 2018, https://www.fundersnetwork.org/participate/older-industrial-cities/.}","plainCitation":"“Older Industrial Cities | Funders Network,” accessed January 15, 2018, https://www.fundersnetwork.org/participate/older-industrial-cities/."},"citationItems":[{"id":202,"uris":["http://zotero.org/groups/2046111/items/PC35ICZC"],"uri":["http://zotero.org/groups/2046111/items/PC35ICZC"],"itemData":{"id":202,"type":"post-weblog","title":"Older Industrial Cities | Funders Network","URL":"https://www.fundersnetwork.org/participate/older-industrial-cities/","language":"en-US","accessed":{"date-parts":[["2018",1,15]]}}}],"schema":"https://github.com/citation-style-language/schema/raw/master/csl-citation.json"} </w:instrText>
      </w:r>
      <w:r>
        <w:fldChar w:fldCharType="separate"/>
      </w:r>
      <w:r w:rsidRPr="0066122C">
        <w:rPr>
          <w:rFonts w:ascii="Calibri" w:hAnsi="Calibri" w:cs="Times New Roman"/>
          <w:szCs w:val="24"/>
        </w:rPr>
        <w:t>“Older Industrial Cities | Funders Network,” accessed January 15, 2018, https://www.fundersnetwork.org/participate/older-industrial-cities/.</w:t>
      </w:r>
      <w:r>
        <w:fldChar w:fldCharType="end"/>
      </w:r>
      <w:r>
        <w:t xml:space="preserve"> Many of these grant makers have supported the development of this Brookings report.</w:t>
      </w:r>
    </w:p>
  </w:endnote>
  <w:endnote w:id="43">
    <w:p w14:paraId="75BC3982" w14:textId="21B50B88"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{"citationID":"a26n11kd2i4","properties":{"formattedCitation":"{\\rtf \\uc0\\u8220{}Rebuilding America\\uc0\\u8217{}s Legacy Cities: New Directions for the Industrial Heartland\\uc0\\u8221{} (American Assembly, 2012), http://americanassembly.org/projects/legacy-cities-partnership.}","plainCitation":"“Rebuilding America’s Legacy Cities: New Directions for the Industrial Heartland” (American Assembly, 2012), http://americanassembly.org/projects/legacy-cities-partnership."},"citationItems":[{"id":40,"uris":["http://zotero.org/groups/2046111/items/C34DGHFQ"],"uri":["http://zotero.org/groups/2046111/items/C34DGHFQ"],"itemData":{"id":40,"type":"report","title":"Rebuilding America's Legacy Cities: New Directions for the Industrial Heartland","publisher":"American Assembly","URL":"http://americanassembly.org/projects/legacy-cities-partnership","collection-editor":[{"family":"Mallach","given":"Alan"}],"issued":{"date-parts":[["2012"]]},"accessed":{"date-parts":[["2017",2,28]]}}}],"schema":"https://github.com/citation-style-language/schema/raw/master/csl-citation.json"} </w:instrText>
      </w:r>
      <w:r>
        <w:fldChar w:fldCharType="separate"/>
      </w:r>
      <w:r w:rsidRPr="0066122C">
        <w:rPr>
          <w:rFonts w:ascii="Calibri" w:hAnsi="Calibri" w:cs="Times New Roman"/>
          <w:szCs w:val="24"/>
        </w:rPr>
        <w:t>“Rebuilding America’s Legacy Cities: New Directions for the Industrial Heartland” (American Assembly, 2012), http://americanassembly.org/projects/legacy-cities-partnership.</w:t>
      </w:r>
      <w:r>
        <w:fldChar w:fldCharType="end"/>
      </w:r>
    </w:p>
  </w:endnote>
  <w:endnote w:id="44">
    <w:p w14:paraId="50F73200" w14:textId="35EDEB82"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{"citationID":"a25m56ecss7","properties":{"formattedCitation":"{\\rtf Alan Mallach and Lavea Brachman, \\uc0\\u8220{}Regenerating America\\uc0\\u8217{}s Legacy Cities\\uc0\\u8221{} (Lincoln Institute of Land Policy, May 2013), http://www.lincolninst.edu/publications/policy-focus-reports/regenerating-americas-legacy-cities.}","plainCitation":"Alan Mallach and Lavea Brachman, “Regenerating America’s Legacy Cities” (Lincoln Institute of Land Policy, May 2013), http://www.lincolninst.edu/publications/policy-focus-reports/regenerating-americas-legacy-cities."},"citationItems":[{"id":41,"uris":["http://zotero.org/groups/2046111/items/MT3VUB43"],"uri":["http://zotero.org/groups/2046111/items/MT3VUB43"],"itemData":{"id":41,"type":"report","title":"Regenerating America’s Legacy Cities","publisher":"Lincoln Institute of Land Policy","URL":"http://www.lincolninst.edu/publications/policy-focus-reports/regenerating-americas-legacy-cities","author":[{"family":"Mallach","given":"Alan"},{"family":"Brachman","given":"Lavea"}],"issued":{"date-parts":[["2013",5]]},"accessed":{"date-parts":[["2017",2,27]]}}}],"schema":"https://github.com/citation-style-language/schema/raw/master/csl-citation.json"} </w:instrText>
      </w:r>
      <w:r>
        <w:fldChar w:fldCharType="separate"/>
      </w:r>
      <w:r w:rsidRPr="0066122C">
        <w:rPr>
          <w:rFonts w:ascii="Calibri" w:hAnsi="Calibri" w:cs="Times New Roman"/>
          <w:szCs w:val="24"/>
        </w:rPr>
        <w:t>Alan Mallach and Lavea Brachman, “Regenerating America’s Legacy Cities” (Lincoln Institute of Land Policy, May 2013), http://www.lincolninst.edu/publications/policy-focus-reports/regenerating-americas-legacy-cities.</w:t>
      </w:r>
      <w:r>
        <w:fldChar w:fldCharType="end"/>
      </w:r>
    </w:p>
  </w:endnote>
  <w:endnote w:id="45">
    <w:p w14:paraId="36461AEB" w14:textId="6A2E7169" w:rsidR="009A7EF2" w:rsidRDefault="009A7EF2" w:rsidP="00FE7701">
      <w:pPr>
        <w:pStyle w:val="EndnoteText"/>
      </w:pPr>
      <w:r>
        <w:rPr>
          <w:rStyle w:val="EndnoteReference"/>
        </w:rPr>
        <w:endnoteRef/>
      </w:r>
      <w:r>
        <w:t xml:space="preserve"> </w:t>
      </w:r>
      <w:r>
        <w:fldChar w:fldCharType="begin"/>
      </w:r>
      <w:r>
        <w:instrText xml:space="preserve"> ADDIN ZOTERO_ITEM CSL_CITATION {"citationID":"ags0qmu1e7","properties":{"formattedCitation":"{\\rtf {\\i{}Phoenix Cities}, accessed January 15, 2018, http://www.press.uchicago.edu/ucp/books/book/distributed/P/bo13439049.html.}","plainCitation":"Phoenix Cities, accessed January 15, 2018, http://www.press.uchicago.edu/ucp/books/book/distributed/P/bo13439049.html."},"citationItems":[{"id":206,"uris":["http://zotero.org/groups/2046111/items/6WWAA9HU"],"uri":["http://zotero.org/groups/2046111/items/6WWAA9HU"],"itemData":{"id":206,"type":"book","title":"Phoenix cities","source":"press.uchicago.edu","abstract":"'Weak market cities' across European and America, or 'core cities' as they were in their heyday, went from being 'industrial giants' dominating their national, and eventually the global, economy, to being 'devastation zones'.  In a single generation three quarters of all manufacturing jobs disappeared, leaving dislocated, impoverished communities, run down city centres and a massive population exodus.So how did Europeans react?  And how different was their response from America's?  This book looks closely at the recovery trajectories of seven European cities from very different regions of the EU.  Their dramatic decline, intense recovery efforts and actual progress on the ground underline the significance of public underpinning in times of crisis.  Innovative enterprises, new-style city leadership, special neighbourhood programmes and skills development are all explored.  The American experience, where cities were largely left 'to their own devices', produced a slower, more uncertain recovery trajectory.  This book will provide much that is original and promising to all those wanting to understand the ground-level realities of urban change and progress.","URL":"http://www.press.uchicago.edu/ucp/books/book/distributed/P/bo13439049.html","accessed":{"date-parts":[["2018",1,15]]}}}],"schema":"https://github.com/citation-style-language/schema/raw/master/csl-citation.json"} </w:instrText>
      </w:r>
      <w:r>
        <w:fldChar w:fldCharType="separate"/>
      </w:r>
      <w:r w:rsidRPr="0066122C">
        <w:rPr>
          <w:rFonts w:ascii="Calibri" w:hAnsi="Calibri" w:cs="Times New Roman"/>
          <w:i/>
          <w:iCs/>
          <w:szCs w:val="24"/>
        </w:rPr>
        <w:t>Phoenix Cities</w:t>
      </w:r>
      <w:r w:rsidRPr="0066122C">
        <w:rPr>
          <w:rFonts w:ascii="Calibri" w:hAnsi="Calibri" w:cs="Times New Roman"/>
          <w:szCs w:val="24"/>
        </w:rPr>
        <w:t>, accessed January 15, 2018, http://www.press.uchicago.edu/ucp/books/book/distributed/P/bo13439049.html.</w:t>
      </w:r>
      <w:r>
        <w:fldChar w:fldCharType="end"/>
      </w:r>
    </w:p>
  </w:endnote>
  <w:endnote w:id="46">
    <w:p w14:paraId="1C5C74DB" w14:textId="556CDD44" w:rsidR="009A7EF2" w:rsidRDefault="009A7EF2">
      <w:pPr>
        <w:pStyle w:val="EndnoteText"/>
      </w:pPr>
      <w:r>
        <w:rPr>
          <w:rStyle w:val="EndnoteReference"/>
        </w:rPr>
        <w:endnoteRef/>
      </w:r>
      <w:r>
        <w:t xml:space="preserve"> See, for example, the work of Legacy Cities Partnership, </w:t>
      </w:r>
      <w:hyperlink r:id="rId1" w:history="1">
        <w:r w:rsidRPr="00581530">
          <w:rPr>
            <w:rStyle w:val="Hyperlink"/>
          </w:rPr>
          <w:t>www.legacycities.org</w:t>
        </w:r>
      </w:hyperlink>
      <w:r>
        <w:rPr>
          <w:rStyle w:val="Hyperlink"/>
        </w:rPr>
        <w:t>.</w:t>
      </w:r>
    </w:p>
  </w:endnote>
  <w:endnote w:id="47">
    <w:p w14:paraId="3A8378F2" w14:textId="7BCAEF8A" w:rsidR="009A7EF2" w:rsidRDefault="009A7EF2" w:rsidP="00FE7701">
      <w:pPr>
        <w:pStyle w:val="EndnoteText"/>
      </w:pPr>
      <w:r>
        <w:rPr>
          <w:rStyle w:val="EndnoteReference"/>
        </w:rPr>
        <w:endnoteRef/>
      </w:r>
      <w:r>
        <w:t xml:space="preserve"> </w:t>
      </w:r>
      <w:r>
        <w:fldChar w:fldCharType="begin"/>
      </w:r>
      <w:r>
        <w:instrText xml:space="preserve"> ADDIN ZOTERO_ITEM CSL_CITATION {"citationID":"a126fn8agrl","properties":{"formattedCitation":"{\\rtf Alec Friedhoff, Howard Wial, and Harold Wolman, \\uc0\\u8220{}The Consequences of Metropolitan Manufacturing Decline: Testing Conventional Wisdom\\uc0\\u8221{} (Brookings Institution, 2010).}","plainCitation":"Alec Friedhoff, Howard Wial, and Harold Wolman, “The Consequences of Metropolitan Manufacturing Decline: Testing Conventional Wisdom” (Brookings Institution, 2010)."},"citationItems":[{"id":93,"uris":["http://zotero.org/groups/2046111/items/HHYJSQ67"],"uri":["http://zotero.org/groups/2046111/items/HHYJSQ67"],"itemData":{"id":93,"type":"report","title":"The Consequences of Metropolitan Manufacturing Decline: Testing Conventional Wisdom","publisher":"Brookings Institution","author":[{"family":"Friedhoff","given":"Alec"},{"family":"Wial","given":"Howard"},{"family":"Wolman","given":"Harold"}],"issued":{"date-parts":[["2010"]]}}}],"schema":"https://github.com/citation-style-language/schema/raw/master/csl-citation.json"} </w:instrText>
      </w:r>
      <w:r>
        <w:fldChar w:fldCharType="separate"/>
      </w:r>
      <w:r w:rsidRPr="0066122C">
        <w:rPr>
          <w:rFonts w:ascii="Calibri" w:hAnsi="Calibri" w:cs="Times New Roman"/>
          <w:szCs w:val="24"/>
        </w:rPr>
        <w:t>Alec Friedhoff, Howard Wial, and Harold Wolman, “The Consequences of Metropolitan Manufacturing Decline: Testing Conventional Wisdom” (Brookings Institution, 2010).</w:t>
      </w:r>
      <w:r>
        <w:fldChar w:fldCharType="end"/>
      </w:r>
    </w:p>
  </w:endnote>
  <w:endnote w:id="48">
    <w:p w14:paraId="60C3B201" w14:textId="77777777" w:rsidR="009A7EF2" w:rsidRDefault="009A7EF2" w:rsidP="00FE7701">
      <w:pPr>
        <w:pStyle w:val="EndnoteText"/>
      </w:pPr>
      <w:r>
        <w:rPr>
          <w:rStyle w:val="EndnoteReference"/>
        </w:rPr>
        <w:endnoteRef/>
      </w:r>
      <w:r>
        <w:t xml:space="preserve"> </w:t>
      </w:r>
      <w:r>
        <w:fldChar w:fldCharType="begin"/>
      </w:r>
      <w:r>
        <w:instrText xml:space="preserve"> ADDIN ZOTERO_ITEM {"citationID":"a2m2l4lahki","properties":{"formattedCitation":"{\\rtf \\uc0\\u8220{}Chronically Distressed Metropolitan Area Economies \\uc0\\u171{}\\uc0\\u8239{}Building Resilient Regions,\\uc0\\u8221{} accessed February 28, 2017, http://brr.berkeley.edu/2012/06/chronically-distressed-metropolitan-area-economies/.}","plainCitation":"“Chronically Distressed Metropolitan Area Economies « Building Resilient Regions,” accessed February 28, 2017, http://brr.berkeley.edu/2012/06/chronically-distressed-metropolitan-area-economies/."},"citationItems":[{"id":38,"uris":["http://zotero.org/groups/2046111/items/FHIAKSQG"],"uri":["http://zotero.org/groups/2046111/items/FHIAKSQG"],"itemData":{"id":38,"type":"webpage","title":"Chronically Distressed Metropolitan Area Economies « Building Resilient Regions","URL":"http://brr.berkeley.edu/2012/06/chronically-distressed-metropolitan-area-economies/","accessed":{"date-parts":[["2017",2,28]]}}}],"schema":"https://github.com/citation-style-language/schema/raw/master/csl-citation.json"} </w:instrText>
      </w:r>
      <w:r>
        <w:fldChar w:fldCharType="separate"/>
      </w:r>
      <w:r w:rsidRPr="0066122C">
        <w:rPr>
          <w:rFonts w:ascii="Calibri" w:hAnsi="Calibri" w:cs="Times New Roman"/>
          <w:szCs w:val="24"/>
        </w:rPr>
        <w:t>“Chronically Distressed Metropolitan Area Economies « Building Resilient Regions,” accessed February 28, 2017, http://brr.berkeley.edu/2012/06/chronically-distressed-metropolitan-area-economies/.</w:t>
      </w:r>
      <w:r>
        <w:fldChar w:fldCharType="end"/>
      </w:r>
    </w:p>
  </w:endnote>
  <w:endnote w:id="49">
    <w:p w14:paraId="4E90C540" w14:textId="62C1EFBA" w:rsidR="009A7EF2" w:rsidRDefault="009A7EF2" w:rsidP="00FE7701">
      <w:pPr>
        <w:pStyle w:val="EndnoteText"/>
      </w:pPr>
      <w:r>
        <w:rPr>
          <w:rStyle w:val="EndnoteReference"/>
        </w:rPr>
        <w:endnoteRef/>
      </w:r>
      <w:r>
        <w:t xml:space="preserve"> </w:t>
      </w:r>
      <w:r>
        <w:fldChar w:fldCharType="begin"/>
      </w:r>
      <w:r w:rsidR="008C6B08">
        <w:instrText xml:space="preserve"> ADDIN ZOTERO_ITEM CSL_CITATION {"citationID":"a18qeelvmmj","properties":{"formattedCitation":"{\\rtf Emily Engel and Susan Longworth, \\uc0\\u8220{}Industrial Cities Initiative: Working Paper Summary - Federal Reserve Bank of Chicago\\uc0\\u8221{} (Federal Reserve Bank of Chicago, 2012), https://www.chicagofed.org/publications/profitwise-news-and-views/2012/pnv-aug2012.}","plainCitation":"Emily Engel and Susan Longworth, “Industrial Cities Initiative: Working Paper Summary - Federal Reserve Bank of Chicago” (Federal Reserve Bank of Chicago, 2012), https://www.chicagofed.org/publications/profitwise-news-and-views/2012/pnv-aug2012."},"citationItems":[{"id":47,"uris":["http://zotero.org/groups/2046111/items/TQ2HJ25R"],"uri":["http://zotero.org/groups/2046111/items/TQ2HJ25R"],"itemData":{"id":47,"type":"report","title":"Industrial Cities Initiative: Working Paper Summary - Federal Reserve Bank of Chicago","publisher":"Federal Reserve Bank of Chicago","URL":"https://www.chicagofed.org/publications/profitwise-news-and-views/2012/pnv-aug2012","author":[{"family":"Engel","given":"Emily"},{"family":"Longworth","given":"Susan"}],"issued":{"date-parts":[["2012"]]},"accessed":{"date-parts":[["2017",2,27]]}}}],"schema":"https://github.com/citation-style-language/schema/raw/master/csl-citation.json"} </w:instrText>
      </w:r>
      <w:r>
        <w:fldChar w:fldCharType="separate"/>
      </w:r>
      <w:r w:rsidR="008C6B08" w:rsidRPr="008C6B08">
        <w:rPr>
          <w:rFonts w:ascii="Calibri" w:hAnsi="Calibri" w:cs="Times New Roman"/>
          <w:szCs w:val="24"/>
        </w:rPr>
        <w:t>Emily Engel and Susan Longworth, “Industrial Cities Initiative: Working Paper Summary - Federal Reserve Bank of Chicago” (Federal Reserve Bank of Chicago, 2012), https://www.chicagofed.org/publications/profitwise-news-and-views/2012/pnv-aug2012.</w:t>
      </w:r>
      <w:r>
        <w:fldChar w:fldCharType="end"/>
      </w:r>
    </w:p>
  </w:endnote>
  <w:endnote w:id="50">
    <w:p w14:paraId="22EC0FE1" w14:textId="5E31B042" w:rsidR="009A7EF2" w:rsidRDefault="009A7EF2" w:rsidP="00FE7701">
      <w:pPr>
        <w:pStyle w:val="EndnoteText"/>
      </w:pPr>
      <w:r>
        <w:rPr>
          <w:rStyle w:val="EndnoteReference"/>
        </w:rPr>
        <w:endnoteRef/>
      </w:r>
      <w:r>
        <w:t xml:space="preserve"> </w:t>
      </w:r>
      <w:r>
        <w:fldChar w:fldCharType="begin"/>
      </w:r>
      <w:r w:rsidR="008C6B08">
        <w:instrText xml:space="preserve"> ADDIN ZOTERO_ITEM CSL_CITATION {"citationID":"a1k9clmerr2","properties":{"formattedCitation":"{\\rtf Jennifer S. Vey and Richard M. McGahey, {\\i{}Retooling for Growth} (Brookings Press, 2008), https://www.brookings.edu/book/retooling-for-growth/.}","plainCitation":"Jennifer S. Vey and Richard M. McGahey, Retooling for Growth (Brookings Press, 2008), https://www.brookings.edu/book/retooling-for-growth/."},"citationItems":[{"id":212,"uris":["http://zotero.org/groups/2046111/items/38AYSF79"],"uri":["http://zotero.org/groups/2046111/items/38AYSF79"],"itemData":{"id":212,"type":"book","title":"Retooling for Growth","publisher":"Brookings Press","abstract":"Experts present new frameworks, cutting-edge analysis, and innovative policy solutions for the nation’s government, business, civic, and community leaders to sculpt a sustainable and supportable economy for older industrial areas.","URL":"https://www.brookings.edu/book/retooling-for-growth/","language":"en-US","author":[{"family":"Vey","given":"Jennifer S."},{"family":"McGahey","given":"Richard M."}],"issued":{"date-parts":[["2008"]]},"accessed":{"date-parts":[["2018",1,15]]}}}],"schema":"https://github.com/citation-style-language/schema/raw/master/csl-citation.json"} </w:instrText>
      </w:r>
      <w:r>
        <w:fldChar w:fldCharType="separate"/>
      </w:r>
      <w:r w:rsidR="008C6B08" w:rsidRPr="008C6B08">
        <w:rPr>
          <w:rFonts w:ascii="Calibri" w:hAnsi="Calibri" w:cs="Times New Roman"/>
          <w:szCs w:val="24"/>
        </w:rPr>
        <w:t xml:space="preserve">Jennifer S. Vey and Richard M. </w:t>
      </w:r>
      <w:proofErr w:type="spellStart"/>
      <w:r w:rsidR="008C6B08" w:rsidRPr="008C6B08">
        <w:rPr>
          <w:rFonts w:ascii="Calibri" w:hAnsi="Calibri" w:cs="Times New Roman"/>
          <w:szCs w:val="24"/>
        </w:rPr>
        <w:t>McGahey</w:t>
      </w:r>
      <w:proofErr w:type="spellEnd"/>
      <w:r w:rsidR="008C6B08" w:rsidRPr="008C6B08">
        <w:rPr>
          <w:rFonts w:ascii="Calibri" w:hAnsi="Calibri" w:cs="Times New Roman"/>
          <w:szCs w:val="24"/>
        </w:rPr>
        <w:t xml:space="preserve">, </w:t>
      </w:r>
      <w:r w:rsidR="008C6B08" w:rsidRPr="008C6B08">
        <w:rPr>
          <w:rFonts w:ascii="Calibri" w:hAnsi="Calibri" w:cs="Times New Roman"/>
          <w:i/>
          <w:iCs/>
          <w:szCs w:val="24"/>
        </w:rPr>
        <w:t>Retooling for Growth</w:t>
      </w:r>
      <w:r w:rsidR="008C6B08" w:rsidRPr="008C6B08">
        <w:rPr>
          <w:rFonts w:ascii="Calibri" w:hAnsi="Calibri" w:cs="Times New Roman"/>
          <w:szCs w:val="24"/>
        </w:rPr>
        <w:t xml:space="preserve"> (Brookings Press, 2008), https://www.brookings.edu/book/retooling-for-growth/.</w:t>
      </w:r>
      <w:r>
        <w:fldChar w:fldCharType="end"/>
      </w:r>
    </w:p>
  </w:endnote>
  <w:endnote w:id="51">
    <w:p w14:paraId="5529E63B" w14:textId="6DC521FA"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{"citationID":"a2dd71582ot","properties":{"formattedCitation":"{\\rtf Elizabeth Kneebone and Alan Berube, {\\i{}Confronting Suburban Poverty in America} (Brookings Press, 2013).}","plainCitation":"Elizabeth Kneebone and Alan Berube, Confronting Suburban Poverty in America (Brookings Press, 2013)."},"citationItems":[{"id":92,"uris":["http://zotero.org/groups/2046111/items/FW22IJAD"],"uri":["http://zotero.org/groups/2046111/items/FW22IJAD"],"itemData":{"id":92,"type":"book","title":"Confronting Suburban Poverty in America","publisher":"Brookings Press","author":[{"family":"Kneebone","given":"Elizabeth"},{"family":"Berube","given":"Alan"}],"issued":{"date-parts":[["2013"]]}}}],"schema":"https://github.com/citation-style-language/schema/raw/master/csl-citation.json"} </w:instrText>
      </w:r>
      <w:r>
        <w:fldChar w:fldCharType="separate"/>
      </w:r>
      <w:r w:rsidRPr="0066122C">
        <w:rPr>
          <w:rFonts w:ascii="Calibri" w:hAnsi="Calibri" w:cs="Times New Roman"/>
          <w:szCs w:val="24"/>
        </w:rPr>
        <w:t xml:space="preserve">Elizabeth Kneebone and Alan Berube, </w:t>
      </w:r>
      <w:r w:rsidRPr="0066122C">
        <w:rPr>
          <w:rFonts w:ascii="Calibri" w:hAnsi="Calibri" w:cs="Times New Roman"/>
          <w:i/>
          <w:iCs/>
          <w:szCs w:val="24"/>
        </w:rPr>
        <w:t>Confronting Suburban Poverty in America</w:t>
      </w:r>
      <w:r w:rsidRPr="0066122C">
        <w:rPr>
          <w:rFonts w:ascii="Calibri" w:hAnsi="Calibri" w:cs="Times New Roman"/>
          <w:szCs w:val="24"/>
        </w:rPr>
        <w:t xml:space="preserve"> (Brookings Press, 2013).</w:t>
      </w:r>
      <w:r>
        <w:fldChar w:fldCharType="end"/>
      </w:r>
    </w:p>
  </w:endnote>
  <w:endnote w:id="52">
    <w:p w14:paraId="63A071FC" w14:textId="2DD2BCD4" w:rsidR="009A7EF2" w:rsidRDefault="009A7EF2">
      <w:pPr>
        <w:pStyle w:val="EndnoteText"/>
      </w:pPr>
      <w:r>
        <w:rPr>
          <w:rStyle w:val="EndnoteReference"/>
        </w:rPr>
        <w:endnoteRef/>
      </w:r>
      <w:r>
        <w:t xml:space="preserve"> Counties are admittedly a poorer reflection of urban economic dynamics in New England, where governance is organized at the city/town level, and where older industrial municipalities often represent a relatively small share of county-wide population and economic activity. Still, the wider influence of industrial decline is evident in many of the smaller suburban towns proximate to the older cities of Connecticut, Massachusetts, and Rhode Island.</w:t>
      </w:r>
    </w:p>
  </w:endnote>
  <w:endnote w:id="53">
    <w:p w14:paraId="23385658" w14:textId="3E7E12DE" w:rsidR="009A7EF2" w:rsidRDefault="009A7EF2" w:rsidP="00DF4AF6">
      <w:pPr>
        <w:pStyle w:val="EndnoteText"/>
      </w:pPr>
      <w:r>
        <w:rPr>
          <w:rStyle w:val="EndnoteReference"/>
        </w:rPr>
        <w:endnoteRef/>
      </w:r>
      <w:r>
        <w:t xml:space="preserve"> We use the Missouri Data Center’s MABLE/GEOCORR Engine to allocate city populations to counties based on their 2010 populations, and obtain 2016 city population data from the Census Bureau’s Population Estimates Program.</w:t>
      </w:r>
    </w:p>
  </w:endnote>
  <w:endnote w:id="54">
    <w:p w14:paraId="437247D1" w14:textId="38C6C917"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{"citationID":"a269jnlojaq","properties":{"formattedCitation":"{\\rtf Paul Krugman, \\uc0\\u8220{}Opinion | The Gambler\\uc0\\u8217{}s Ruin of Small Cities (Wonkish),\\uc0\\u8221{} {\\i{}The New York Times}, December 30, 2017, sec. Opinion, https://www.nytimes.com/2017/12/30/opinion/the-gamblers-ruin-of-small-cities-wonkish.html.}","plainCitation":"Paul Krugman, “Opinion | The Gambler’s Ruin of Small Cities (Wonkish),” The New York Times, December 30, 2017, sec. Opinion, https://www.nytimes.com/2017/12/30/opinion/the-gamblers-ruin-of-small-cities-wonkish.html."},"citationItems":[{"id":216,"uris":["http://zotero.org/groups/2046111/items/QVYXVK8K"],"uri":["http://zotero.org/groups/2046111/items/QVYXVK8K"],"itemData":{"id":216,"type":"article-newspaper","title":"Opinion | The Gambler’s Ruin of Small Cities (Wonkish)","container-title":"The New York Times","section":"Opinion","source":"NYTimes.com","abstract":"Small industrial cities are accidents of history, and sometimes their luck runs out.","URL":"https://www.nytimes.com/2017/12/30/opinion/the-gamblers-ruin-of-small-cities-wonkish.html","ISSN":"0362-4331","language":"en-US","author":[{"family":"Krugman","given":"Paul"}],"issued":{"date-parts":[["2017",12,30]]},"accessed":{"date-parts":[["2018",1,15]]}}}],"schema":"https://github.com/citation-style-language/schema/raw/master/csl-citation.json"} </w:instrText>
      </w:r>
      <w:r>
        <w:fldChar w:fldCharType="separate"/>
      </w:r>
      <w:r w:rsidRPr="0066122C">
        <w:rPr>
          <w:rFonts w:ascii="Calibri" w:hAnsi="Calibri" w:cs="Times New Roman"/>
          <w:szCs w:val="24"/>
        </w:rPr>
        <w:t xml:space="preserve">Paul Krugman, “Opinion | The Gambler’s Ruin of Small Cities (Wonkish),” </w:t>
      </w:r>
      <w:r w:rsidRPr="0066122C">
        <w:rPr>
          <w:rFonts w:ascii="Calibri" w:hAnsi="Calibri" w:cs="Times New Roman"/>
          <w:i/>
          <w:iCs/>
          <w:szCs w:val="24"/>
        </w:rPr>
        <w:t>The New York Times</w:t>
      </w:r>
      <w:r w:rsidRPr="0066122C">
        <w:rPr>
          <w:rFonts w:ascii="Calibri" w:hAnsi="Calibri" w:cs="Times New Roman"/>
          <w:szCs w:val="24"/>
        </w:rPr>
        <w:t>, December 30, 2017, sec. Opinion, https://www.nytimes.com/2017/12/30/opinion/the-gamblers-ruin-of-small-cities-wonkish.html.</w:t>
      </w:r>
      <w:r>
        <w:fldChar w:fldCharType="end"/>
      </w:r>
    </w:p>
  </w:endnote>
  <w:endnote w:id="55">
    <w:p w14:paraId="794033A8" w14:textId="6EC1C122" w:rsidR="009A7EF2" w:rsidRDefault="009A7EF2">
      <w:pPr>
        <w:pStyle w:val="EndnoteText"/>
      </w:pPr>
      <w:r>
        <w:rPr>
          <w:rStyle w:val="EndnoteReference"/>
        </w:rPr>
        <w:endnoteRef/>
      </w:r>
      <w:r>
        <w:t xml:space="preserve"> We use employment data from Moody’s Analytics.</w:t>
      </w:r>
    </w:p>
  </w:endnote>
  <w:endnote w:id="56">
    <w:p w14:paraId="1239E35D" w14:textId="09514AA6" w:rsidR="009A7EF2" w:rsidRDefault="009A7EF2" w:rsidP="00FE7701">
      <w:pPr>
        <w:pStyle w:val="EndnoteText"/>
      </w:pPr>
      <w:r>
        <w:rPr>
          <w:rStyle w:val="EndnoteReference"/>
        </w:rPr>
        <w:endnoteRef/>
      </w:r>
      <w:r>
        <w:t xml:space="preserve"> </w:t>
      </w:r>
      <w:r>
        <w:fldChar w:fldCharType="begin"/>
      </w:r>
      <w:r>
        <w:instrText xml:space="preserve"> ADDIN ZOTERO_ITEM CSL_CITATION {"citationID":"a26dr7ptmrb","properties":{"formattedCitation":"{\\rtf Friedhoff, Wial, and Wolman, \\uc0\\u8220{}The Consequences of Metropolitan Manufacturing Decline: Testing Conventional Wisdom.\\uc0\\u8221{}}","plainCitation":"Friedhoff, Wial, and Wolman, “The Consequences of Metropolitan Manufacturing Decline: Testing Conventional Wisdom.”"},"citationItems":[{"id":93,"uris":["http://zotero.org/groups/2046111/items/HHYJSQ67"],"uri":["http://zotero.org/groups/2046111/items/HHYJSQ67"],"itemData":{"id":93,"type":"report","title":"The Consequences of Metropolitan Manufacturing Decline: Testing Conventional Wisdom","publisher":"Brookings Institution","author":[{"family":"Friedhoff","given":"Alec"},{"family":"Wial","given":"Howard"},{"family":"Wolman","given":"Harold"}],"issued":{"date-parts":[["2010"]]}}}],"schema":"https://github.com/citation-style-language/schema/raw/master/csl-citation.json"} </w:instrText>
      </w:r>
      <w:r>
        <w:fldChar w:fldCharType="separate"/>
      </w:r>
      <w:r w:rsidRPr="0066122C">
        <w:rPr>
          <w:rFonts w:ascii="Calibri" w:hAnsi="Calibri" w:cs="Times New Roman"/>
          <w:szCs w:val="24"/>
        </w:rPr>
        <w:t>Friedhoff, Wial, and Wolman, “The Consequences of Metropolitan Manufacturing Decline: Testing Conventional Wisdom.”</w:t>
      </w:r>
      <w:r>
        <w:fldChar w:fldCharType="end"/>
      </w:r>
      <w:r>
        <w:t xml:space="preserve"> Note that Los Angeles County, Calif. and Cook County, Ill. (containing Chicago) qualified under this definition, but we judged them to be so different in size and industrial trajectory from other OICs that we excluded them from this analysis.</w:t>
      </w:r>
    </w:p>
  </w:endnote>
  <w:endnote w:id="57">
    <w:p w14:paraId="00A24C29" w14:textId="5DBDC634" w:rsidR="009A7EF2" w:rsidRDefault="009A7EF2">
      <w:pPr>
        <w:pStyle w:val="EndnoteText"/>
      </w:pPr>
      <w:r>
        <w:rPr>
          <w:rStyle w:val="EndnoteReference"/>
        </w:rPr>
        <w:endnoteRef/>
      </w:r>
      <w:r>
        <w:t xml:space="preserve"> Among these 16 are the independent cities of Baltimore and St. Louis, which long ago seceded from the larger counties that surround them and share their names. Roanoke is a smaller independent city not part of a larger county. Although Lynchburg is also an independent city, the data in this report reflect the combination of Lynchburg and surrounding Campbell County, in line with how the federal government reports economic data for that area. The city of Philadelphia is coterminous with Philadelphia County, and Queens and Kings counties in New York are equivalent to the New York City boroughs of Queens and Brooklyn, respectively.</w:t>
      </w:r>
    </w:p>
  </w:endnote>
  <w:endnote w:id="58">
    <w:p w14:paraId="6E2D24A2" w14:textId="62803ECE" w:rsidR="009A7EF2" w:rsidRDefault="009A7EF2">
      <w:pPr>
        <w:pStyle w:val="EndnoteText"/>
      </w:pPr>
      <w:r>
        <w:rPr>
          <w:rStyle w:val="EndnoteReference"/>
        </w:rPr>
        <w:endnoteRef/>
      </w:r>
      <w:r>
        <w:t xml:space="preserve"> OIC shares of population and economic activity are especially high in Connecticut and Rhode Island. The counties anchored around the three Connecticut OICs of Hartford (Hartford County), Bridgeport (Fairfield County), and New Haven (New Haven County) are six to seven times as large in population as those cities. Providence County in Rhode Island is more than three times as large in population as the city of Providence. As is true in other New England states, Connecticut and Rhode Island have no county governments, and cities and towns carry out local government functions.</w:t>
      </w:r>
    </w:p>
  </w:endnote>
  <w:endnote w:id="59">
    <w:p w14:paraId="5B1B7791" w14:textId="4A877DF6" w:rsidR="009A7EF2" w:rsidRDefault="009A7EF2">
      <w:pPr>
        <w:pStyle w:val="EndnoteText"/>
      </w:pPr>
      <w:r>
        <w:rPr>
          <w:rStyle w:val="EndnoteReference"/>
        </w:rPr>
        <w:endnoteRef/>
      </w:r>
      <w:r>
        <w:t xml:space="preserve"> </w:t>
      </w:r>
      <w:r>
        <w:fldChar w:fldCharType="begin"/>
      </w:r>
      <w:r>
        <w:instrText xml:space="preserve"> ADDIN ZOTERO_ITEM CSL_CITATION {"citationID":"AghR7iiz","properties":{"formattedCitation":"{\\rtf Andre M. Perry, \\uc0\\u8220{}Recognizing Majority-Black Cities, When Their Existence Is Being Questioned,\\uc0\\u8221{} {\\i{}Brookings} (blog), October 4, 2017, https://www.brookings.edu/blog/the-avenue/2017/10/04/recognizing-majority-black-cities-when-their-existence-is-being-questioned/.}","plainCitation":"Andre M. Perry, “Recognizing Majority-Black Cities, When Their Existence Is Being Questioned,” Brookings (blog), October 4, 2017, https://www.brookings.edu/blog/the-avenue/2017/10/04/recognizing-majority-black-cities-when-their-existence-is-being-questioned/."},"citationItems":[{"id":281,"uris":["http://zotero.org/groups/2046111/items/C3FQU3ZA"],"uri":["http://zotero.org/groups/2046111/items/C3FQU3ZA"],"itemData":{"id":281,"type":"post-weblog","title":"Recognizing majority-black cities, when their existence is being questioned","container-title":"Brookings","abstract":"There are more than 1,200 majority-black places in the U.S. Racist policies strongly influenced the concentration of blacks in cities and towns, and we should strive to eliminate those inherent biases and structural inequities.","URL":"https://www.brookings.edu/blog/the-avenue/2017/10/04/recognizing-majority-black-cities-when-their-existence-is-being-questioned/","language":"en-US","author":[{"family":"Perry","given":"Andre M."}],"issued":{"date-parts":[["2017",10,4]]},"accessed":{"date-parts":[["2018",2,2]]}}}],"schema":"https://github.com/citation-style-language/schema/raw/master/csl-citation.json"} </w:instrText>
      </w:r>
      <w:r>
        <w:fldChar w:fldCharType="separate"/>
      </w:r>
      <w:r w:rsidRPr="001336CE">
        <w:rPr>
          <w:rFonts w:ascii="Calibri" w:hAnsi="Calibri" w:cs="Times New Roman"/>
          <w:szCs w:val="24"/>
        </w:rPr>
        <w:t xml:space="preserve">Andre M. Perry, “Recognizing Majority-Black Cities, When Their Existence Is Being Questioned,” </w:t>
      </w:r>
      <w:r w:rsidRPr="001336CE">
        <w:rPr>
          <w:rFonts w:ascii="Calibri" w:hAnsi="Calibri" w:cs="Times New Roman"/>
          <w:i/>
          <w:iCs/>
          <w:szCs w:val="24"/>
        </w:rPr>
        <w:t>Brookings</w:t>
      </w:r>
      <w:r w:rsidRPr="001336CE">
        <w:rPr>
          <w:rFonts w:ascii="Calibri" w:hAnsi="Calibri" w:cs="Times New Roman"/>
          <w:szCs w:val="24"/>
        </w:rPr>
        <w:t xml:space="preserve"> (blog), October 4, 2017, https://www.brookings.edu/blog/the-avenue/2017/10/04/recognizing-majority-black-cities-when-their-existence-is-being-questioned/.</w:t>
      </w:r>
      <w:r>
        <w:fldChar w:fldCharType="end"/>
      </w:r>
    </w:p>
  </w:endnote>
  <w:endnote w:id="60">
    <w:p w14:paraId="18045FA7" w14:textId="4FD73BE0" w:rsidR="009A7EF2" w:rsidRDefault="009A7EF2">
      <w:pPr>
        <w:pStyle w:val="EndnoteText"/>
      </w:pPr>
      <w:r>
        <w:rPr>
          <w:rStyle w:val="EndnoteReference"/>
        </w:rPr>
        <w:endnoteRef/>
      </w:r>
      <w:r>
        <w:t xml:space="preserve"> </w:t>
      </w:r>
      <w:r>
        <w:fldChar w:fldCharType="begin"/>
      </w:r>
      <w:r>
        <w:instrText xml:space="preserve"> ADDIN ZOTERO_ITEM CSL_CITATION {"citationID":"dWXJxcqb","properties":{"formattedCitation":"{\\rtf Shearer et al., \\uc0\\u8220{}Metro Monitor 2018 Dashboard.\\uc0\\u8221{}}","plainCitation":"Shearer et al., “Metro Monitor 2018 Dashboard.”"},"citationItems":[{"id":227,"uris":["http://zotero.org/groups/2046111/items/QRZ2ISUI"],"uri":["http://zotero.org/groups/2046111/items/QRZ2ISUI"],"itemData":{"id":227,"type":"report","title":"Metro Monitor 2018 Dashboard","author":[{"family":"Shearer","given":"Richard"},{"family":"Friedhoff","given":"Alec"},{"family":"Shah","given":"Isha"},{"family":"Berube","given":"Alan"}],"issued":{"literal":"forthcoming"}}}],"schema":"https://github.com/citation-style-language/schema/raw/master/csl-citation.json"} </w:instrText>
      </w:r>
      <w:r>
        <w:fldChar w:fldCharType="separate"/>
      </w:r>
      <w:r w:rsidRPr="00337C72">
        <w:rPr>
          <w:rFonts w:ascii="Calibri" w:hAnsi="Calibri" w:cs="Times New Roman"/>
          <w:szCs w:val="24"/>
        </w:rPr>
        <w:t>Shearer et al., “Metro Monitor 2018 Dashboard.”</w:t>
      </w:r>
      <w:r>
        <w:fldChar w:fldCharType="end"/>
      </w:r>
    </w:p>
  </w:endnote>
  <w:endnote w:id="61">
    <w:p w14:paraId="00E7CA5C" w14:textId="36738BA5" w:rsidR="009A7EF2" w:rsidRDefault="009A7EF2">
      <w:pPr>
        <w:pStyle w:val="EndnoteText"/>
      </w:pPr>
      <w:r>
        <w:rPr>
          <w:rStyle w:val="EndnoteReference"/>
        </w:rPr>
        <w:endnoteRef/>
      </w:r>
      <w:r>
        <w:t xml:space="preserve"> </w:t>
      </w:r>
      <w:r>
        <w:fldChar w:fldCharType="begin"/>
      </w:r>
      <w:r w:rsidR="008C6B08">
        <w:instrText xml:space="preserve"> ADDIN ZOTERO_ITEM CSL_CITATION {"citationID":"oWwtVrR8","properties":{"formattedCitation":"{\\rtf Paul D. Gottlieb, \\uc0\\u8220{}Growth Without Growth: An Alternative Economic Development Goal For Metropolitan Areas\\uc0\\u8221{} (Brookings Institution, 2000), https://www.brookings.edu/research/growth-without-growth-an-alternative-economic-development-goal-for-metropolitan-areas/.}","plainCitation":"Paul D. Gottlieb, “Growth Without Growth: An Alternative Economic Development Goal For Metropolitan Areas” (Brookings Institution, 2000), https://www.brookings.edu/research/growth-without-growth-an-alternative-economic-development-goal-for-metropolitan-areas/."},"citationItems":[{"id":283,"uris":["http://zotero.org/groups/2046111/items/6KLBTUWE"],"uri":["http://zotero.org/groups/2046111/items/6KLBTUWE"],"itemData":{"id":283,"type":"report","title":"Growth Without Growth: An Alternative Economic Development Goal For Metropolitan Areas","publisher":"Brookings Institution","abstract":"This paper creates a typology for the largest metropolitan areas in the U.S. based on their ability to \"\"grow without growing\"\" and determines policy implications for regional economic development strategies.","URL":"https://www.brookings.edu/research/growth-without-growth-an-alternative-economic-development-goal-for-metropolitan-areas/","shortTitle":"Growth Without Growth","language":"en-US","author":[{"family":"Gottlieb","given":"Paul D."}],"issued":{"date-parts":[["2000"]]},"accessed":{"date-parts":[["2018",2,2]]}}}],"schema":"https://github.com/citation-style-language/schema/raw/master/csl-citation.json"} </w:instrText>
      </w:r>
      <w:r>
        <w:fldChar w:fldCharType="separate"/>
      </w:r>
      <w:r w:rsidR="008C6B08" w:rsidRPr="008C6B08">
        <w:rPr>
          <w:rFonts w:ascii="Calibri" w:hAnsi="Calibri" w:cs="Times New Roman"/>
          <w:szCs w:val="24"/>
        </w:rPr>
        <w:t>Paul D. Gottlieb, “Growth Without Growth: An Alternative Economic Development Goal For Metropolitan Areas” (Brookings Institution, 2000), https://www.brookings.edu/research/growth-without-growth-an-alternative-economic-development-goal-for-metropolitan-areas/.</w:t>
      </w:r>
      <w:r>
        <w:fldChar w:fldCharType="end"/>
      </w:r>
    </w:p>
  </w:endnote>
  <w:endnote w:id="62">
    <w:p w14:paraId="2B1F2F66" w14:textId="1081522E" w:rsidR="009A7EF2" w:rsidRDefault="009A7EF2">
      <w:pPr>
        <w:pStyle w:val="EndnoteText"/>
      </w:pPr>
      <w:r>
        <w:rPr>
          <w:rStyle w:val="EndnoteReference"/>
        </w:rPr>
        <w:endnoteRef/>
      </w:r>
      <w:r>
        <w:t xml:space="preserve"> These estimates reflect a pooled sample of 5 years of American Community Survey data from 2012 through 2016, which provide a sufficient number of observations for census tracts, the underlying geographic basis for measures of concentrated poverty. </w:t>
      </w:r>
    </w:p>
  </w:endnote>
  <w:endnote w:id="63">
    <w:p w14:paraId="26D7BC8D" w14:textId="59027F24" w:rsidR="009A7EF2" w:rsidRDefault="009A7EF2">
      <w:pPr>
        <w:pStyle w:val="EndnoteText"/>
      </w:pPr>
      <w:r>
        <w:rPr>
          <w:rStyle w:val="EndnoteReference"/>
        </w:rPr>
        <w:endnoteRef/>
      </w:r>
      <w:r>
        <w:t xml:space="preserve"> This combined index for a county averages its scores for the growth, prosperity, and inclusion categories from 2000 to 2016, which in turn represent the averages of standard scores for the indicators within that category. Standard scores measure how a county’s value on a particular indicator varies from the values of all counties. Because Massachusetts did not report data as early as 2000 that provide the basis for our calculation of jobs at young firms, for those counties we include their standardized score on change in jobs at young firms from 2010 to 2016 as part of their overall growth score.</w:t>
      </w:r>
    </w:p>
  </w:endnote>
  <w:endnote w:id="64">
    <w:p w14:paraId="7E02FC06" w14:textId="3115ECDD" w:rsidR="009A7EF2" w:rsidRDefault="009A7EF2">
      <w:pPr>
        <w:pStyle w:val="EndnoteText"/>
      </w:pPr>
      <w:r>
        <w:rPr>
          <w:rStyle w:val="EndnoteReference"/>
        </w:rPr>
        <w:endnoteRef/>
      </w:r>
      <w:r>
        <w:t xml:space="preserve"> We visually inspected the combined index scores for OICs to identify natural breaks in the score distribution that yielded four groups of counties of roughly equal size.</w:t>
      </w:r>
    </w:p>
  </w:endnote>
  <w:endnote w:id="65">
    <w:p w14:paraId="1DE5D52A" w14:textId="67B33B3E" w:rsidR="009A7EF2" w:rsidRDefault="009A7EF2">
      <w:pPr>
        <w:pStyle w:val="EndnoteText"/>
      </w:pPr>
      <w:r>
        <w:rPr>
          <w:rStyle w:val="EndnoteReference"/>
        </w:rPr>
        <w:endnoteRef/>
      </w:r>
      <w:r>
        <w:t xml:space="preserve"> A simple linear regression of performance index scores controlling for size finds that OICs in the Northeast achieved significantly higher scores than those in the Midwest.</w:t>
      </w:r>
    </w:p>
  </w:endnote>
  <w:endnote w:id="66">
    <w:p w14:paraId="14A9B7B4" w14:textId="601AC3A3" w:rsidR="009A7EF2" w:rsidRDefault="009A7EF2">
      <w:pPr>
        <w:pStyle w:val="EndnoteText"/>
      </w:pPr>
      <w:r>
        <w:rPr>
          <w:rStyle w:val="EndnoteReference"/>
        </w:rPr>
        <w:endnoteRef/>
      </w:r>
      <w:r>
        <w:t xml:space="preserve"> These counties (and major cities) include: Houston (Dothan), Mobile, and Morgan (Decatur) in Alabama; Sebastian (Fort Smith) in Arkansas; Muscogee (Columbus) in Georgia; Linn (Cedar Rapids) in Iowa; Kane (Aurora) in Illinois; Sedgwick (Wichita) in Kansas; Daviess (Owensboro) in Kentucky; Buchanan (St. Joseph) in Missouri; Hall (Grand Island) in Nebraska; Forsyth (Winston-Salem) in North Carolina; Tulsa in Oklahoma; and Shelby (Memphis) in Tennessee.</w:t>
      </w:r>
    </w:p>
  </w:endnote>
  <w:endnote w:id="67">
    <w:p w14:paraId="72293C8F" w14:textId="22B16319" w:rsidR="009A7EF2" w:rsidRDefault="009A7EF2" w:rsidP="00941C30">
      <w:pPr>
        <w:pStyle w:val="EndnoteText"/>
      </w:pPr>
      <w:r>
        <w:rPr>
          <w:rStyle w:val="EndnoteReference"/>
        </w:rPr>
        <w:endnoteRef/>
      </w:r>
      <w:r>
        <w:t xml:space="preserve"> </w:t>
      </w:r>
      <w:r>
        <w:fldChar w:fldCharType="begin"/>
      </w:r>
      <w:r>
        <w:instrText xml:space="preserve"> ADDIN ZOTERO_ITEM CSL_CITATION {"citationID":"a1ong56h0p9","properties":{"formattedCitation":"{\\rtf Enrico Moretti, {\\i{}The New Geography of Jobs} (New York: Houghton Mifflin Harcourt, 2012).}","plainCitation":"Enrico Moretti, The New Geography of Jobs (New York: Houghton Mifflin Harcourt, 2012)."},"citationItems":[{"id":113,"uris":["http://zotero.org/groups/2046111/items/GZVF9RUA"],"uri":["http://zotero.org/groups/2046111/items/GZVF9RUA"],"itemData":{"id":113,"type":"book","title":"The New Geography of Jobs","publisher":"Houghton Mifflin Harcourt","publisher-place":"New York","event-place":"New York","author":[{"family":"Moretti","given":"Enrico"}],"issued":{"date-parts":[["2012"]]}}}],"schema":"https://github.com/citation-style-language/schema/raw/master/csl-citation.json"} </w:instrText>
      </w:r>
      <w:r>
        <w:fldChar w:fldCharType="separate"/>
      </w:r>
      <w:r w:rsidRPr="002F1ABD">
        <w:rPr>
          <w:rFonts w:ascii="Calibri" w:hAnsi="Calibri" w:cs="Times New Roman"/>
          <w:szCs w:val="24"/>
        </w:rPr>
        <w:t xml:space="preserve">Enrico Moretti, </w:t>
      </w:r>
      <w:r w:rsidRPr="002F1ABD">
        <w:rPr>
          <w:rFonts w:ascii="Calibri" w:hAnsi="Calibri" w:cs="Times New Roman"/>
          <w:i/>
          <w:iCs/>
          <w:szCs w:val="24"/>
        </w:rPr>
        <w:t>The New Geography of Jobs</w:t>
      </w:r>
      <w:r w:rsidRPr="002F1ABD">
        <w:rPr>
          <w:rFonts w:ascii="Calibri" w:hAnsi="Calibri" w:cs="Times New Roman"/>
          <w:szCs w:val="24"/>
        </w:rPr>
        <w:t xml:space="preserve"> (New York: Houghton Mifflin Harcourt, 2012).</w:t>
      </w:r>
      <w:r>
        <w:fldChar w:fldCharType="end"/>
      </w:r>
    </w:p>
  </w:endnote>
  <w:endnote w:id="68">
    <w:p w14:paraId="33052DDD" w14:textId="4460E59F" w:rsidR="009A7EF2" w:rsidRDefault="009A7EF2" w:rsidP="00941C30">
      <w:pPr>
        <w:pStyle w:val="EndnoteText"/>
      </w:pPr>
      <w:r>
        <w:rPr>
          <w:rStyle w:val="EndnoteReference"/>
        </w:rPr>
        <w:endnoteRef/>
      </w:r>
      <w:r>
        <w:t xml:space="preserve"> </w:t>
      </w:r>
      <w:r>
        <w:fldChar w:fldCharType="begin"/>
      </w:r>
      <w:r>
        <w:instrText xml:space="preserve"> ADDIN ZOTERO_ITEM CSL_CITATION {"citationID":"3qcenu6g2","properties":{"formattedCitation":"{\\rtf Mark Muro and Joseph Parilla, \\uc0\\u8220{}Understanding US Productivity Trends from the Bottom-Up,\\uc0\\u8221{} {\\i{}Brookings} (blog), March 15, 2017, https://www.brookings.edu/research/understanding-us-productivity-trends-from-the-bottom-up/.}","plainCitation":"Mark Muro and Joseph Parilla, “Understanding US Productivity Trends from the Bottom-Up,” Brookings (blog), March 15, 2017, https://www.brookings.edu/research/understanding-us-productivity-trends-from-the-bottom-up/."},"citationItems":[{"id":111,"uris":["http://zotero.org/groups/2046111/items/Z7F2MX2G"],"uri":["http://zotero.org/groups/2046111/items/Z7F2MX2G"],"itemData":{"id":111,"type":"post-weblog","title":"Understanding US productivity trends from the bottom-up","container-title":"Brookings","abstract":"Why might examining productivity at the regional level matter? The nation’s 382 metropolitan areas provide a potentially useful source of spatial variation to help understand productivity trends in a very large, economically diverse country.","URL":"https://www.brookings.edu/research/understanding-us-productivity-trends-from-the-bottom-up/","author":[{"family":"Muro","given":"Mark"},{"family":"Parilla","given":"Joseph"}],"issued":{"date-parts":[["2017",3,15]]},"accessed":{"date-parts":[["2018",1,5]]}}}],"schema":"https://github.com/citation-style-language/schema/raw/master/csl-citation.json"} </w:instrText>
      </w:r>
      <w:r>
        <w:fldChar w:fldCharType="separate"/>
      </w:r>
      <w:r w:rsidRPr="00655962">
        <w:rPr>
          <w:rFonts w:ascii="Calibri" w:hAnsi="Calibri" w:cs="Times New Roman"/>
          <w:szCs w:val="24"/>
        </w:rPr>
        <w:t xml:space="preserve">Mark Muro and Joseph Parilla, “Understanding US Productivity Trends from the Bottom-Up,” </w:t>
      </w:r>
      <w:r w:rsidRPr="00655962">
        <w:rPr>
          <w:rFonts w:ascii="Calibri" w:hAnsi="Calibri" w:cs="Times New Roman"/>
          <w:i/>
          <w:iCs/>
          <w:szCs w:val="24"/>
        </w:rPr>
        <w:t>Brookings</w:t>
      </w:r>
      <w:r w:rsidRPr="00655962">
        <w:rPr>
          <w:rFonts w:ascii="Calibri" w:hAnsi="Calibri" w:cs="Times New Roman"/>
          <w:szCs w:val="24"/>
        </w:rPr>
        <w:t xml:space="preserve"> (blog), March 15, 2017, https://www.brookings.edu/research/understanding-us-productivity-trends-from-the-bottom-up/.</w:t>
      </w:r>
      <w:r>
        <w:fldChar w:fldCharType="end"/>
      </w:r>
    </w:p>
  </w:endnote>
  <w:endnote w:id="69">
    <w:p w14:paraId="68BD511F" w14:textId="53CF15DB" w:rsidR="009A7EF2" w:rsidRDefault="009A7EF2" w:rsidP="00941C30">
      <w:pPr>
        <w:pStyle w:val="EndnoteText"/>
      </w:pPr>
      <w:r>
        <w:rPr>
          <w:rStyle w:val="EndnoteReference"/>
        </w:rPr>
        <w:endnoteRef/>
      </w:r>
      <w:r>
        <w:t xml:space="preserve"> </w:t>
      </w:r>
      <w:r>
        <w:fldChar w:fldCharType="begin"/>
      </w:r>
      <w:r>
        <w:instrText xml:space="preserve"> ADDIN ZOTERO_ITEM CSL_CITATION {"citationID":"3j0lfoogh","properties":{"formattedCitation":"{\\rtf Mark Muro et al., \\uc0\\u8220{}Digitalization and the American Workforce,\\uc0\\u8221{} {\\i{}Brookings} (blog), November 15, 2017, https://www.brookings.edu/research/digitalization-and-the-american-workforce/.}","plainCitation":"Mark Muro et al., “Digitalization and the American Workforce,” Brookings (blog), November 15, 2017, https://www.brookings.edu/research/digitalization-and-the-american-workforce/."},"citationItems":[{"id":95,"uris":["http://zotero.org/groups/2046111/items/JW42GEYU"],"uri":["http://zotero.org/groups/2046111/items/JW42GEYU"],"itemData":{"id":95,"type":"post-weblog","title":"Digitalization and the American workforce","container-title":"Brookings","abstract":"Over the last few decades, the rapid rise of digital technology has fundamentally changed the U.S. economy and the world of work. This new report explores how communities can spread the benefits of digitalization while mitigating its potentially harmful effects.","URL":"https://www.brookings.edu/research/digitalization-and-the-american-workforce/","author":[{"family":"Muro","given":"Mark"},{"family":"Liu","given":"Sifan"},{"family":"Whiton","given":"Jacob"},{"family":"Kulkarni","given":"Siddharth"}],"issued":{"date-parts":[["2017",11,15]]},"accessed":{"date-parts":[["2018",1,4]]}}}],"schema":"https://github.com/citation-style-language/schema/raw/master/csl-citation.json"} </w:instrText>
      </w:r>
      <w:r>
        <w:fldChar w:fldCharType="separate"/>
      </w:r>
      <w:r w:rsidRPr="00655962">
        <w:rPr>
          <w:rFonts w:ascii="Calibri" w:hAnsi="Calibri" w:cs="Times New Roman"/>
          <w:szCs w:val="24"/>
        </w:rPr>
        <w:t xml:space="preserve">Mark Muro et al., “Digitalization and the American Workforce,” </w:t>
      </w:r>
      <w:r w:rsidRPr="00655962">
        <w:rPr>
          <w:rFonts w:ascii="Calibri" w:hAnsi="Calibri" w:cs="Times New Roman"/>
          <w:i/>
          <w:iCs/>
          <w:szCs w:val="24"/>
        </w:rPr>
        <w:t>Brookings</w:t>
      </w:r>
      <w:r w:rsidRPr="00655962">
        <w:rPr>
          <w:rFonts w:ascii="Calibri" w:hAnsi="Calibri" w:cs="Times New Roman"/>
          <w:szCs w:val="24"/>
        </w:rPr>
        <w:t xml:space="preserve"> (blog), November 15, 2017, https://www.brookings.edu/research/digitalization-and-the-american-workforce/.</w:t>
      </w:r>
      <w:r>
        <w:fldChar w:fldCharType="end"/>
      </w:r>
    </w:p>
  </w:endnote>
  <w:endnote w:id="70">
    <w:p w14:paraId="41DE0A4C" w14:textId="27BBE551" w:rsidR="009A7EF2" w:rsidRDefault="009A7EF2" w:rsidP="00941C30">
      <w:pPr>
        <w:pStyle w:val="EndnoteText"/>
      </w:pPr>
      <w:r>
        <w:rPr>
          <w:rStyle w:val="EndnoteReference"/>
        </w:rPr>
        <w:endnoteRef/>
      </w:r>
      <w:r>
        <w:t xml:space="preserve"> </w:t>
      </w:r>
      <w:r>
        <w:fldChar w:fldCharType="begin"/>
      </w:r>
      <w:r>
        <w:instrText xml:space="preserve"> ADDIN ZOTERO_ITEM CSL_CITATION {"citationID":"ql6soiee6","properties":{"formattedCitation":"{\\rtf Emily Pacetti, \\uc0\\u8220{}What Matters to Metros: Foundational Indicators for Economic Competitiveness\\uc0\\u8221{} (Fund for Our Economic Future of Northeast Ohio, 2013), http://www.thefundneo.org/sites/default/files/content-media/13076_FUND_WMM_REVISED%201008.pdf.}","plainCitation":"Emily Pacetti, “What Matters to Metros: Foundational Indicators for Economic Competitiveness” (Fund for Our Economic Future of Northeast Ohio, 2013), http://www.thefundneo.org/sites/default/files/content-media/13076_FUND_WMM_REVISED%201008.pdf."},"citationItems":[{"id":103,"uris":["http://zotero.org/groups/2046111/items/9HIFFA3P"],"uri":["http://zotero.org/groups/2046111/items/9HIFFA3P"],"itemData":{"id":103,"type":"report","title":"What Matters to Metros: Foundational Indicators for Economic Competitiveness","publisher":"Fund for Our Economic Future of Northeast Ohio","URL":"http://www.thefundneo.org/sites/default/files/content-media/13076_FUND_WMM_REVISED%201008.pdf","author":[{"family":"Pacetti","given":"Emily"}],"issued":{"date-parts":[["2013"]]},"accessed":{"date-parts":[["2018",1,5]]}}}],"schema":"https://github.com/citation-style-language/schema/raw/master/csl-citation.json"} </w:instrText>
      </w:r>
      <w:r>
        <w:fldChar w:fldCharType="separate"/>
      </w:r>
      <w:r w:rsidRPr="002F1ABD">
        <w:rPr>
          <w:rFonts w:ascii="Calibri" w:hAnsi="Calibri" w:cs="Times New Roman"/>
          <w:szCs w:val="24"/>
        </w:rPr>
        <w:t>Emily Pacetti, “What Matters to Metros: Foundational Indicators for Economic Competitiveness” (Fund for Our Economic Future of Northeast Ohio, 2013), http://www.thefundneo.org/sites/default/files/content-media/13076_FUND_WMM_REVISED%201008.pdf.</w:t>
      </w:r>
      <w:r>
        <w:fldChar w:fldCharType="end"/>
      </w:r>
    </w:p>
  </w:endnote>
  <w:endnote w:id="71">
    <w:p w14:paraId="7E3DDEFF" w14:textId="43CBCFA3" w:rsidR="009A7EF2" w:rsidRDefault="009A7EF2" w:rsidP="00941C30">
      <w:pPr>
        <w:pStyle w:val="EndnoteText"/>
      </w:pPr>
      <w:r>
        <w:rPr>
          <w:rStyle w:val="EndnoteReference"/>
        </w:rPr>
        <w:endnoteRef/>
      </w:r>
      <w:r>
        <w:t xml:space="preserve"> </w:t>
      </w:r>
      <w:r>
        <w:fldChar w:fldCharType="begin"/>
      </w:r>
      <w:r>
        <w:instrText xml:space="preserve"> ADDIN ZOTERO_ITEM CSL_CITATION {"citationID":"anr4bed8nr","properties":{"formattedCitation":"{\\rtf Mark Muro, \\uc0\\u8220{}Where the Robots Are,\\uc0\\u8221{} {\\i{}Brookings} (blog), August 14, 2017, https://www.brookings.edu/blog/the-avenue/2017/08/14/where-the-robots-are/.}","plainCitation":"Mark Muro, “Where the Robots Are,” Brookings (blog), August 14, 2017, https://www.brookings.edu/blog/the-avenue/2017/08/14/where-the-robots-are/."},"citationItems":[{"id":186,"uris":["http://zotero.org/groups/2046111/items/LQYZFWYK"],"uri":["http://zotero.org/groups/2046111/items/LQYZFWYK"],"itemData":{"id":186,"type":"post-weblog","title":"Where the robots are","container-title":"Brookings","abstract":"Where are the robots, exactly? One answer—if you read the steady flow of doomy articles online — is that automation is everywhere, not just all over the media but (you would have to conclude) thoro…","URL":"https://www.brookings.edu/blog/the-avenue/2017/08/14/where-the-robots-are/","language":"en-US","author":[{"family":"Muro","given":"Mark"}],"issued":{"date-parts":[["2017",8,14]]},"accessed":{"date-parts":[["2018",1,15]]}}}],"schema":"https://github.com/citation-style-language/schema/raw/master/csl-citation.json"} </w:instrText>
      </w:r>
      <w:r>
        <w:fldChar w:fldCharType="separate"/>
      </w:r>
      <w:r w:rsidRPr="00655962">
        <w:rPr>
          <w:rFonts w:ascii="Calibri" w:hAnsi="Calibri" w:cs="Times New Roman"/>
          <w:szCs w:val="24"/>
        </w:rPr>
        <w:t xml:space="preserve">Mark Muro, “Where the Robots Are,” </w:t>
      </w:r>
      <w:r w:rsidRPr="00655962">
        <w:rPr>
          <w:rFonts w:ascii="Calibri" w:hAnsi="Calibri" w:cs="Times New Roman"/>
          <w:i/>
          <w:iCs/>
          <w:szCs w:val="24"/>
        </w:rPr>
        <w:t>Brookings</w:t>
      </w:r>
      <w:r w:rsidRPr="00655962">
        <w:rPr>
          <w:rFonts w:ascii="Calibri" w:hAnsi="Calibri" w:cs="Times New Roman"/>
          <w:szCs w:val="24"/>
        </w:rPr>
        <w:t xml:space="preserve"> (blog), August 14, 2017, https://www.brookings.edu/blog/the-avenue/2017/08/14/where-the-robots-are/.</w:t>
      </w:r>
      <w:r>
        <w:fldChar w:fldCharType="end"/>
      </w:r>
    </w:p>
  </w:endnote>
  <w:endnote w:id="72">
    <w:p w14:paraId="26A0D13A" w14:textId="5CA27D8B" w:rsidR="009A7EF2" w:rsidRDefault="009A7EF2" w:rsidP="00941C30">
      <w:pPr>
        <w:pStyle w:val="EndnoteText"/>
      </w:pPr>
      <w:r>
        <w:rPr>
          <w:rStyle w:val="EndnoteReference"/>
        </w:rPr>
        <w:endnoteRef/>
      </w:r>
      <w:r>
        <w:t xml:space="preserve"> </w:t>
      </w:r>
      <w:r>
        <w:fldChar w:fldCharType="begin"/>
      </w:r>
      <w:r>
        <w:instrText xml:space="preserve"> ADDIN ZOTERO_ITEM CSL_CITATION {"citationID":"ats3eh5u2","properties":{"formattedCitation":"{\\rtf Amy Liu and Alan Berube, \\uc0\\u8220{}Achieving an Advanced Economy That Works for All: The Brookings Metropolitan Policy Program in 2016 and Beyond,\\uc0\\u8221{} January 6, 2016, https://www.brookings.edu/research/achieving-an-advanced-economy-that-works-for-all-the-brookings-metropolitan-policy-program-in-2016-and-beyond/.}","plainCitation":"Amy Liu and Alan Berube, “Achieving an Advanced Economy That Works for All: The Brookings Metropolitan Policy Program in 2016 and Beyond,” January 6, 2016, https://www.brookings.edu/research/achieving-an-advanced-economy-that-works-for-all-the-brookings-metropolitan-policy-program-in-2016-and-beyond/."},"citationItems":[{"id":114,"uris":["http://zotero.org/groups/2046111/items/ZWZ9A7FV"],"uri":["http://zotero.org/groups/2046111/items/ZWZ9A7FV"],"itemData":{"id":114,"type":"report","title":"Achieving an advanced economy that works for all: The Brookings Metropolitan Policy Program in 2016 and beyond","abstract":"Although 2016 marks the seventh year of the U.S. economy’s recovery from the Great Recession, large numbers of people and places have made limited progress, and economic uncertainties remain significant. To address these challenges and secure lasting, broad-based prosperity, we must harness the unique assets of our cities and metropolitan areas. In 2016 and beyond, the Brookings Metropolitan Policy Program will help translate new evidence and ideas into tangible actions that enable our city and metropolitan leaders to build an advanced economy that works for all.","URL":"https://www.brookings.edu/research/achieving-an-advanced-economy-that-works-for-all-the-brookings-metropolitan-policy-program-in-2016-and-beyond/","shortTitle":"Achieving an advanced economy that works for all","author":[{"family":"Liu","given":"Amy"},{"family":"Berube","given":"Alan"}],"issued":{"date-parts":[["2016",1,6]]},"accessed":{"date-parts":[["2018",1,5]]}}}],"schema":"https://github.com/citation-style-language/schema/raw/master/csl-citation.json"} </w:instrText>
      </w:r>
      <w:r>
        <w:fldChar w:fldCharType="separate"/>
      </w:r>
      <w:r w:rsidRPr="00655962">
        <w:rPr>
          <w:rFonts w:ascii="Calibri" w:hAnsi="Calibri" w:cs="Times New Roman"/>
          <w:szCs w:val="24"/>
        </w:rPr>
        <w:t>Amy Liu and Alan Berube, “Achieving an Advanced Economy That Works for All: The Brookings Metropolitan Policy Program in 2016 and Beyond,” January 6, 2016, https://www.brookings.edu/research/achieving-an-advanced-economy-that-works-for-all-the-brookings-metropolitan-policy-program-in-2016-and-beyond/.</w:t>
      </w:r>
      <w:r>
        <w:fldChar w:fldCharType="end"/>
      </w:r>
    </w:p>
  </w:endnote>
  <w:endnote w:id="73">
    <w:p w14:paraId="028769D4" w14:textId="32A91FB9" w:rsidR="009A7EF2" w:rsidRDefault="009A7EF2" w:rsidP="00941C30">
      <w:pPr>
        <w:pStyle w:val="EndnoteText"/>
      </w:pPr>
      <w:r>
        <w:rPr>
          <w:rStyle w:val="EndnoteReference"/>
        </w:rPr>
        <w:endnoteRef/>
      </w:r>
      <w:r>
        <w:t xml:space="preserve"> </w:t>
      </w:r>
      <w:r>
        <w:fldChar w:fldCharType="begin"/>
      </w:r>
      <w:r>
        <w:instrText xml:space="preserve"> ADDIN ZOTERO_ITEM CSL_CITATION {"citationID":"jhnjm9id2","properties":{"formattedCitation":"{\\rtf Moretti, {\\i{}The New Geography of Jobs}.}","plainCitation":"Moretti, The New Geography of Jobs."},"citationItems":[{"id":113,"uris":["http://zotero.org/groups/2046111/items/GZVF9RUA"],"uri":["http://zotero.org/groups/2046111/items/GZVF9RUA"],"itemData":{"id":113,"type":"book","title":"The New Geography of Jobs","publisher":"Houghton Mifflin Harcourt","publisher-place":"New York","event-place":"New York","author":[{"family":"Moretti","given":"Enrico"}],"issued":{"date-parts":[["2012"]]}}}],"schema":"https://github.com/citation-style-language/schema/raw/master/csl-citation.json"} </w:instrText>
      </w:r>
      <w:r>
        <w:fldChar w:fldCharType="separate"/>
      </w:r>
      <w:r w:rsidRPr="002F1ABD">
        <w:rPr>
          <w:rFonts w:ascii="Calibri" w:hAnsi="Calibri" w:cs="Times New Roman"/>
          <w:szCs w:val="24"/>
        </w:rPr>
        <w:t xml:space="preserve">Moretti, </w:t>
      </w:r>
      <w:r w:rsidRPr="002F1ABD">
        <w:rPr>
          <w:rFonts w:ascii="Calibri" w:hAnsi="Calibri" w:cs="Times New Roman"/>
          <w:i/>
          <w:iCs/>
          <w:szCs w:val="24"/>
        </w:rPr>
        <w:t>The New Geography of Jobs</w:t>
      </w:r>
      <w:r w:rsidRPr="002F1ABD">
        <w:rPr>
          <w:rFonts w:ascii="Calibri" w:hAnsi="Calibri" w:cs="Times New Roman"/>
          <w:szCs w:val="24"/>
        </w:rPr>
        <w:t>.</w:t>
      </w:r>
      <w:r>
        <w:fldChar w:fldCharType="end"/>
      </w:r>
    </w:p>
  </w:endnote>
  <w:endnote w:id="74">
    <w:p w14:paraId="1FF38FA2" w14:textId="47B94611" w:rsidR="009A7EF2" w:rsidRDefault="009A7EF2" w:rsidP="00941C30">
      <w:pPr>
        <w:pStyle w:val="EndnoteText"/>
      </w:pPr>
      <w:r>
        <w:rPr>
          <w:rStyle w:val="EndnoteReference"/>
        </w:rPr>
        <w:endnoteRef/>
      </w:r>
      <w:r>
        <w:t xml:space="preserve"> </w:t>
      </w:r>
      <w:r>
        <w:fldChar w:fldCharType="begin"/>
      </w:r>
      <w:r>
        <w:instrText xml:space="preserve"> ADDIN ZOTERO_ITEM CSL_CITATION {"citationID":"ap6q5qktad","properties":{"formattedCitation":"{\\rtf Amy Liu and Mark Muro, \\uc0\\u8220{}Beyond \\uc0\\u8216{}Amazon Idol\\uc0\\u8217{} toward a Real Regional Growth Strategy,\\uc0\\u8221{} {\\i{}Brookings} (blog), September 22, 2017, https://www.brookings.edu/blog/the-avenue/2017/09/22/beyond-amazon-idol-toward-a-real-regional-growth-policy/.}","plainCitation":"Amy Liu and Mark Muro, “Beyond ‘Amazon Idol’ toward a Real Regional Growth Strategy,” Brookings (blog), September 22, 2017, https://www.brookings.edu/blog/the-avenue/2017/09/22/beyond-amazon-idol-toward-a-real-regional-growth-policy/."},"citationItems":[{"id":188,"uris":["http://zotero.org/groups/2046111/items/MGUSRABH"],"uri":["http://zotero.org/groups/2046111/items/MGUSRABH"],"itemData":{"id":188,"type":"post-weblog","title":"Beyond “Amazon Idol” toward a real regional growth strategy","container-title":"Brookings","abstract":"Amazon’s request for proposals (RFP) for a second headquarters complex continues to rivet city lovers, economic development leaders, and the site selection crowd (and its critics). Like a reality T…","URL":"https://www.brookings.edu/blog/the-avenue/2017/09/22/beyond-amazon-idol-toward-a-real-regional-growth-policy/","language":"en-US","author":[{"family":"Liu","given":"Amy"},{"family":"Muro","given":"Mark"}],"issued":{"date-parts":[["2017",9,22]]},"accessed":{"date-parts":[["2018",1,15]]}}}],"schema":"https://github.com/citation-style-language/schema/raw/master/csl-citation.json"} </w:instrText>
      </w:r>
      <w:r>
        <w:fldChar w:fldCharType="separate"/>
      </w:r>
      <w:r w:rsidRPr="00655962">
        <w:rPr>
          <w:rFonts w:ascii="Calibri" w:hAnsi="Calibri" w:cs="Times New Roman"/>
          <w:szCs w:val="24"/>
        </w:rPr>
        <w:t xml:space="preserve">Amy Liu and Mark Muro, “Beyond ‘Amazon Idol’ toward a Real Regional Growth Strategy,” </w:t>
      </w:r>
      <w:r w:rsidRPr="00655962">
        <w:rPr>
          <w:rFonts w:ascii="Calibri" w:hAnsi="Calibri" w:cs="Times New Roman"/>
          <w:i/>
          <w:iCs/>
          <w:szCs w:val="24"/>
        </w:rPr>
        <w:t>Brookings</w:t>
      </w:r>
      <w:r w:rsidRPr="00655962">
        <w:rPr>
          <w:rFonts w:ascii="Calibri" w:hAnsi="Calibri" w:cs="Times New Roman"/>
          <w:szCs w:val="24"/>
        </w:rPr>
        <w:t xml:space="preserve"> (blog), September 22, 2017, https://www.brookings.edu/blog/the-avenue/2017/09/22/beyond-amazon-idol-toward-a-real-regional-growth-policy/.</w:t>
      </w:r>
      <w:r>
        <w:fldChar w:fldCharType="end"/>
      </w:r>
    </w:p>
  </w:endnote>
  <w:endnote w:id="75">
    <w:p w14:paraId="5DD9F45F" w14:textId="156ADDC8" w:rsidR="009A7EF2" w:rsidRDefault="009A7EF2" w:rsidP="00941C30">
      <w:pPr>
        <w:pStyle w:val="EndnoteText"/>
      </w:pPr>
      <w:r>
        <w:rPr>
          <w:rStyle w:val="EndnoteReference"/>
        </w:rPr>
        <w:endnoteRef/>
      </w:r>
      <w:r>
        <w:t xml:space="preserve"> </w:t>
      </w:r>
      <w:r>
        <w:fldChar w:fldCharType="begin"/>
      </w:r>
      <w:r>
        <w:instrText xml:space="preserve"> ADDIN ZOTERO_ITEM CSL_CITATION {"citationID":"27ctni9e5d","properties":{"formattedCitation":"{\\rtf Elizabeth Kneebone and Natalie Holmes, \\uc0\\u8220{}The Growing Distance between People and Jobs in Metropolitan America,\\uc0\\u8221{} March 24, 2015, https://www.brookings.edu/research/the-growing-distance-between-people-and-jobs-in-metropolitan-america/.}","plainCitation":"Elizabeth Kneebone and Natalie Holmes, “The Growing Distance between People and Jobs in Metropolitan America,” March 24, 2015, https://www.brookings.edu/research/the-growing-distance-between-people-and-jobs-in-metropolitan-america/."},"citationItems":[{"id":116,"uris":["http://zotero.org/groups/2046111/items/9MUM7NPW"],"uri":["http://zotero.org/groups/2046111/items/9MUM7NPW"],"itemData":{"id":116,"type":"report","title":"The growing distance between people and jobs in metropolitan America","abstract":"Proximity to employment can influence a range of economic and social outcomes, from local fiscal health to the employment prospects of residents, particularly low-income and minority workers. This analysis of private-sector employment and demographic data at the census tract level reveals the importance of understanding how regional economic and demographic trends intersect at the local level to shape access to employment opportunities, particularly for disadvantaged populations and neighborhoods.","URL":"https://www.brookings.edu/research/the-growing-distance-between-people-and-jobs-in-metropolitan-america/","author":[{"family":"Kneebone","given":"Elizabeth"},{"family":"Holmes","given":"Natalie"}],"issued":{"date-parts":[["2015",3,24]]},"accessed":{"date-parts":[["2018",1,5]]}}}],"schema":"https://github.com/citation-style-language/schema/raw/master/csl-citation.json"} </w:instrText>
      </w:r>
      <w:r>
        <w:fldChar w:fldCharType="separate"/>
      </w:r>
      <w:r w:rsidRPr="002F1ABD">
        <w:rPr>
          <w:rFonts w:ascii="Calibri" w:hAnsi="Calibri" w:cs="Times New Roman"/>
          <w:szCs w:val="24"/>
        </w:rPr>
        <w:t>Elizabeth Kneebone and Natalie Holmes, “The Growing Distance between People and Jobs in Metropolitan America,” March 24, 2015, https://www.brookings.edu/research/the-growing-distance-between-people-and-jobs-in-metropolitan-america/.</w:t>
      </w:r>
      <w:r>
        <w:fldChar w:fldCharType="end"/>
      </w:r>
    </w:p>
  </w:endnote>
  <w:endnote w:id="76">
    <w:p w14:paraId="0D80CC0A" w14:textId="57694E78" w:rsidR="009A7EF2" w:rsidRDefault="009A7EF2" w:rsidP="00941C30">
      <w:pPr>
        <w:pStyle w:val="EndnoteText"/>
      </w:pPr>
      <w:r>
        <w:rPr>
          <w:rStyle w:val="EndnoteReference"/>
        </w:rPr>
        <w:endnoteRef/>
      </w:r>
      <w:r>
        <w:t xml:space="preserve"> </w:t>
      </w:r>
      <w:r>
        <w:fldChar w:fldCharType="begin"/>
      </w:r>
      <w:r w:rsidR="008C6B08">
        <w:instrText xml:space="preserve"> ADDIN ZOTERO_ITEM CSL_CITATION {"citationID":"aal2vddp0s","properties":{"formattedCitation":"{\\rtf William H. Frey, {\\i{}Diversity Explosion: How New Racial Demographics Are Remaking America} (Brookings Press, 2015), https://www.brookings.edu/book/diversity-explosion/.}","plainCitation":"William H. Frey, Diversity Explosion: How New Racial Demographics Are Remaking America (Brookings Press, 2015), https://www.brookings.edu/book/diversity-explosion/."},"citationItems":[{"id":190,"uris":["http://zotero.org/groups/2046111/items/F8K55VBU"],"uri":["http://zotero.org/groups/2046111/items/F8K55VBU"],"itemData":{"id":190,"type":"book","title":"Diversity Explosion: How New Racial Demographics Are Remaking America","publisher":"Brookings Press","URL":"https://www.brookings.edu/book/diversity-explosion/","author":[{"family":"Frey","given":"William H."}],"issued":{"date-parts":[["2015"]]},"accessed":{"date-parts":[["2018",1,15]]}}}],"schema":"https://github.com/citation-style-language/schema/raw/master/csl-citation.json"} </w:instrText>
      </w:r>
      <w:r>
        <w:fldChar w:fldCharType="separate"/>
      </w:r>
      <w:r w:rsidR="008C6B08" w:rsidRPr="008C6B08">
        <w:rPr>
          <w:rFonts w:ascii="Calibri" w:hAnsi="Calibri" w:cs="Times New Roman"/>
          <w:szCs w:val="24"/>
        </w:rPr>
        <w:t xml:space="preserve">William H. Frey, </w:t>
      </w:r>
      <w:r w:rsidR="008C6B08" w:rsidRPr="008C6B08">
        <w:rPr>
          <w:rFonts w:ascii="Calibri" w:hAnsi="Calibri" w:cs="Times New Roman"/>
          <w:i/>
          <w:iCs/>
          <w:szCs w:val="24"/>
        </w:rPr>
        <w:t>Diversity Explosion: How New Racial Demographics Are Remaking America</w:t>
      </w:r>
      <w:r w:rsidR="008C6B08" w:rsidRPr="008C6B08">
        <w:rPr>
          <w:rFonts w:ascii="Calibri" w:hAnsi="Calibri" w:cs="Times New Roman"/>
          <w:szCs w:val="24"/>
        </w:rPr>
        <w:t xml:space="preserve"> (Brookings Press, 2015), https://www.brookings.edu/book/diversity-explosion/.</w:t>
      </w:r>
      <w:r>
        <w:fldChar w:fldCharType="end"/>
      </w:r>
    </w:p>
  </w:endnote>
  <w:endnote w:id="77">
    <w:p w14:paraId="212041D9" w14:textId="77235EE5" w:rsidR="009A7EF2" w:rsidRDefault="009A7EF2" w:rsidP="00941C30">
      <w:pPr>
        <w:pStyle w:val="EndnoteText"/>
      </w:pPr>
      <w:r>
        <w:rPr>
          <w:rStyle w:val="EndnoteReference"/>
        </w:rPr>
        <w:endnoteRef/>
      </w:r>
      <w:r>
        <w:t xml:space="preserve"> </w:t>
      </w:r>
      <w:r>
        <w:fldChar w:fldCharType="begin"/>
      </w:r>
      <w:r>
        <w:instrText xml:space="preserve"> ADDIN ZOTERO_ITEM CSL_CITATION {"citationID":"10b9nutesc","properties":{"formattedCitation":"{\\rtf Pacetti, \\uc0\\u8220{}What Matters to Metros: Foundational Indicators for Economic Competitiveness.\\uc0\\u8221{}}","plainCitation":"Pacetti, “What Matters to Metros: Foundational Indicators for Economic Competitiveness.”"},"citationItems":[{"id":103,"uris":["http://zotero.org/groups/2046111/items/9HIFFA3P"],"uri":["http://zotero.org/groups/2046111/items/9HIFFA3P"],"itemData":{"id":103,"type":"report","title":"What Matters to Metros: Foundational Indicators for Economic Competitiveness","publisher":"Fund for Our Economic Future of Northeast Ohio","URL":"http://www.thefundneo.org/sites/default/files/content-media/13076_FUND_WMM_REVISED%201008.pdf","author":[{"family":"Pacetti","given":"Emily"}],"issued":{"date-parts":[["2013"]]},"accessed":{"date-parts":[["2018",1,5]]}}}],"schema":"https://github.com/citation-style-language/schema/raw/master/csl-citation.json"} </w:instrText>
      </w:r>
      <w:r>
        <w:fldChar w:fldCharType="separate"/>
      </w:r>
      <w:r w:rsidRPr="002F1ABD">
        <w:rPr>
          <w:rFonts w:ascii="Calibri" w:hAnsi="Calibri" w:cs="Times New Roman"/>
          <w:szCs w:val="24"/>
        </w:rPr>
        <w:t>Pacetti, “What Matters to Metros: Foundational Indicators for Economic Competitiveness.”</w:t>
      </w:r>
      <w:r>
        <w:fldChar w:fldCharType="end"/>
      </w:r>
    </w:p>
  </w:endnote>
  <w:endnote w:id="78">
    <w:p w14:paraId="6D8AEDBB" w14:textId="3424F042" w:rsidR="009A7EF2" w:rsidRDefault="009A7EF2" w:rsidP="00941C30">
      <w:pPr>
        <w:pStyle w:val="EndnoteText"/>
      </w:pPr>
      <w:r>
        <w:rPr>
          <w:rStyle w:val="EndnoteReference"/>
        </w:rPr>
        <w:endnoteRef/>
      </w:r>
      <w:r>
        <w:t xml:space="preserve"> </w:t>
      </w:r>
      <w:r>
        <w:fldChar w:fldCharType="begin"/>
      </w:r>
      <w:r>
        <w:instrText xml:space="preserve"> ADDIN ZOTERO_ITEM CSL_CITATION {"citationID":"2f78e3j8ae","properties":{"formattedCitation":"{\\rtf Gregory Acs et al., \\uc0\\u8220{}The Cost of Segregation,\\uc0\\u8221{} Urban Institute, March 27, 2017, https://www.urban.org/research/publication/cost-segregation.}","plainCitation":"Gregory Acs et al., “The Cost of Segregation,” Urban Institute, March 27, 2017, https://www.urban.org/research/publication/cost-segregation."},"citationItems":[{"id":107,"uris":["http://zotero.org/groups/2046111/items/7AXGRC26"],"uri":["http://zotero.org/groups/2046111/items/7AXGRC26"],"itemData":{"id":107,"type":"webpage","title":"The Cost of Segregation","container-title":"Urban Institute","abstract":"Policy-makers and advocates have spent decades trying to respond to the reality and consequences of racial residential segregation. Recently, there has been a growing effort to confront rising levels of economic segregation as well. While substantial evidence exists on the harms of segregation for people with lower incomes or racial and ethnic minorities, its effect on regional outcomes has been less clear Urban’s report addresses these questions and concerns by analyzing the 100 most populous commuting zones (which are similar to metropolitan areas) between 1990 and 2010. We found that one pattern holds across all of our measurements: economic segregation impedes the economic progress of a region’s residents, but particularly its black residents. This research has three main takeaways: The country is changing in terms of spatial patterns, but remains starkly segregated by race and income. There is a real cost to segregation, which varies by race and ethnicity. Chicago continues to struggle as a highly segregated metro area, which has major effects for all residents. Economic segregation fell in the 1990s, but started up again after 2000. Between 2000 and 2010, 72 commuting zones saw their economic segregation levels increase. Overall, blacks and whites tend to be more segregated from one another than Latinos and whites, although black-white segregation declined, on average, between 1990 and 2010. More racially segregated regions also tend to also be more economically segregated. The interconnected relationship between economic and racial segregation speaks to the fact that the costs segregation imposes on residents vary by race and ethnicity. Indeed, when looking at the effect of segregation on individual race groups, the clearest story emerges for black residents: Higher levels of economic segregation are associated with lower median and per capita income for blacks, while higher levels of black-white segregation are associated with lower black per capita income. Neither economic segregation nor racial segregation is significantly related to white or Latino median or per capita income. Higher levels of black-white segregation are also associated with lower levels of four-year college degree attainment for both blacks and whites, as well as higher homicide rates. In examining segregation within the Chicago region and the extent to which it influences quality of life outcomes there, we found mixed results. Although regional segregation levels have fallen slightly in recent decades, it remains one of the most segregated regions in the country, both in in regards to economic segregation and especially black-white and Latino-white segregation. We then estimated how much segregation costs the Chicago region by using our analysis results to determine how regional outcomes would change if Chicago’s segregation fell. If, for example, Chicago could reduce its level of economic segregation to the average level of the 100 largest commuting zones, we estimate that black capita incomes would go up by 2.7 percent (or $527), with an overall aggregate increase of $772 million. And if Chicago could reduce its level of black-white racial segregation to the average level of the 100 largest commuting zones, we estimate the following: Black per capita incomes would increase by 12.4 percent (or $2,455). Educational attainment rates for both black and white residents would increase by 2 percent each, with 83,000 more adults completing a college degree (78 percent of these new graduates would be white; 22 percent would be black). Finally, the city’s highly documented homicide rate would drop by 30 percent (e.g. the 553 homicides in 2010 would fall to 386, a decrease of 167 homicides). This report represents the first step in mapping out the implications of current trends on the Chicago region’s future trajectory, and to assess how policy levers could be used to address these developments and promote more equitable pathways. This research is based upon work supported by the Urban institute through funds provided by the Chicago Community Trust and the John D. and Catherine T. MacArthur Foundation. We thank them for their support but acknowledge that the findings and conclusions presented in this report are those of the authors alone, and do not necessarily reflect the opinions of the Urban Institute and the Metropolitan Planning Council.","URL":"https://www.urban.org/research/publication/cost-segregation","author":[{"family":"Acs","given":"Gregory"},{"family":"Pendall","given":"Rolf"},{"family":"Treskon","given":"Mark"},{"family":"Khare","given":"Amy"}],"issued":{"date-parts":[["2017",3,27]]},"accessed":{"date-parts":[["2018",1,5]]}}}],"schema":"https://github.com/citation-style-language/schema/raw/master/csl-citation.json"} </w:instrText>
      </w:r>
      <w:r>
        <w:fldChar w:fldCharType="separate"/>
      </w:r>
      <w:r w:rsidRPr="00655962">
        <w:rPr>
          <w:rFonts w:ascii="Calibri" w:hAnsi="Calibri" w:cs="Times New Roman"/>
          <w:szCs w:val="24"/>
        </w:rPr>
        <w:t>Gregory Acs et al., “The Cost of Segregation,” Urban Institute, March 27, 2017, https://www.urban.org/research/publication/cost-segregation.</w:t>
      </w:r>
      <w:r>
        <w:fldChar w:fldCharType="end"/>
      </w:r>
    </w:p>
  </w:endnote>
  <w:endnote w:id="79">
    <w:p w14:paraId="35FE71CA" w14:textId="166F4E04" w:rsidR="009A7EF2" w:rsidRDefault="009A7EF2">
      <w:pPr>
        <w:pStyle w:val="EndnoteText"/>
      </w:pPr>
      <w:r>
        <w:rPr>
          <w:rStyle w:val="EndnoteReference"/>
        </w:rPr>
        <w:endnoteRef/>
      </w:r>
      <w:r>
        <w:t xml:space="preserve"> These factors are well described in </w:t>
      </w:r>
      <w:proofErr w:type="spellStart"/>
      <w:r>
        <w:t>Mallach</w:t>
      </w:r>
      <w:proofErr w:type="spellEnd"/>
      <w:r>
        <w:t xml:space="preserve"> and Brachman, “Regenerating America’s Legacy Cities.”</w:t>
      </w:r>
    </w:p>
  </w:endnote>
  <w:endnote w:id="80">
    <w:p w14:paraId="05CF1F37" w14:textId="51968194" w:rsidR="009A7EF2" w:rsidRDefault="009A7EF2" w:rsidP="00941C30">
      <w:pPr>
        <w:pStyle w:val="EndnoteText"/>
      </w:pPr>
      <w:r>
        <w:rPr>
          <w:rStyle w:val="EndnoteReference"/>
        </w:rPr>
        <w:endnoteRef/>
      </w:r>
      <w:r>
        <w:t xml:space="preserve"> </w:t>
      </w:r>
      <w:r>
        <w:fldChar w:fldCharType="begin"/>
      </w:r>
      <w:r>
        <w:instrText xml:space="preserve"> ADDIN ZOTERO_ITEM CSL_CITATION {"citationID":"a2o4o4atb74","properties":{"formattedCitation":"{\\rtf Muro et al., \\uc0\\u8220{}Digitalization and the American Workforce.\\uc0\\u8221{}}","plainCitation":"Muro et al., “Digitalization and the American Workforce.”"},"citationItems":[{"id":95,"uris":["http://zotero.org/groups/2046111/items/JW42GEYU"],"uri":["http://zotero.org/groups/2046111/items/JW42GEYU"],"itemData":{"id":95,"type":"post-weblog","title":"Digitalization and the American workforce","container-title":"Brookings","abstract":"Over the last few decades, the rapid rise of digital technology has fundamentally changed the U.S. economy and the world of work. This new report explores how communities can spread the benefits of digitalization while mitigating its potentially harmful effects.","URL":"https://www.brookings.edu/research/digitalization-and-the-american-workforce/","author":[{"family":"Muro","given":"Mark"},{"family":"Liu","given":"Sifan"},{"family":"Whiton","given":"Jacob"},{"family":"Kulkarni","given":"Siddharth"}],"issued":{"date-parts":[["2017",11,15]]},"accessed":{"date-parts":[["2018",1,4]]}}}],"schema":"https://github.com/citation-style-language/schema/raw/master/csl-citation.json"} </w:instrText>
      </w:r>
      <w:r>
        <w:fldChar w:fldCharType="separate"/>
      </w:r>
      <w:r w:rsidRPr="002F1ABD">
        <w:rPr>
          <w:rFonts w:ascii="Calibri" w:hAnsi="Calibri" w:cs="Times New Roman"/>
          <w:szCs w:val="24"/>
        </w:rPr>
        <w:t>Muro et al., “Digitalization and the American Workforce.”</w:t>
      </w:r>
      <w:r>
        <w:fldChar w:fldCharType="end"/>
      </w:r>
    </w:p>
  </w:endnote>
  <w:endnote w:id="81">
    <w:p w14:paraId="1B1DA716" w14:textId="6A1F0DC9" w:rsidR="006070EF" w:rsidRDefault="006070EF">
      <w:pPr>
        <w:pStyle w:val="EndnoteText"/>
      </w:pPr>
      <w:r>
        <w:rPr>
          <w:rStyle w:val="EndnoteReference"/>
        </w:rPr>
        <w:endnoteRef/>
      </w:r>
      <w:r>
        <w:t xml:space="preserve"> </w:t>
      </w:r>
      <w:r>
        <w:fldChar w:fldCharType="begin"/>
      </w:r>
      <w:r>
        <w:instrText xml:space="preserve"> ADDIN ZOTERO_ITEM CSL_CITATION {"citationID":"UawJEq91","properties":{"formattedCitation":"{\\rtf John C. Austin, \\uc0\\u8220{}Tale of Two Rust Belts: Higher Education Is Driving Rust Belt Revival but Risks Abound,\\uc0\\u8221{} {\\i{}Brookings} (blog), December 19, 2017, https://www.brookings.edu/blog/the-avenue/2017/12/19/tale-of-two-rust-belts-higher-education-is-driving-rust-belt-revival-but-risks-abound/.}","plainCitation":"John C. Austin, “Tale of Two Rust Belts: Higher Education Is Driving Rust Belt Revival but Risks Abound,” Brookings (blog), December 19, 2017, https://www.brookings.edu/blog/the-avenue/2017/12/19/tale-of-two-rust-belts-higher-education-is-driving-rust-belt-revival-but-risks-abound/."},"citationItems":[{"id":333,"uris":["http://zotero.org/groups/2046111/items/R94SWU38"],"uri":["http://zotero.org/groups/2046111/items/R94SWU38"],"itemData":{"id":333,"type":"post-weblog","title":"Tale of two Rust Belts: Higher education is driving Rust Belt revival but risks abound","container-title":"Brookings","abstract":"In the last entry of this series, I explored how some communities in the Great Lakes-Rust Belt region have managed to leverage particular assets or adopt innovative economic development strategies–…","URL":"https://www.brookings.edu/blog/the-avenue/2017/12/19/tale-of-two-rust-belts-higher-education-is-driving-rust-belt-revival-but-risks-abound/","shortTitle":"Tale of two Rust Belts","language":"en-US","author":[{"family":"Austin","given":"John C."}],"issued":{"date-parts":[["2017",12,19]]},"accessed":{"date-parts":[["2018",2,16]]}}}],"schema":"https://github.com/citation-style-language/schema/raw/master/csl-citation.json"} </w:instrText>
      </w:r>
      <w:r>
        <w:fldChar w:fldCharType="separate"/>
      </w:r>
      <w:r w:rsidRPr="006070EF">
        <w:rPr>
          <w:rFonts w:ascii="Calibri" w:hAnsi="Calibri" w:cs="Times New Roman"/>
          <w:szCs w:val="24"/>
        </w:rPr>
        <w:t xml:space="preserve">John C. Austin, “Tale of Two Rust Belts: Higher Education Is Driving Rust Belt Revival but Risks Abound,” </w:t>
      </w:r>
      <w:r w:rsidRPr="006070EF">
        <w:rPr>
          <w:rFonts w:ascii="Calibri" w:hAnsi="Calibri" w:cs="Times New Roman"/>
          <w:i/>
          <w:iCs/>
          <w:szCs w:val="24"/>
        </w:rPr>
        <w:t>Brookings</w:t>
      </w:r>
      <w:r w:rsidRPr="006070EF">
        <w:rPr>
          <w:rFonts w:ascii="Calibri" w:hAnsi="Calibri" w:cs="Times New Roman"/>
          <w:szCs w:val="24"/>
        </w:rPr>
        <w:t xml:space="preserve"> (blog), December 19, 2017, https://www.brookings.edu/blog/the-avenue/2017/12/19/tale-of-two-rust-belts-higher-education-is-driving-rust-belt-revival-but-risks-abound/.</w:t>
      </w:r>
      <w:r>
        <w:fldChar w:fldCharType="end"/>
      </w:r>
    </w:p>
  </w:endnote>
  <w:endnote w:id="82">
    <w:p w14:paraId="1EB53E8B" w14:textId="1CF7BFEE" w:rsidR="009A7EF2" w:rsidRDefault="009A7EF2">
      <w:pPr>
        <w:pStyle w:val="EndnoteText"/>
      </w:pPr>
      <w:r>
        <w:rPr>
          <w:rStyle w:val="EndnoteReference"/>
        </w:rPr>
        <w:endnoteRef/>
      </w:r>
      <w:r>
        <w:t xml:space="preserve"> </w:t>
      </w:r>
      <w:r>
        <w:fldChar w:fldCharType="begin"/>
      </w:r>
      <w:r>
        <w:instrText xml:space="preserve"> ADDIN ZOTERO_ITEM CSL_CITATION {"citationID":"mPjYaarA","properties":{"formattedCitation":"{\\rtf Mark Muro Kulkarni Jonathan Rothwell, Scott Andes, Kenan Fikri, and Siddharth, \\uc0\\u8220{}America\\uc0\\u8217{}s Advanced Industries: What They Are, Where They Are, and Why They Matter,\\uc0\\u8221{} {\\i{}Brookings} (blog), February 3, 2015, https://www.brookings.edu/research/americas-advanced-industries-what-they-are-where-they-are-and-why-they-matter/.}","plainCitation":"Mark Muro Kulkarni Jonathan Rothwell, Scott Andes, Kenan Fikri, and Siddharth, “America’s Advanced Industries: What They Are, Where They Are, and Why They Matter,” Brookings (blog), February 3, 2015, https://www.brookings.edu/research/americas-advanced-industries-what-they-are-where-they-are-and-why-they-matter/."},"citationItems":[{"id":286,"uris":["http://zotero.org/groups/2046111/items/MQDQSJNB"],"uri":["http://zotero.org/groups/2046111/items/MQDQSJNB"],"itemData":{"id":286,"type":"post-weblog","title":"America’s Advanced Industries: What They Are, Where They Are, and Why They Matter","container-title":"Brookings","abstract":"Characterized by high-levels of R&amp;D and a heavy reliance on STEM workers, advanced industries power U.S. economic growth and development. This report defines the sector and why it matters, examines its geography, assesses its international standing, and outlines strategies for enhancing U.S. competitiveness.","URL":"https://www.brookings.edu/research/americas-advanced-industries-what-they-are-where-they-are-and-why-they-matter/","shortTitle":"America’s Advanced Industries","language":"en-US","author":[{"family":"Kulkarni","given":"Mark Muro","suffix":"Jonathan Rothwell, Scott Andes, Kenan Fikri, and Siddharth"}],"issued":{"date-parts":[["2015",2,3]]},"accessed":{"date-parts":[["2018",2,7]]}}}],"schema":"https://github.com/citation-style-language/schema/raw/master/csl-citation.json"} </w:instrText>
      </w:r>
      <w:r>
        <w:fldChar w:fldCharType="separate"/>
      </w:r>
      <w:r w:rsidRPr="00E71B2A">
        <w:rPr>
          <w:rFonts w:ascii="Calibri" w:hAnsi="Calibri" w:cs="Times New Roman"/>
          <w:szCs w:val="24"/>
        </w:rPr>
        <w:t xml:space="preserve">Mark Muro Kulkarni Jonathan Rothwell, Scott Andes, Kenan Fikri, and Siddharth, “America’s Advanced Industries: What They Are, Where They Are, and Why They Matter,” </w:t>
      </w:r>
      <w:r w:rsidRPr="00E71B2A">
        <w:rPr>
          <w:rFonts w:ascii="Calibri" w:hAnsi="Calibri" w:cs="Times New Roman"/>
          <w:i/>
          <w:iCs/>
          <w:szCs w:val="24"/>
        </w:rPr>
        <w:t>Brookings</w:t>
      </w:r>
      <w:r w:rsidRPr="00E71B2A">
        <w:rPr>
          <w:rFonts w:ascii="Calibri" w:hAnsi="Calibri" w:cs="Times New Roman"/>
          <w:szCs w:val="24"/>
        </w:rPr>
        <w:t xml:space="preserve"> (blog), February 3, 2015, https://www.brookings.edu/research/americas-advanced-industries-what-they-are-where-they-are-and-why-they-matter/.</w:t>
      </w:r>
      <w:r>
        <w:fldChar w:fldCharType="end"/>
      </w:r>
    </w:p>
  </w:endnote>
  <w:endnote w:id="83">
    <w:p w14:paraId="75ED3341" w14:textId="0AB3D8BF" w:rsidR="009A7EF2" w:rsidRDefault="009A7EF2" w:rsidP="00941C30">
      <w:pPr>
        <w:pStyle w:val="EndnoteText"/>
      </w:pPr>
      <w:r>
        <w:rPr>
          <w:rStyle w:val="EndnoteReference"/>
        </w:rPr>
        <w:endnoteRef/>
      </w:r>
      <w:r>
        <w:t xml:space="preserve"> </w:t>
      </w:r>
      <w:r>
        <w:fldChar w:fldCharType="begin"/>
      </w:r>
      <w:r>
        <w:instrText xml:space="preserve"> ADDIN ZOTERO_ITEM CSL_CITATION {"citationID":"a2fu5etn3gv","properties":{"formattedCitation":"{\\rtf Brad Cunningham, \\uc0\\u8220{}Cities: Where the Economy Plays Scrabble,\\uc0\\u8221{} {\\i{}Brookings} (blog), July 6, 2017, https://www.brookings.edu/blog/the-avenue/2017/07/06/cities-where-the-economy-plays-scrabble/.}","plainCitation":"Brad Cunningham, “Cities: Where the Economy Plays Scrabble,” Brookings (blog), July 6, 2017, https://www.brookings.edu/blog/the-avenue/2017/07/06/cities-where-the-economy-plays-scrabble/."},"citationItems":[{"id":97,"uris":["http://zotero.org/groups/2046111/items/F5IDFU4I"],"uri":["http://zotero.org/groups/2046111/items/F5IDFU4I"],"itemData":{"id":97,"type":"post-weblog","title":"Cities: Where the economy plays scrabble","container-title":"Brookings","abstract":"In my last post I argued that our canonical models of economic growth don’t help us think about the important role that cities have to play in that process. In this post, I’ll introduce a model tha…","URL":"https://www.brookings.edu/blog/the-avenue/2017/07/06/cities-where-the-economy-plays-scrabble/","shortTitle":"Cities","author":[{"family":"Cunningham","given":"Brad"}],"issued":{"date-parts":[["2017",7,6]]},"accessed":{"date-parts":[["2018",1,4]]}}}],"schema":"https://github.com/citation-style-language/schema/raw/master/csl-citation.json"} </w:instrText>
      </w:r>
      <w:r>
        <w:fldChar w:fldCharType="separate"/>
      </w:r>
      <w:r w:rsidRPr="00655962">
        <w:rPr>
          <w:rFonts w:ascii="Calibri" w:hAnsi="Calibri" w:cs="Times New Roman"/>
          <w:szCs w:val="24"/>
        </w:rPr>
        <w:t xml:space="preserve">Brad Cunningham, “Cities: Where the Economy Plays Scrabble,” </w:t>
      </w:r>
      <w:r w:rsidRPr="00655962">
        <w:rPr>
          <w:rFonts w:ascii="Calibri" w:hAnsi="Calibri" w:cs="Times New Roman"/>
          <w:i/>
          <w:iCs/>
          <w:szCs w:val="24"/>
        </w:rPr>
        <w:t>Brookings</w:t>
      </w:r>
      <w:r w:rsidRPr="00655962">
        <w:rPr>
          <w:rFonts w:ascii="Calibri" w:hAnsi="Calibri" w:cs="Times New Roman"/>
          <w:szCs w:val="24"/>
        </w:rPr>
        <w:t xml:space="preserve"> (blog), July 6, 2017, https://www.brookings.edu/blog/the-avenue/2017/07/06/cities-where-the-economy-plays-scrabble/.</w:t>
      </w:r>
      <w:r>
        <w:fldChar w:fldCharType="end"/>
      </w:r>
    </w:p>
  </w:endnote>
  <w:endnote w:id="84">
    <w:p w14:paraId="27D4403F" w14:textId="0C203435" w:rsidR="009A7EF2" w:rsidRDefault="009A7EF2" w:rsidP="00941C30">
      <w:pPr>
        <w:pStyle w:val="EndnoteText"/>
      </w:pPr>
      <w:r>
        <w:rPr>
          <w:rStyle w:val="EndnoteReference"/>
        </w:rPr>
        <w:endnoteRef/>
      </w:r>
      <w:r>
        <w:t xml:space="preserve"> </w:t>
      </w:r>
      <w:r>
        <w:fldChar w:fldCharType="begin"/>
      </w:r>
      <w:r>
        <w:instrText xml:space="preserve"> ADDIN ZOTERO_ITEM CSL_CITATION {"citationID":"aj5bujh3gu","properties":{"formattedCitation":"{\\rtf Ricardo Hausmann et al., {\\i{}The Atlas of Economic Complexity: Mapping Paths to Prosperity} (Cambridge: MIT Press, 2013).}","plainCitation":"Ricardo Hausmann et al., The Atlas of Economic Complexity: Mapping Paths to Prosperity (Cambridge: MIT Press, 2013)."},"citationItems":[{"id":99,"uris":["http://zotero.org/groups/2046111/items/D4YHEXSN"],"uri":["http://zotero.org/groups/2046111/items/D4YHEXSN"],"itemData":{"id":99,"type":"book","title":"The Atlas of Economic Complexity: Mapping Paths to Prosperity","publisher":"MIT Press","publisher-place":"Cambridge","number-of-pages":"367","event-place":"Cambridge","shortTitle":"The Atlas of Economic Complexity","author":[{"family":"Hausmann","given":"Ricardo"},{"family":"Hidalgo","given":"César A."},{"family":"Bustos","given":"Sebastian"},{"family":"Coscia","given":"Michele"},{"family":"Simoes","given":"Alexander"},{"family":"Yildirim","given":"Muhammed A."}],"issued":{"date-parts":[["2013"]]}}}],"schema":"https://github.com/citation-style-language/schema/raw/master/csl-citation.json"} </w:instrText>
      </w:r>
      <w:r>
        <w:fldChar w:fldCharType="separate"/>
      </w:r>
      <w:r w:rsidRPr="002F1ABD">
        <w:rPr>
          <w:rFonts w:ascii="Calibri" w:hAnsi="Calibri" w:cs="Times New Roman"/>
          <w:szCs w:val="24"/>
        </w:rPr>
        <w:t xml:space="preserve">Ricardo Hausmann et al., </w:t>
      </w:r>
      <w:r w:rsidRPr="002F1ABD">
        <w:rPr>
          <w:rFonts w:ascii="Calibri" w:hAnsi="Calibri" w:cs="Times New Roman"/>
          <w:i/>
          <w:iCs/>
          <w:szCs w:val="24"/>
        </w:rPr>
        <w:t>The Atlas of Economic Complexity: Mapping Paths to Prosperity</w:t>
      </w:r>
      <w:r w:rsidRPr="002F1ABD">
        <w:rPr>
          <w:rFonts w:ascii="Calibri" w:hAnsi="Calibri" w:cs="Times New Roman"/>
          <w:szCs w:val="24"/>
        </w:rPr>
        <w:t xml:space="preserve"> (Cambridge: MIT Press, 2013).</w:t>
      </w:r>
      <w:r>
        <w:fldChar w:fldCharType="end"/>
      </w:r>
    </w:p>
  </w:endnote>
  <w:endnote w:id="85">
    <w:p w14:paraId="273E3537" w14:textId="5DCD6542" w:rsidR="006070EF" w:rsidRDefault="006070EF">
      <w:pPr>
        <w:pStyle w:val="EndnoteText"/>
      </w:pPr>
      <w:r>
        <w:rPr>
          <w:rStyle w:val="EndnoteReference"/>
        </w:rPr>
        <w:endnoteRef/>
      </w:r>
      <w:r>
        <w:t xml:space="preserve"> The data here were produced by Dieter Kogler at University </w:t>
      </w:r>
      <w:r w:rsidR="00EB14F4">
        <w:t>College Dublin</w:t>
      </w:r>
      <w:r>
        <w:t xml:space="preserve"> and David Rigby at UCLA. </w:t>
      </w:r>
      <w:r>
        <w:fldChar w:fldCharType="begin"/>
      </w:r>
      <w:r>
        <w:instrText xml:space="preserve"> ADDIN ZOTERO_ITEM CSL_CITATION {"citationID":"ogNOZPEb","properties":{"formattedCitation":"{\\rtf Dieter F. Kogler, J\\uc0\\u252{}rgen Essletzbichler, and David L. Rigby, \\uc0\\u8220{}The Evolution of Specialization in the EU15 Knowledge Space,\\uc0\\u8221{} {\\i{}Journal of Economic Geography} 17, no. 2 (2017): 345\\uc0\\u8211{}73.}","plainCitation":"Dieter F. Kogler, Jürgen Essletzbichler, and David L. Rigby, “The Evolution of Specialization in the EU15 Knowledge Space,” Journal of Economic Geography 17, no. 2 (2017): 345–73."},"citationItems":[{"id":335,"uris":["http://zotero.org/groups/2046111/items/NQWUUNNY"],"uri":["http://zotero.org/groups/2046111/items/NQWUUNNY"],"itemData":{"id":335,"type":"article-journal","title":"The evolution of specialization in the EU15 knowledge space","container-title":"Journal of Economic Geography","page":"345-373","volume":"17","issue":"2","source":"ideas.repec.org","abstract":"Significant attention has been directed to processes of knowledge production, but little consideration has been given to the type of technological knowledge produced within specific places. Patent co-classification data are employed to measure the distance between all pairs of International Patent Classification categories in order to visualize and to trace the evolution of the EU15 knowledge space from 1981 to 2005. Technological relatedness measures specify the degree of specialization of knowledge produced within each NUTS2 region. Knowledge specialization has increased significantly across regions since 1981. Changes in the average relatedness of regional knowledge cores are decomposed to reveal the contributions of technological entry, exit and selection processes over space and time. In a final section of the paper, technological diversification and abandonment at the regional level are modeled as a function of proximity to the knowledge core of the region and to knowledge spillovers from neighboring regions.","language":"en","author":[{"family":"Kogler","given":"Dieter F."},{"family":"Essletzbichler","given":"Jürgen"},{"family":"Rigby","given":"David L."}],"issued":{"date-parts":[["2017"]]}}}],"schema":"https://github.com/citation-style-language/schema/raw/master/csl-citation.json"} </w:instrText>
      </w:r>
      <w:r>
        <w:fldChar w:fldCharType="separate"/>
      </w:r>
      <w:r w:rsidRPr="006070EF">
        <w:rPr>
          <w:rFonts w:ascii="Calibri" w:hAnsi="Calibri" w:cs="Times New Roman"/>
          <w:szCs w:val="24"/>
        </w:rPr>
        <w:t xml:space="preserve">Dieter F. Kogler, Jürgen Essletzbichler, and David L. Rigby, “The Evolution of Specialization in the EU15 Knowledge Space,” </w:t>
      </w:r>
      <w:r w:rsidRPr="006070EF">
        <w:rPr>
          <w:rFonts w:ascii="Calibri" w:hAnsi="Calibri" w:cs="Times New Roman"/>
          <w:i/>
          <w:iCs/>
          <w:szCs w:val="24"/>
        </w:rPr>
        <w:t>Journal of Economic Geography</w:t>
      </w:r>
      <w:r w:rsidRPr="006070EF">
        <w:rPr>
          <w:rFonts w:ascii="Calibri" w:hAnsi="Calibri" w:cs="Times New Roman"/>
          <w:szCs w:val="24"/>
        </w:rPr>
        <w:t xml:space="preserve"> 17, no. 2 (2017): 345–73.</w:t>
      </w:r>
      <w:r>
        <w:fldChar w:fldCharType="end"/>
      </w:r>
    </w:p>
  </w:endnote>
  <w:endnote w:id="86">
    <w:p w14:paraId="14B17FA4" w14:textId="09CFCA57" w:rsidR="009A7EF2" w:rsidRDefault="009A7EF2" w:rsidP="00941C30">
      <w:pPr>
        <w:pStyle w:val="EndnoteText"/>
      </w:pPr>
      <w:r>
        <w:rPr>
          <w:rStyle w:val="EndnoteReference"/>
        </w:rPr>
        <w:endnoteRef/>
      </w:r>
      <w:r>
        <w:t xml:space="preserve"> </w:t>
      </w:r>
      <w:r>
        <w:fldChar w:fldCharType="begin"/>
      </w:r>
      <w:r>
        <w:instrText xml:space="preserve"> ADDIN ZOTERO_ITEM CSL_CITATION {"citationID":"a2didkguli","properties":{"formattedCitation":"{\\rtf Scott Andes, \\uc0\\u8220{}Hidden in Plain Sight: The Oversized Impact of Downtown Universities,\\uc0\\u8221{} {\\i{}Brookings} (blog), October 10, 2017, https://www.brookings.edu/research/hidden-in-plain-sight-the-oversized-impact-of-downtown-universities/.}","plainCitation":"Scott Andes, “Hidden in Plain Sight: The Oversized Impact of Downtown Universities,” Brookings (blog), October 10, 2017, https://www.brookings.edu/research/hidden-in-plain-sight-the-oversized-impact-of-downtown-universities/."},"citationItems":[{"id":105,"uris":["http://zotero.org/groups/2046111/items/H622NMN8"],"uri":["http://zotero.org/groups/2046111/items/H622NMN8"],"itemData":{"id":105,"type":"post-weblog","title":"Hidden in plain sight: The oversized impact of downtown universities","container-title":"Brookings","abstract":"A new report, “Hidden in plain sight: The oversized impact of downtown universities,” compares the commercial outcomes of downtown research universities to their peers located in the suburbs or rur…","URL":"https://www.brookings.edu/research/hidden-in-plain-sight-the-oversized-impact-of-downtown-universities/","shortTitle":"Hidden in plain sight","author":[{"family":"Andes","given":"Scott"}],"issued":{"date-parts":[["2017",10,10]]},"accessed":{"date-parts":[["2018",1,5]]}}}],"schema":"https://github.com/citation-style-language/schema/raw/master/csl-citation.json"} </w:instrText>
      </w:r>
      <w:r>
        <w:fldChar w:fldCharType="separate"/>
      </w:r>
      <w:r w:rsidRPr="00655962">
        <w:rPr>
          <w:rFonts w:ascii="Calibri" w:hAnsi="Calibri" w:cs="Times New Roman"/>
          <w:szCs w:val="24"/>
        </w:rPr>
        <w:t xml:space="preserve">Scott Andes, “Hidden in Plain Sight: The Oversized Impact of Downtown Universities,” </w:t>
      </w:r>
      <w:r w:rsidRPr="00655962">
        <w:rPr>
          <w:rFonts w:ascii="Calibri" w:hAnsi="Calibri" w:cs="Times New Roman"/>
          <w:i/>
          <w:iCs/>
          <w:szCs w:val="24"/>
        </w:rPr>
        <w:t>Brookings</w:t>
      </w:r>
      <w:r w:rsidRPr="00655962">
        <w:rPr>
          <w:rFonts w:ascii="Calibri" w:hAnsi="Calibri" w:cs="Times New Roman"/>
          <w:szCs w:val="24"/>
        </w:rPr>
        <w:t xml:space="preserve"> (blog), October 10, 2017, https://www.brookings.edu/research/hidden-in-plain-sight-the-oversized-impact-of-downtown-universities/.</w:t>
      </w:r>
      <w:r>
        <w:fldChar w:fldCharType="end"/>
      </w:r>
    </w:p>
  </w:endnote>
  <w:endnote w:id="87">
    <w:p w14:paraId="778E206B" w14:textId="43651FA1" w:rsidR="009A7EF2" w:rsidRDefault="009A7EF2">
      <w:pPr>
        <w:pStyle w:val="EndnoteText"/>
      </w:pPr>
      <w:r>
        <w:rPr>
          <w:rStyle w:val="EndnoteReference"/>
        </w:rPr>
        <w:endnoteRef/>
      </w:r>
      <w:r>
        <w:t xml:space="preserve"> The report focused only on downtown research universities in the 100 largest metropolitan areas, which contain 41 of the 70 older industrial counties.</w:t>
      </w:r>
    </w:p>
  </w:endnote>
  <w:endnote w:id="88">
    <w:p w14:paraId="787A6661" w14:textId="51B3AB80" w:rsidR="009A7EF2" w:rsidRDefault="009A7EF2" w:rsidP="00941C30">
      <w:pPr>
        <w:pStyle w:val="EndnoteText"/>
      </w:pPr>
      <w:r>
        <w:rPr>
          <w:rStyle w:val="EndnoteReference"/>
        </w:rPr>
        <w:endnoteRef/>
      </w:r>
      <w:r>
        <w:t xml:space="preserve"> </w:t>
      </w:r>
      <w:r>
        <w:fldChar w:fldCharType="begin"/>
      </w:r>
      <w:r>
        <w:instrText xml:space="preserve"> ADDIN ZOTERO_ITEM CSL_CITATION {"citationID":"a1kdbuglf5a","properties":{"formattedCitation":"{\\rtf Joseph Parilla, \\uc0\\u8220{}Which Cities Are Well Positioned to Land Amazon\\uc0\\u8217{}s HQ2?,\\uc0\\u8221{} {\\i{}Brookings} (blog), September 8, 2017, https://www.brookings.edu/blog/the-avenue/2017/09/08/which-cities-are-well-positioned-to-land-amazons-hq2/.}","plainCitation":"Joseph Parilla, “Which Cities Are Well Positioned to Land Amazon’s HQ2?,” Brookings (blog), September 8, 2017, https://www.brookings.edu/blog/the-avenue/2017/09/08/which-cities-are-well-positioned-to-land-amazons-hq2/."},"citationItems":[{"id":120,"uris":["http://zotero.org/groups/2046111/items/VXECXUYN"],"uri":["http://zotero.org/groups/2046111/items/VXECXUYN"],"itemData":{"id":120,"type":"post-weblog","title":"Which cities are well positioned to land Amazon’s HQ2?","container-title":"Brookings","abstract":"Amazon—the world’s largest online retailer and fourth largest company as measured by market capitalization—is soliciting North American regions in a competitive selection process for a second corpo…","URL":"https://www.brookings.edu/blog/the-avenue/2017/09/08/which-cities-are-well-positioned-to-land-amazons-hq2/","author":[{"family":"Parilla","given":"Joseph"}],"issued":{"date-parts":[["2017",9,8]]},"accessed":{"date-parts":[["2018",1,5]]}}}],"schema":"https://github.com/citation-style-language/schema/raw/master/csl-citation.json"} </w:instrText>
      </w:r>
      <w:r>
        <w:fldChar w:fldCharType="separate"/>
      </w:r>
      <w:r w:rsidRPr="00655962">
        <w:rPr>
          <w:rFonts w:ascii="Calibri" w:hAnsi="Calibri" w:cs="Times New Roman"/>
          <w:szCs w:val="24"/>
        </w:rPr>
        <w:t xml:space="preserve">Joseph Parilla, “Which Cities Are Well Positioned to Land Amazon’s HQ2?,” </w:t>
      </w:r>
      <w:r w:rsidRPr="00655962">
        <w:rPr>
          <w:rFonts w:ascii="Calibri" w:hAnsi="Calibri" w:cs="Times New Roman"/>
          <w:i/>
          <w:iCs/>
          <w:szCs w:val="24"/>
        </w:rPr>
        <w:t>Brookings</w:t>
      </w:r>
      <w:r w:rsidRPr="00655962">
        <w:rPr>
          <w:rFonts w:ascii="Calibri" w:hAnsi="Calibri" w:cs="Times New Roman"/>
          <w:szCs w:val="24"/>
        </w:rPr>
        <w:t xml:space="preserve"> (blog), September 8, 2017, https://www.brookings.edu/blog/the-avenue/2017/09/08/which-cities-are-well-positioned-to-land-amazons-hq2/.</w:t>
      </w:r>
      <w:r>
        <w:fldChar w:fldCharType="end"/>
      </w:r>
    </w:p>
  </w:endnote>
  <w:endnote w:id="89">
    <w:p w14:paraId="0AB69319" w14:textId="02A0B545" w:rsidR="009A7EF2" w:rsidRDefault="009A7EF2" w:rsidP="00941C30">
      <w:pPr>
        <w:pStyle w:val="EndnoteText"/>
      </w:pPr>
      <w:r>
        <w:rPr>
          <w:rStyle w:val="EndnoteReference"/>
        </w:rPr>
        <w:endnoteRef/>
      </w:r>
      <w:r>
        <w:t xml:space="preserve"> </w:t>
      </w:r>
      <w:r>
        <w:fldChar w:fldCharType="begin"/>
      </w:r>
      <w:r w:rsidR="008C6B08">
        <w:instrText xml:space="preserve"> ADDIN ZOTERO_ITEM CSL_CITATION {"citationID":"a2k7n41ut2c","properties":{"formattedCitation":"{\\rtf Bruce Katz and Julie Wagner, \\uc0\\u8220{}The Rise of Innovation Districts,\\uc0\\u8221{} June 9, 2014, https://www.brookings.edu/essay/rise-of-innovation-districts/.}","plainCitation":"Bruce Katz and Julie Wagner, “The Rise of Innovation Districts,” June 9, 2014, https://www.brookings.edu/essay/rise-of-innovation-districts/."},"citationItems":[{"id":122,"uris":["http://zotero.org/groups/2046111/items/TST9WH4L"],"uri":["http://zotero.org/groups/2046111/items/TST9WH4L"],"itemData":{"id":122,"type":"report","title":"The Rise of Innovation Districts","abstract":"Intro What They Are Where They Are How to Grow The Path Forward The Rise of Innovation Districts A New Geography of Innovation in America Bruce Katz and Julie Wagner As the United States slowly eme…","URL":"https://www.brookings.edu/essay/rise-of-innovation-districts/","author":[{"family":"Katz","given":"Bruce"},{"family":"Wagner","given":"Julie"}],"issued":{"date-parts":[["2014",6,9]]},"accessed":{"date-parts":[["2018",1,5]]}}}],"schema":"https://github.com/citation-style-language/schema/raw/master/csl-citation.json"} </w:instrText>
      </w:r>
      <w:r>
        <w:fldChar w:fldCharType="separate"/>
      </w:r>
      <w:r w:rsidR="008C6B08" w:rsidRPr="008C6B08">
        <w:rPr>
          <w:rFonts w:ascii="Calibri" w:hAnsi="Calibri" w:cs="Times New Roman"/>
          <w:szCs w:val="24"/>
        </w:rPr>
        <w:t>Bruce Katz and Julie Wagner, “The Rise of Innovation Districts,” June 9, 2014, https://www.brookings.edu/essay/rise-of-innovation-districts/.</w:t>
      </w:r>
      <w:r>
        <w:fldChar w:fldCharType="end"/>
      </w:r>
    </w:p>
  </w:endnote>
  <w:endnote w:id="90">
    <w:p w14:paraId="1935E34D" w14:textId="046D4725" w:rsidR="009A7EF2" w:rsidRDefault="009A7EF2" w:rsidP="00941C30">
      <w:pPr>
        <w:pStyle w:val="EndnoteText"/>
      </w:pPr>
      <w:r>
        <w:rPr>
          <w:rStyle w:val="EndnoteReference"/>
        </w:rPr>
        <w:endnoteRef/>
      </w:r>
      <w:r>
        <w:t xml:space="preserve"> </w:t>
      </w:r>
      <w:r>
        <w:fldChar w:fldCharType="begin"/>
      </w:r>
      <w:r>
        <w:instrText xml:space="preserve"> ADDIN ZOTERO_ITEM CSL_CITATION {"citationID":"a2q1dnbq8m0","properties":{"formattedCitation":"{\\rtf Daniel Hertz, \\uc0\\u8220{}City Observatory - City Center Job Growth Continues Strength; Suburbs Rebounding from Recession,\\uc0\\u8221{} City Observatory, May 24, 2016, http://cityobservatory.org/city-center-job-growth-continues/.}","plainCitation":"Daniel Hertz, “City Observatory - City Center Job Growth Continues Strength; Suburbs Rebounding from Recession,” City Observatory, May 24, 2016, http://cityobservatory.org/city-center-job-growth-continues/."},"citationItems":[{"id":124,"uris":["http://zotero.org/groups/2046111/items/Z8ZHF57A"],"uri":["http://zotero.org/groups/2046111/items/Z8ZHF57A"],"itemData":{"id":124,"type":"webpage","title":"City Observatory - City center job growth continues strength; suburbs rebounding from recession","container-title":"City Observatory","abstract":"The City Observatory is a study of modern-day cities and urban development practices.","URL":"http://cityobservatory.org/city-center-job-growth-continues/","author":[{"family":"Hertz","given":"Daniel"}],"issued":{"date-parts":[["2016",5,24]]},"accessed":{"date-parts":[["2018",1,5]]}}}],"schema":"https://github.com/citation-style-language/schema/raw/master/csl-citation.json"} </w:instrText>
      </w:r>
      <w:r>
        <w:fldChar w:fldCharType="separate"/>
      </w:r>
      <w:r w:rsidRPr="00655962">
        <w:rPr>
          <w:rFonts w:ascii="Calibri" w:hAnsi="Calibri" w:cs="Times New Roman"/>
          <w:szCs w:val="24"/>
        </w:rPr>
        <w:t>Daniel Hertz, “City Observatory - City Center Job Growth Continues Strength; Suburbs Rebounding from Recession,” City Observatory, May 24, 2016, http://cityobservatory.org/city-center-job-growth-continues/.</w:t>
      </w:r>
      <w:r>
        <w:fldChar w:fldCharType="end"/>
      </w:r>
    </w:p>
  </w:endnote>
  <w:endnote w:id="91">
    <w:p w14:paraId="22B055EC" w14:textId="36BAEC0C" w:rsidR="009A7EF2" w:rsidRDefault="009A7EF2">
      <w:pPr>
        <w:pStyle w:val="EndnoteText"/>
      </w:pPr>
      <w:r>
        <w:rPr>
          <w:rStyle w:val="EndnoteReference"/>
        </w:rPr>
        <w:endnoteRef/>
      </w:r>
      <w:r>
        <w:t xml:space="preserve"> Specifically, we define high density clusters as Census tracts that meet three characteristics. First, they have an employment density of at least 2,073 jobs per square mile, which is the cutoff for the top quintile of job density across all tracts in 2015. Second, they must have a job density in the top quintile of all tracts in a particular two-digit NAICS sector. Third, tracts must have a location quotient of at least 1.05 in that same sector relative to their metropolitan area, reflecting a concentration of sector-specific employment in that tract. We adopt this approach based on methods developed in Marley and Gardner, “Identifying Concentrations of Employment in Metropolitan Areas,” U.S. Census Bureau, 2010; and Pacetti et al., “The Geography of Jobs,” Fund for Our Economic Future, June 2016.</w:t>
      </w:r>
    </w:p>
  </w:endnote>
  <w:endnote w:id="92">
    <w:p w14:paraId="435DC3CF" w14:textId="366BF798" w:rsidR="009A7EF2" w:rsidRDefault="009A7EF2" w:rsidP="00941C30">
      <w:pPr>
        <w:pStyle w:val="EndnoteText"/>
      </w:pPr>
      <w:r>
        <w:rPr>
          <w:rStyle w:val="EndnoteReference"/>
        </w:rPr>
        <w:endnoteRef/>
      </w:r>
      <w:r>
        <w:t xml:space="preserve"> </w:t>
      </w:r>
      <w:r>
        <w:fldChar w:fldCharType="begin"/>
      </w:r>
      <w:r>
        <w:instrText xml:space="preserve"> ADDIN ZOTERO_ITEM CSL_CITATION {"citationID":"aqcrs7fdbd","properties":{"formattedCitation":"{\\rtf Mason Adams, \\uc0\\u8220{}The Small Appalachian City That\\uc0\\u8217{}s Thriving,\\uc0\\u8221{} CityLab, accessed January 15, 2018, https://www.citylab.com/life/2017/12/roanoke-virginia-downtown-housing-revitalization/547589/.}","plainCitation":"Mason Adams, “The Small Appalachian City That’s Thriving,” CityLab, accessed January 15, 2018, https://www.citylab.com/life/2017/12/roanoke-virginia-downtown-housing-revitalization/547589/."},"citationItems":[{"id":192,"uris":["http://zotero.org/groups/2046111/items/69KA46G6"],"uri":["http://zotero.org/groups/2046111/items/69KA46G6"],"itemData":{"id":192,"type":"webpage","title":"The Small Appalachian City That’s Thriving","container-title":"CityLab","abstract":"Roanoke, Virginia, has become what many cities of its size, geography, and history want to be. It started by bringing housing to a deserted downtown.","URL":"https://www.citylab.com/life/2017/12/roanoke-virginia-downtown-housing-revitalization/547589/","language":"en","author":[{"family":"Adams","given":"Mason"}],"accessed":{"date-parts":[["2018",1,15]]}}}],"schema":"https://github.com/citation-style-language/schema/raw/master/csl-citation.json"} </w:instrText>
      </w:r>
      <w:r>
        <w:fldChar w:fldCharType="separate"/>
      </w:r>
      <w:r w:rsidRPr="00655962">
        <w:rPr>
          <w:rFonts w:ascii="Calibri" w:hAnsi="Calibri" w:cs="Times New Roman"/>
          <w:szCs w:val="24"/>
        </w:rPr>
        <w:t>Mason Adams, “The Small Appalachian City That’s Thriving,” CityLab, accessed January 15, 2018, https://www.citylab.com/life/2017/12/roanoke-virginia-downtown-housing-revitalization/547589/.</w:t>
      </w:r>
      <w:r>
        <w:fldChar w:fldCharType="end"/>
      </w:r>
    </w:p>
  </w:endnote>
  <w:endnote w:id="93">
    <w:p w14:paraId="5FF2BF65" w14:textId="3D7AF871" w:rsidR="009A7EF2" w:rsidRDefault="009A7EF2">
      <w:pPr>
        <w:pStyle w:val="EndnoteText"/>
      </w:pPr>
      <w:r>
        <w:rPr>
          <w:rStyle w:val="EndnoteReference"/>
        </w:rPr>
        <w:endnoteRef/>
      </w:r>
      <w:r>
        <w:t xml:space="preserve"> Of the 70 cities that anchor older industrial counties, 63 have downtowns that lie along the coastline of an ocean, bay, or gulf; or along the banks of a major river or lake.</w:t>
      </w:r>
    </w:p>
  </w:endnote>
  <w:endnote w:id="94">
    <w:p w14:paraId="7F2DB6EF" w14:textId="7B460641" w:rsidR="009A7EF2" w:rsidRDefault="009A7EF2" w:rsidP="00941C30">
      <w:pPr>
        <w:pStyle w:val="EndnoteText"/>
      </w:pPr>
      <w:r>
        <w:rPr>
          <w:rStyle w:val="EndnoteReference"/>
        </w:rPr>
        <w:endnoteRef/>
      </w:r>
      <w:r>
        <w:t xml:space="preserve"> </w:t>
      </w:r>
      <w:r>
        <w:fldChar w:fldCharType="begin"/>
      </w:r>
      <w:r w:rsidR="008C6B08">
        <w:instrText xml:space="preserve"> ADDIN ZOTERO_ITEM CSL_CITATION {"citationID":"a28nbpc7j85","properties":{"formattedCitation":"{\\rtf James Fallows, \\uc0\\u8220{}Craft Breweries as Markers for Civic Progress: It\\uc0\\u8217{}s Not Just Me! - The Atlantic,\\uc0\\u8221{} March 31, 2016, https://www.theatlantic.com/notes/2016/03/craft-breweries-no-im-not-kidding-they-actually-matter-in-civic-development/476220/.}","plainCitation":"James Fallows, “Craft Breweries as Markers for Civic Progress: It’s Not Just Me! - The Atlantic,” March 31, 2016, https://www.theatlantic.com/notes/2016/03/craft-breweries-no-im-not-kidding-they-actually-matter-in-civic-development/476220/."},"citationItems":[{"id":194,"uris":["http://zotero.org/groups/2046111/items/XWNJWVQ5"],"uri":["http://zotero.org/groups/2046111/items/XWNJWVQ5"],"itemData":{"id":194,"type":"webpage","title":"Craft Breweries as Markers for Civic Progress: It's Not Just Me! - The Atlantic","URL":"https://www.theatlantic.com/notes/2016/03/craft-breweries-no-im-not-kidding-they-actually-matter-in-civic-development/476220/","shortTitle":"Craft Breweries as Markers for Civic Progress","language":"en","author":[{"family":"Fallows","given":"James"}],"issued":{"date-parts":[["2016",3,31]]},"accessed":{"date-parts":[["2018",1,15]]}}}],"schema":"https://github.com/citation-style-language/schema/raw/master/csl-citation.json"} </w:instrText>
      </w:r>
      <w:r>
        <w:fldChar w:fldCharType="separate"/>
      </w:r>
      <w:r w:rsidR="008C6B08" w:rsidRPr="008C6B08">
        <w:rPr>
          <w:rFonts w:ascii="Calibri" w:hAnsi="Calibri" w:cs="Times New Roman"/>
          <w:szCs w:val="24"/>
        </w:rPr>
        <w:t>James Fallows, “Craft Breweries as Markers for Civic Progress: It’s Not Just Me! - The Atlantic,” March 31, 2016, https://www.theatlantic.com/notes/2016/03/craft-breweries-no-im-not-kidding-they-actually-matter-in-civic-development/476220/.</w:t>
      </w:r>
      <w:r>
        <w:fldChar w:fldCharType="end"/>
      </w:r>
    </w:p>
  </w:endnote>
  <w:endnote w:id="95">
    <w:p w14:paraId="4DDDBFE4" w14:textId="77D1A1FC" w:rsidR="009A7EF2" w:rsidRDefault="009A7EF2">
      <w:pPr>
        <w:pStyle w:val="EndnoteText"/>
      </w:pPr>
      <w:r>
        <w:rPr>
          <w:rStyle w:val="EndnoteReference"/>
        </w:rPr>
        <w:endnoteRef/>
      </w:r>
      <w:r>
        <w:t xml:space="preserve"> </w:t>
      </w:r>
      <w:r>
        <w:fldChar w:fldCharType="begin"/>
      </w:r>
      <w:r>
        <w:instrText xml:space="preserve"> ADDIN ZOTERO_ITEM CSL_CITATION {"citationID":"ZY8bkcTq","properties":{"formattedCitation":"{\\rtf Derek Thompson, \\uc0\\u8220{}Craft Beer Is the Strangest, Happiest Economic Story in America,\\uc0\\u8221{} {\\i{}The Atlantic}, January 19, 2018, https://www.theatlantic.com/business/archive/2018/01/craft-beer-industry/550850/.}","plainCitation":"Derek Thompson, “Craft Beer Is the Strangest, Happiest Economic Story in America,” The Atlantic, January 19, 2018, https://www.theatlantic.com/business/archive/2018/01/craft-beer-industry/550850/."},"citationItems":[{"id":293,"uris":["http://zotero.org/groups/2046111/items/GUHL9I75"],"uri":["http://zotero.org/groups/2046111/items/GUHL9I75"],"itemData":{"id":293,"type":"article-magazine","title":"Craft Beer Is the Strangest, Happiest Economic Story in America","container-title":"The Atlantic","source":"The Atlantic","abstract":"Corporate goliaths are taking over the U.S. economy. Yet small breweries are thriving. Why?","URL":"https://www.theatlantic.com/business/archive/2018/01/craft-beer-industry/550850/","ISSN":"1072-7825","author":[{"family":"Thompson","given":"Derek"}],"issued":{"date-parts":[["2018",1,19]]},"accessed":{"date-parts":[["2018",2,8]]}}}],"schema":"https://github.com/citation-style-language/schema/raw/master/csl-citation.json"} </w:instrText>
      </w:r>
      <w:r>
        <w:fldChar w:fldCharType="separate"/>
      </w:r>
      <w:r w:rsidRPr="00291187">
        <w:rPr>
          <w:rFonts w:ascii="Calibri" w:hAnsi="Calibri" w:cs="Times New Roman"/>
          <w:szCs w:val="24"/>
        </w:rPr>
        <w:t xml:space="preserve">Derek Thompson, “Craft Beer Is the Strangest, Happiest Economic Story in America,” </w:t>
      </w:r>
      <w:r w:rsidRPr="00291187">
        <w:rPr>
          <w:rFonts w:ascii="Calibri" w:hAnsi="Calibri" w:cs="Times New Roman"/>
          <w:i/>
          <w:iCs/>
          <w:szCs w:val="24"/>
        </w:rPr>
        <w:t>The Atlantic</w:t>
      </w:r>
      <w:r w:rsidRPr="00291187">
        <w:rPr>
          <w:rFonts w:ascii="Calibri" w:hAnsi="Calibri" w:cs="Times New Roman"/>
          <w:szCs w:val="24"/>
        </w:rPr>
        <w:t>, January 19, 2018, https://www.theatlantic.com/business/archive/2018/01/craft-beer-industry/550850/.</w:t>
      </w:r>
      <w:r>
        <w:fldChar w:fldCharType="end"/>
      </w:r>
    </w:p>
  </w:endnote>
  <w:endnote w:id="96">
    <w:p w14:paraId="576E4583" w14:textId="51E6332B" w:rsidR="009A7EF2" w:rsidRDefault="009A7EF2">
      <w:pPr>
        <w:pStyle w:val="EndnoteText"/>
      </w:pPr>
      <w:r>
        <w:rPr>
          <w:rStyle w:val="EndnoteReference"/>
        </w:rPr>
        <w:endnoteRef/>
      </w:r>
      <w:r>
        <w:t xml:space="preserve"> </w:t>
      </w:r>
      <w:r>
        <w:fldChar w:fldCharType="begin"/>
      </w:r>
      <w:r>
        <w:instrText xml:space="preserve"> ADDIN ZOTERO_ITEM CSL_CITATION {"citationID":"XnJZsdaY","properties":{"formattedCitation":"{\\rtf Mark Hugo Lopez, Jeffrey Passel, and Molly Rohal, \\uc0\\u8220{}Modern Immigration Wave Brings 59 Million to U.S., Driving Population Growth and Change Through 2065,\\uc0\\u8221{} {\\i{}Pew Research Center\\uc0\\u8217{}s Hispanic Trends Project} (blog), September 28, 2015, http://www.pewhispanic.org/2015/09/28/modern-immigration-wave-brings-59-million-to-u-s-driving-population-growth-and-change-through-2065/.}","plainCitation":"Mark Hugo Lopez, Jeffrey Passel, and Molly Rohal, “Modern Immigration Wave Brings 59 Million to U.S., Driving Population Growth and Change Through 2065,” Pew Research Center’s Hispanic Trends Project (blog), September 28, 2015, http://www.pewhispanic.org/2015/09/28/modern-immigration-wave-brings-59-million-to-u-s-driving-population-growth-and-change-through-2065/."},"citationItems":[{"id":129,"uris":["http://zotero.org/groups/2046111/items/Y4CW8BNL"],"uri":["http://zotero.org/groups/2046111/items/Y4CW8BNL"],"itemData":{"id":129,"type":"post-weblog","title":"Modern Immigration Wave Brings 59 Million to U.S., Driving Population Growth and Change Through 2065","container-title":"Pew Research Center's Hispanic Trends Project","abstract":"The nation's foreign-born population has swelled from 10 million in 1965 to a record 45 million in 2015. By 2065, the U.S. will have a projected 78 million immigrants.","URL":"http://www.pewhispanic.org/2015/09/28/modern-immigration-wave-brings-59-million-to-u-s-driving-population-growth-and-change-through-2065/","language":"en-US","author":[{"family":"Lopez","given":"Mark Hugo"},{"family":"Passel","given":"Jeffrey"},{"family":"Rohal","given":"Molly"}],"issued":{"date-parts":[["2015",9,28]]},"accessed":{"date-parts":[["2018",1,8]]}}}],"schema":"https://github.com/citation-style-language/schema/raw/master/csl-citation.json"} </w:instrText>
      </w:r>
      <w:r>
        <w:fldChar w:fldCharType="separate"/>
      </w:r>
      <w:r w:rsidRPr="000C69AD">
        <w:rPr>
          <w:rFonts w:ascii="Calibri" w:hAnsi="Calibri" w:cs="Times New Roman"/>
          <w:szCs w:val="24"/>
        </w:rPr>
        <w:t xml:space="preserve">Mark Hugo Lopez, Jeffrey Passel, and Molly Rohal, “Modern Immigration Wave Brings 59 Million to U.S., Driving Population Growth and Change Through 2065,” </w:t>
      </w:r>
      <w:r w:rsidRPr="000C69AD">
        <w:rPr>
          <w:rFonts w:ascii="Calibri" w:hAnsi="Calibri" w:cs="Times New Roman"/>
          <w:i/>
          <w:iCs/>
          <w:szCs w:val="24"/>
        </w:rPr>
        <w:t>Pew Research Center’s Hispanic Trends Project</w:t>
      </w:r>
      <w:r w:rsidRPr="000C69AD">
        <w:rPr>
          <w:rFonts w:ascii="Calibri" w:hAnsi="Calibri" w:cs="Times New Roman"/>
          <w:szCs w:val="24"/>
        </w:rPr>
        <w:t xml:space="preserve"> (blog), September 28, 2015, http://www.pewhispanic.org/2015/09/28/modern-immigration-wave-brings-59-million-to-u-s-driving-population-growth-and-change-through-2065/.</w:t>
      </w:r>
      <w:r>
        <w:fldChar w:fldCharType="end"/>
      </w:r>
    </w:p>
  </w:endnote>
  <w:endnote w:id="97">
    <w:p w14:paraId="17D274E3" w14:textId="434C296A" w:rsidR="009A7EF2" w:rsidRDefault="009A7EF2">
      <w:pPr>
        <w:pStyle w:val="EndnoteText"/>
      </w:pPr>
      <w:r>
        <w:rPr>
          <w:rStyle w:val="EndnoteReference"/>
        </w:rPr>
        <w:endnoteRef/>
      </w:r>
      <w:r>
        <w:t xml:space="preserve"> </w:t>
      </w:r>
      <w:r>
        <w:fldChar w:fldCharType="begin"/>
      </w:r>
      <w:r>
        <w:instrText xml:space="preserve"> ADDIN ZOTERO_ITEM CSL_CITATION {"citationID":"Rol6BZhy","properties":{"formattedCitation":"{\\rtf William H. Frey, \\uc0\\u8220{}The Millennial Generation: A Demographic Bridge to America\\uc0\\u8217{}s Diverse Future,\\uc0\\u8221{} {\\i{}Brookings} (blog), January 24, 2018, https://www.brookings.edu/research/millennials/.}","plainCitation":"William H. Frey, “The Millennial Generation: A Demographic Bridge to America’s Diverse Future,” Brookings (blog), January 24, 2018, https://www.brookings.edu/research/millennials/."},"citationItems":[{"id":291,"uris":["http://zotero.org/groups/2046111/items/XJMU6V35"],"uri":["http://zotero.org/groups/2046111/items/XJMU6V35"],"itemData":{"id":291,"type":"post-weblog","title":"The millennial generation: A demographic bridge to America’s diverse future","container-title":"Brookings","abstract":"The millennial generation, over 75 million strong is America’s largest—eclipsing the current size of the postwar baby boom generation. Millennials make up nearly a quarter of the total U.S. populat…","URL":"https://www.brookings.edu/research/millennials/","shortTitle":"The millennial generation","language":"en-US","author":[{"family":"Frey","given":"William H."}],"issued":{"date-parts":[["2018",1,24]]},"accessed":{"date-parts":[["2018",2,8]]}}}],"schema":"https://github.com/citation-style-language/schema/raw/master/csl-citation.json"} </w:instrText>
      </w:r>
      <w:r>
        <w:fldChar w:fldCharType="separate"/>
      </w:r>
      <w:r w:rsidRPr="00F43C02">
        <w:rPr>
          <w:rFonts w:ascii="Calibri" w:hAnsi="Calibri" w:cs="Times New Roman"/>
          <w:szCs w:val="24"/>
        </w:rPr>
        <w:t xml:space="preserve">William H. Frey, “The Millennial Generation: A Demographic Bridge to America’s Diverse Future,” </w:t>
      </w:r>
      <w:r w:rsidRPr="00F43C02">
        <w:rPr>
          <w:rFonts w:ascii="Calibri" w:hAnsi="Calibri" w:cs="Times New Roman"/>
          <w:i/>
          <w:iCs/>
          <w:szCs w:val="24"/>
        </w:rPr>
        <w:t>Brookings</w:t>
      </w:r>
      <w:r w:rsidRPr="00F43C02">
        <w:rPr>
          <w:rFonts w:ascii="Calibri" w:hAnsi="Calibri" w:cs="Times New Roman"/>
          <w:szCs w:val="24"/>
        </w:rPr>
        <w:t xml:space="preserve"> (blog), January 24, 2018, https://www.brookings.edu/research/millennials/.</w:t>
      </w:r>
      <w:r>
        <w:fldChar w:fldCharType="end"/>
      </w:r>
    </w:p>
  </w:endnote>
  <w:endnote w:id="98">
    <w:p w14:paraId="3B41C9CF" w14:textId="2BBC7555" w:rsidR="009A7EF2" w:rsidRDefault="009A7EF2">
      <w:pPr>
        <w:pStyle w:val="EndnoteText"/>
      </w:pPr>
      <w:r>
        <w:rPr>
          <w:rStyle w:val="EndnoteReference"/>
        </w:rPr>
        <w:endnoteRef/>
      </w:r>
      <w:r>
        <w:t xml:space="preserve"> </w:t>
      </w:r>
      <w:r>
        <w:fldChar w:fldCharType="begin"/>
      </w:r>
      <w:r>
        <w:instrText xml:space="preserve"> ADDIN ZOTERO_ITEM CSL_CITATION {"citationID":"QRdWBLCm","properties":{"formattedCitation":"{\\rtf Jill Ann Harrison, \\uc0\\u8220{}Rust Belt Boomerang: The Pull of Place in Moving Back to a Legacy City,\\uc0\\u8221{} {\\i{}City &amp; Community} 16, no. 3 (September 1, 2017): 263\\uc0\\u8211{}83, https://doi.org/10.1111/cico.12245.}","plainCitation":"Jill Ann Harrison, “Rust Belt Boomerang: The Pull of Place in Moving Back to a Legacy City,” City &amp; Community 16, no. 3 (September 1, 2017): 263–83, https://doi.org/10.1111/cico.12245."},"citationItems":[{"id":288,"uris":["http://zotero.org/groups/2046111/items/FZVKDKKE"],"uri":["http://zotero.org/groups/2046111/items/FZVKDKKE"],"itemData":{"id":288,"type":"article-journal","title":"Rust Belt Boomerang: The Pull of Place in Moving Back to a Legacy City","container-title":"City &amp; Community","page":"263-283","volume":"16","issue":"3","source":"Wiley Online Library","abstract":"Research and journalistic accounts on the Rust Belt consistently focus on population decline and its consequences. As a result, we know little about the growing trend of return migration of young professionals and knowledge workers to the region. Why have these individuals chosen to return to a place that they once left? I answer this question using in-depth interviews with young professionals who have moved back to Youngstown, Ohio. Results indicate that return migrants chose to return despite reporting alternative and perhaps more economically rational work opportunities elsewhere. While some reasons can be anticipated from the literature, such as family need, I emphasize how place-specific considerations worked in combination with economic and social factors to pull them back. Findings hold implications for the literatures on place and return migration and for city planners who believe that return migration presents an opportunity for economic growth of legacy cities.","DOI":"10.1111/cico.12245","ISSN":"1540-6040","shortTitle":"Rust Belt Boomerang","journalAbbreviation":"City &amp; Community","language":"en","author":[{"family":"Harrison","given":"Jill Ann"}],"issued":{"date-parts":[["2017",9,1]]}}}],"schema":"https://github.com/citation-style-language/schema/raw/master/csl-citation.json"} </w:instrText>
      </w:r>
      <w:r>
        <w:fldChar w:fldCharType="separate"/>
      </w:r>
      <w:r w:rsidRPr="000C69AD">
        <w:rPr>
          <w:rFonts w:ascii="Calibri" w:hAnsi="Calibri" w:cs="Times New Roman"/>
          <w:szCs w:val="24"/>
        </w:rPr>
        <w:t xml:space="preserve">Jill Ann Harrison, “Rust Belt Boomerang: The Pull of Place in Moving Back to a Legacy City,” </w:t>
      </w:r>
      <w:r w:rsidRPr="000C69AD">
        <w:rPr>
          <w:rFonts w:ascii="Calibri" w:hAnsi="Calibri" w:cs="Times New Roman"/>
          <w:i/>
          <w:iCs/>
          <w:szCs w:val="24"/>
        </w:rPr>
        <w:t>City &amp; Community</w:t>
      </w:r>
      <w:r w:rsidRPr="000C69AD">
        <w:rPr>
          <w:rFonts w:ascii="Calibri" w:hAnsi="Calibri" w:cs="Times New Roman"/>
          <w:szCs w:val="24"/>
        </w:rPr>
        <w:t xml:space="preserve"> 16, no. 3 (September 1, 2017): 263–83, https://doi.org/10.1111/cico.12245.</w:t>
      </w:r>
      <w:r>
        <w:fldChar w:fldCharType="end"/>
      </w:r>
    </w:p>
  </w:endnote>
  <w:endnote w:id="99">
    <w:p w14:paraId="04AA203C" w14:textId="104493AE" w:rsidR="009A7EF2" w:rsidRDefault="009A7EF2">
      <w:pPr>
        <w:pStyle w:val="EndnoteText"/>
      </w:pPr>
      <w:r>
        <w:rPr>
          <w:rStyle w:val="EndnoteReference"/>
        </w:rPr>
        <w:endnoteRef/>
      </w:r>
      <w:r>
        <w:t xml:space="preserve"> These counties include those containing Austin, Boston, Chicago, Denver, Los Angeles, Manhattan, Phoenix, Portland, San Diego, San Francisco, San Jose, Seattle, and Washington, D.C.</w:t>
      </w:r>
    </w:p>
  </w:endnote>
  <w:endnote w:id="100">
    <w:p w14:paraId="00EB52AB" w14:textId="4DB226FE" w:rsidR="009A7EF2" w:rsidRDefault="009A7EF2">
      <w:pPr>
        <w:pStyle w:val="EndnoteText"/>
      </w:pPr>
      <w:r>
        <w:rPr>
          <w:rStyle w:val="EndnoteReference"/>
        </w:rPr>
        <w:endnoteRef/>
      </w:r>
      <w:r>
        <w:t xml:space="preserve"> Allegheny County, Pa. (containing Pittsburgh), one of the stronger economic performers among older industrial counties, also boasts one of the higher rates of educational attainment among its non-white/Hispanic population, with 34 percent holding college degrees—just 9 percentage points shy of the rate for whites in that county.</w:t>
      </w:r>
    </w:p>
  </w:endnote>
  <w:endnote w:id="101">
    <w:p w14:paraId="5293BB38" w14:textId="1C34CB9F" w:rsidR="009A7EF2" w:rsidRDefault="009A7EF2">
      <w:pPr>
        <w:pStyle w:val="EndnoteText"/>
      </w:pPr>
      <w:r>
        <w:rPr>
          <w:rStyle w:val="EndnoteReference"/>
        </w:rPr>
        <w:endnoteRef/>
      </w:r>
      <w:r>
        <w:t xml:space="preserve"> </w:t>
      </w:r>
      <w:r>
        <w:fldChar w:fldCharType="begin"/>
      </w:r>
      <w:r>
        <w:instrText xml:space="preserve"> ADDIN ZOTERO_ITEM CSL_CITATION {"citationID":"5EVSmPzs","properties":{"formattedCitation":"{\\rtf Joseph Parilla, \\uc0\\u8220{}Opportunity for Growth: How Reducing Barriers to Economic Inclusion Can Benefit Workers, Firms, and Local Economies,\\uc0\\u8221{} {\\i{}Brookings} (blog), September 27, 2017, https://www.brookings.edu/research/opportunity-for-growth-how-reducing-barriers-to-economic-inclusion-can-benefit-workers-firms-and-local-economies/.}","plainCitation":"Joseph Parilla, “Opportunity for Growth: How Reducing Barriers to Economic Inclusion Can Benefit Workers, Firms, and Local Economies,” Brookings (blog), September 27, 2017, https://www.brookings.edu/research/opportunity-for-growth-how-reducing-barriers-to-economic-inclusion-can-benefit-workers-firms-and-local-economies/."},"citationItems":[{"id":218,"uris":["http://zotero.org/groups/2046111/items/ANQ7RKRN"],"uri":["http://zotero.org/groups/2046111/items/ANQ7RKRN"],"itemData":{"id":218,"type":"post-weblog","title":"Opportunity for growth: How reducing barriers to economic inclusion can benefit workers, firms, and local economies","container-title":"Brookings","abstract":"Brookings Metro fellow Joseph Parilla Joseph describes the connection between growth and inclusion and outlines a framework for action from the economic development community, organized around the themes of dynamism, skills, and access.","URL":"https://www.brookings.edu/research/opportunity-for-growth-how-reducing-barriers-to-economic-inclusion-can-benefit-workers-firms-and-local-economies/","shortTitle":"Opportunity for growth","language":"en-US","author":[{"family":"Parilla","given":"Joseph"}],"issued":{"date-parts":[["2017",9,27]]},"accessed":{"date-parts":[["2018",1,15]]}}}],"schema":"https://github.com/citation-style-language/schema/raw/master/csl-citation.json"} </w:instrText>
      </w:r>
      <w:r>
        <w:fldChar w:fldCharType="separate"/>
      </w:r>
      <w:r w:rsidRPr="00655962">
        <w:rPr>
          <w:rFonts w:ascii="Calibri" w:hAnsi="Calibri" w:cs="Times New Roman"/>
          <w:szCs w:val="24"/>
        </w:rPr>
        <w:t xml:space="preserve">Joseph Parilla, “Opportunity for Growth: How Reducing Barriers to Economic Inclusion Can Benefit Workers, Firms, and Local Economies,” </w:t>
      </w:r>
      <w:r w:rsidRPr="00655962">
        <w:rPr>
          <w:rFonts w:ascii="Calibri" w:hAnsi="Calibri" w:cs="Times New Roman"/>
          <w:i/>
          <w:iCs/>
          <w:szCs w:val="24"/>
        </w:rPr>
        <w:t>Brookings</w:t>
      </w:r>
      <w:r w:rsidRPr="00655962">
        <w:rPr>
          <w:rFonts w:ascii="Calibri" w:hAnsi="Calibri" w:cs="Times New Roman"/>
          <w:szCs w:val="24"/>
        </w:rPr>
        <w:t xml:space="preserve"> (blog), September 27, 2017, https://www.brookings.edu/research/opportunity-for-growth-how-reducing-barriers-to-economic-inclusion-can-benefit-workers-firms-and-local-economies/.</w:t>
      </w:r>
      <w:r>
        <w:fldChar w:fldCharType="end"/>
      </w:r>
    </w:p>
  </w:endnote>
  <w:endnote w:id="102">
    <w:p w14:paraId="2A99CD50" w14:textId="0A71D8B0" w:rsidR="009A7EF2" w:rsidRDefault="009A7EF2">
      <w:pPr>
        <w:pStyle w:val="EndnoteText"/>
      </w:pPr>
      <w:r>
        <w:rPr>
          <w:rStyle w:val="EndnoteReference"/>
        </w:rPr>
        <w:endnoteRef/>
      </w:r>
      <w:r>
        <w:t xml:space="preserve"> </w:t>
      </w:r>
      <w:r>
        <w:fldChar w:fldCharType="begin"/>
      </w:r>
      <w:r w:rsidR="008C6B08">
        <w:instrText xml:space="preserve"> ADDIN ZOTERO_ITEM CSL_CITATION {"citationID":"Ybn3RlL1","properties":{"formattedCitation":"{\\rtf Kevin Tampone, \\uc0\\u8220{}CenterState CEO Introduces Regional Business Plan after Two Years of Work,\\uc0\\u8221{} syracuse.com, November 7, 2013, http://www.syracuse.com/news/index.ssf/2013/11/centerstate_ceo_introduces_regional_business_plan_after_two_years_of_work.html.}","plainCitation":"Kevin Tampone, “CenterState CEO Introduces Regional Business Plan after Two Years of Work,” syracuse.com, November 7, 2013, http://www.syracuse.com/news/index.ssf/2013/11/centerstate_ceo_introduces_regional_business_plan_after_two_years_of_work.html."},"citationItems":[{"id":251,"uris":["http://zotero.org/groups/2046111/items/EYTMLFF5"],"uri":["http://zotero.org/groups/2046111/items/EYTMLFF5"],"itemData":{"id":251,"type":"webpage","title":"CenterState CEO introduces regional business plan after two years of work","container-title":"syracuse.com","abstract":"CenterState will now focus on four initiatives that grew out of the plan. Additional efforts will follow in the future.","URL":"http://www.syracuse.com/news/index.ssf/2013/11/centerstate_ceo_introduces_regional_business_plan_after_two_years_of_work.html","language":"en-US","author":[{"family":"Tampone","given":"Kevin"}],"issued":{"date-parts":[["2013",11,7]]},"accessed":{"date-parts":[["2018",1,18]]}}}],"schema":"https://github.com/citation-style-language/schema/raw/master/csl-citation.json"} </w:instrText>
      </w:r>
      <w:r>
        <w:fldChar w:fldCharType="separate"/>
      </w:r>
      <w:r w:rsidR="008C6B08" w:rsidRPr="008C6B08">
        <w:rPr>
          <w:rFonts w:ascii="Calibri" w:hAnsi="Calibri" w:cs="Times New Roman"/>
          <w:szCs w:val="24"/>
        </w:rPr>
        <w:t xml:space="preserve">Kevin </w:t>
      </w:r>
      <w:proofErr w:type="spellStart"/>
      <w:r w:rsidR="008C6B08" w:rsidRPr="008C6B08">
        <w:rPr>
          <w:rFonts w:ascii="Calibri" w:hAnsi="Calibri" w:cs="Times New Roman"/>
          <w:szCs w:val="24"/>
        </w:rPr>
        <w:t>Tampone</w:t>
      </w:r>
      <w:proofErr w:type="spellEnd"/>
      <w:r w:rsidR="008C6B08" w:rsidRPr="008C6B08">
        <w:rPr>
          <w:rFonts w:ascii="Calibri" w:hAnsi="Calibri" w:cs="Times New Roman"/>
          <w:szCs w:val="24"/>
        </w:rPr>
        <w:t>, “CenterState CEO Introduces Regional Business Plan after Two Years of Work,” syracuse.com, November 7, 2013, http://www.syracuse.com/news/index.ssf/2013/11/centerstate_ceo_introduces_regional_business_plan_after_two_years_of_work.html.</w:t>
      </w:r>
      <w:r>
        <w:fldChar w:fldCharType="end"/>
      </w:r>
    </w:p>
  </w:endnote>
  <w:endnote w:id="103">
    <w:p w14:paraId="3828B41B" w14:textId="291B6FA7" w:rsidR="009A7EF2" w:rsidRDefault="009A7EF2">
      <w:pPr>
        <w:pStyle w:val="EndnoteText"/>
      </w:pPr>
      <w:r>
        <w:rPr>
          <w:rStyle w:val="EndnoteReference"/>
        </w:rPr>
        <w:endnoteRef/>
      </w:r>
      <w:r>
        <w:t xml:space="preserve"> </w:t>
      </w:r>
      <w:r>
        <w:fldChar w:fldCharType="begin"/>
      </w:r>
      <w:r>
        <w:instrText xml:space="preserve"> ADDIN ZOTERO_ITEM CSL_CITATION {"citationID":"lr2mGwP2","properties":{"formattedCitation":"{\\rtf Corinne Ramey, \\uc0\\u8220{}Upstate New York Seeks Economic Boost From Drones,\\uc0\\u8221{} {\\i{}Wall Street Journal}, March 28, 2016, sec. US, http://www.wsj.com/articles/upstate-new-york-seeks-economic-boost-from-drones-1459126197.}","plainCitation":"Corinne Ramey, “Upstate New York Seeks Economic Boost From Drones,” Wall Street Journal, March 28, 2016, sec. US, http://www.wsj.com/articles/upstate-new-york-seeks-economic-boost-from-drones-1459126197."},"citationItems":[{"id":229,"uris":["http://zotero.org/groups/2046111/items/FEL8GQND"],"uri":["http://zotero.org/groups/2046111/items/FEL8GQND"],"itemData":{"id":229,"type":"article-newspaper","title":"Upstate New York Seeks Economic Boost From Drones","container-title":"Wall Street Journal","section":"US","source":"www.wsj.com","abstract":"Officials and businesses in upstate New York are trying to position the area around Rome as a nationwide hub of commercial drone research, testing and manufacturing.","URL":"http://www.wsj.com/articles/upstate-new-york-seeks-economic-boost-from-drones-1459126197","ISSN":"0099-9660","language":"en-US","author":[{"family":"Ramey","given":"Corinne"}],"issued":{"date-parts":[["2016",3,28]]},"accessed":{"date-parts":[["2018",1,18]]}}}],"schema":"https://github.com/citation-style-language/schema/raw/master/csl-citation.json"} </w:instrText>
      </w:r>
      <w:r>
        <w:fldChar w:fldCharType="separate"/>
      </w:r>
      <w:r w:rsidRPr="00655962">
        <w:rPr>
          <w:rFonts w:ascii="Calibri" w:hAnsi="Calibri" w:cs="Times New Roman"/>
          <w:szCs w:val="24"/>
        </w:rPr>
        <w:t xml:space="preserve">Corinne Ramey, “Upstate New York Seeks Economic Boost From Drones,” </w:t>
      </w:r>
      <w:r w:rsidRPr="00655962">
        <w:rPr>
          <w:rFonts w:ascii="Calibri" w:hAnsi="Calibri" w:cs="Times New Roman"/>
          <w:i/>
          <w:iCs/>
          <w:szCs w:val="24"/>
        </w:rPr>
        <w:t>Wall Street Journal</w:t>
      </w:r>
      <w:r w:rsidRPr="00655962">
        <w:rPr>
          <w:rFonts w:ascii="Calibri" w:hAnsi="Calibri" w:cs="Times New Roman"/>
          <w:szCs w:val="24"/>
        </w:rPr>
        <w:t>, March 28, 2016, sec. US, http://www.wsj.com/articles/upstate-new-york-seeks-economic-boost-from-drones-1459126197.</w:t>
      </w:r>
      <w:r>
        <w:fldChar w:fldCharType="end"/>
      </w:r>
    </w:p>
  </w:endnote>
  <w:endnote w:id="104">
    <w:p w14:paraId="5E14DC66" w14:textId="5E6C557E" w:rsidR="009A7EF2" w:rsidRDefault="009A7EF2">
      <w:pPr>
        <w:pStyle w:val="EndnoteText"/>
      </w:pPr>
      <w:r>
        <w:rPr>
          <w:rStyle w:val="EndnoteReference"/>
        </w:rPr>
        <w:endnoteRef/>
      </w:r>
      <w:r>
        <w:t xml:space="preserve"> </w:t>
      </w:r>
      <w:r>
        <w:fldChar w:fldCharType="begin"/>
      </w:r>
      <w:r w:rsidR="008C6B08">
        <w:instrText xml:space="preserve"> ADDIN ZOTERO_ITEM CSL_CITATION {"citationID":"tT737S8a","properties":{"formattedCitation":"{\\rtf Rick Moriarty, \\uc0\\u8220{}Defense Firm Saab Has Big Growth Plans for Syracuse Area | Syracuse.Com,\\uc0\\u8221{} January 31, 2017, http://www.syracuse.com/business-news/index.ssf/2017/01/defense_firm_saab_has_big_growth_plans_for_syracuse_area.html.}","plainCitation":"Rick Moriarty, “Defense Firm Saab Has Big Growth Plans for Syracuse Area | Syracuse.Com,” January 31, 2017, http://www.syracuse.com/business-news/index.ssf/2017/01/defense_firm_saab_has_big_growth_plans_for_syracuse_area.html."},"citationItems":[{"id":231,"uris":["http://zotero.org/groups/2046111/items/XJCAFCKE"],"uri":["http://zotero.org/groups/2046111/items/XJCAFCKE"],"itemData":{"id":231,"type":"webpage","title":"Defense firm Saab has big growth plans for Syracuse area | syracuse.com","URL":"http://www.syracuse.com/business-news/index.ssf/2017/01/defense_firm_saab_has_big_growth_plans_for_syracuse_area.html","author":[{"family":"Moriarty","given":"Rick"}],"issued":{"date-parts":[["2017",1,31]]},"accessed":{"date-parts":[["2018",1,18]]}}}],"schema":"https://github.com/citation-style-language/schema/raw/master/csl-citation.json"} </w:instrText>
      </w:r>
      <w:r>
        <w:fldChar w:fldCharType="separate"/>
      </w:r>
      <w:r w:rsidR="008C6B08" w:rsidRPr="008C6B08">
        <w:rPr>
          <w:rFonts w:ascii="Calibri" w:hAnsi="Calibri" w:cs="Times New Roman"/>
          <w:szCs w:val="24"/>
        </w:rPr>
        <w:t>Rick Moriarty, “Defense Firm Saab Has Big Growth Plans for Syracuse Area | Syracuse.Com,” January 31, 2017, http://www.syracuse.com/business-news/index.ssf/2017/01/defense_firm_saab_has_big_growth_plans_for_syracuse_area.html.</w:t>
      </w:r>
      <w:r>
        <w:fldChar w:fldCharType="end"/>
      </w:r>
    </w:p>
  </w:endnote>
  <w:endnote w:id="105">
    <w:p w14:paraId="2B48B16A" w14:textId="740AD05B" w:rsidR="009A7EF2" w:rsidRDefault="009A7EF2">
      <w:pPr>
        <w:pStyle w:val="EndnoteText"/>
      </w:pPr>
      <w:r>
        <w:rPr>
          <w:rStyle w:val="EndnoteReference"/>
        </w:rPr>
        <w:endnoteRef/>
      </w:r>
      <w:r>
        <w:t xml:space="preserve"> </w:t>
      </w:r>
      <w:r>
        <w:fldChar w:fldCharType="begin"/>
      </w:r>
      <w:r>
        <w:instrText xml:space="preserve"> ADDIN ZOTERO_ITEM CSL_CITATION {"citationID":"hUbvy4AP","properties":{"formattedCitation":"{\\rtf Amy Liu, \\uc0\\u8220{}New York\\uc0\\u8217{}s Powerful Regional Partnerships for Economic Growth,\\uc0\\u8221{} {\\i{}Brookings} (blog), November 30, 2001, https://www.brookings.edu/blog/the-avenue/2016/01/07/new-yorks-powerful-regional-partnerships-for-economic-growth/.}","plainCitation":"Amy Liu, “New York’s Powerful Regional Partnerships for Economic Growth,” Brookings (blog), November 30, 2001, https://www.brookings.edu/blog/the-avenue/2016/01/07/new-yorks-powerful-regional-partnerships-for-economic-growth/."},"citationItems":[{"id":233,"uris":["http://zotero.org/groups/2046111/items/Z4I8QYL2"],"uri":["http://zotero.org/groups/2046111/items/Z4I8QYL2"],"itemData":{"id":233,"type":"post-weblog","title":"New York’s powerful regional partnerships for economic growth","container-title":"Brookings","abstract":"Earlier this week, I joined New York Governor Andrew Cuomo in Rochester, where he several new economic initiatives from his upcoming state-of-the-state and budget address. The announcements, including a sixth year of the state’s annual economic development funding competition and a $100 million “Downtown NY” revitalization initiative, build on a series of innovative initiatives, in partnership with the state’s regions, that lay the groundwork for long-term growth and opportunity.","URL":"https://www.brookings.edu/blog/the-avenue/2016/01/07/new-yorks-powerful-regional-partnerships-for-economic-growth/","language":"en-US","author":[{"family":"Liu","given":"Amy"}],"issued":{"date-parts":[["2001",11,30]]},"accessed":{"date-parts":[["2018",1,18]]}}}],"schema":"https://github.com/citation-style-language/schema/raw/master/csl-citation.json"} </w:instrText>
      </w:r>
      <w:r>
        <w:fldChar w:fldCharType="separate"/>
      </w:r>
      <w:r w:rsidRPr="00655962">
        <w:rPr>
          <w:rFonts w:ascii="Calibri" w:hAnsi="Calibri" w:cs="Times New Roman"/>
          <w:szCs w:val="24"/>
        </w:rPr>
        <w:t xml:space="preserve">Amy Liu, “New York’s Powerful Regional Partnerships for Economic Growth,” </w:t>
      </w:r>
      <w:r w:rsidRPr="00655962">
        <w:rPr>
          <w:rFonts w:ascii="Calibri" w:hAnsi="Calibri" w:cs="Times New Roman"/>
          <w:i/>
          <w:iCs/>
          <w:szCs w:val="24"/>
        </w:rPr>
        <w:t>Brookings</w:t>
      </w:r>
      <w:r w:rsidRPr="00655962">
        <w:rPr>
          <w:rFonts w:ascii="Calibri" w:hAnsi="Calibri" w:cs="Times New Roman"/>
          <w:szCs w:val="24"/>
        </w:rPr>
        <w:t xml:space="preserve"> (blog), November 30, 2001, https://www.brookings.edu/blog/the-avenue/2016/01/07/new-yorks-powerful-regional-partnerships-for-economic-growth/.</w:t>
      </w:r>
      <w:r>
        <w:fldChar w:fldCharType="end"/>
      </w:r>
    </w:p>
  </w:endnote>
  <w:endnote w:id="106">
    <w:p w14:paraId="4B454D95" w14:textId="214D7F9A" w:rsidR="009A7EF2" w:rsidRDefault="009A7EF2">
      <w:pPr>
        <w:pStyle w:val="EndnoteText"/>
      </w:pPr>
      <w:r>
        <w:rPr>
          <w:rStyle w:val="EndnoteReference"/>
        </w:rPr>
        <w:endnoteRef/>
      </w:r>
      <w:r>
        <w:t xml:space="preserve"> </w:t>
      </w:r>
      <w:r>
        <w:fldChar w:fldCharType="begin"/>
      </w:r>
      <w:r>
        <w:instrText xml:space="preserve"> ADDIN ZOTERO_ITEM CSL_CITATION {"citationID":"8tXW210U","properties":{"formattedCitation":"{\\rtf \\uc0\\u8220{}Ohio Third Frontier: Impact,\\uc0\\u8221{} accessed December 18, 2017, https://development.ohio.gov/bs_thirdfrontier/impact.htm.}","plainCitation":"“Ohio Third Frontier: Impact,” accessed December 18, 2017, https://development.ohio.gov/bs_thirdfrontier/impact.htm."},"citationItems":[{"id":25,"uris":["http://zotero.org/groups/2046111/items/GG58MG65"],"uri":["http://zotero.org/groups/2046111/items/GG58MG65"],"itemData":{"id":25,"type":"webpage","title":"Ohio Third Frontier: Impact","URL":"https://development.ohio.gov/bs_thirdfrontier/impact.htm","accessed":{"date-parts":[["2017",12,18]]}}}],"schema":"https://github.com/citation-style-language/schema/raw/master/csl-citation.json"} </w:instrText>
      </w:r>
      <w:r>
        <w:fldChar w:fldCharType="separate"/>
      </w:r>
      <w:r w:rsidRPr="00655962">
        <w:rPr>
          <w:rFonts w:ascii="Calibri" w:hAnsi="Calibri" w:cs="Times New Roman"/>
          <w:szCs w:val="24"/>
        </w:rPr>
        <w:t>“Ohio Third Frontier: Impact,” accessed December 18, 2017, https://development.ohio.gov/bs_thirdfrontier/impact.htm.</w:t>
      </w:r>
      <w:r>
        <w:fldChar w:fldCharType="end"/>
      </w:r>
    </w:p>
  </w:endnote>
  <w:endnote w:id="107">
    <w:p w14:paraId="4A3BFF57" w14:textId="645660BF" w:rsidR="009A7EF2" w:rsidRDefault="009A7EF2">
      <w:pPr>
        <w:pStyle w:val="EndnoteText"/>
      </w:pPr>
      <w:r>
        <w:rPr>
          <w:rStyle w:val="EndnoteReference"/>
        </w:rPr>
        <w:endnoteRef/>
      </w:r>
      <w:r>
        <w:t xml:space="preserve"> </w:t>
      </w:r>
      <w:r>
        <w:fldChar w:fldCharType="begin"/>
      </w:r>
      <w:r w:rsidR="008C6B08">
        <w:instrText xml:space="preserve"> ADDIN ZOTERO_ITEM CSL_CITATION {"citationID":"ph6dSFFa","properties":{"formattedCitation":"{\\rtf Katie Byard, \\uc0\\u8220{}Developing an Alternative to Opioids: UA Professor\\uc0\\u8217{}s Research Gains $2 Million State Grant and Interest of Large Drug Company,\\uc0\\u8221{} January 16, 2018, https://www.ohio.com/akron/writers/katie-byard/developing-an-alternative-to-opioids-ua-professors-research-gains-2-million-state-grant-and-interest-of-large-drug-company.}","plainCitation":"Katie Byard, “Developing an Alternative to Opioids: UA Professor’s Research Gains $2 Million State Grant and Interest of Large Drug Company,” January 16, 2018, https://www.ohio.com/akron/writers/katie-byard/developing-an-alternative-to-opioids-ua-professors-research-gains-2-million-state-grant-and-interest-of-large-drug-company."},"citationItems":[{"id":235,"uris":["http://zotero.org/groups/2046111/items/6T2WZMII"],"uri":["http://zotero.org/groups/2046111/items/6T2WZMII"],"itemData":{"id":235,"type":"webpage","title":"Developing an alternative to opioids: UA professor’s research gains $2 million state grant and interest of large drug company","URL":"https://www.ohio.com/akron/writers/katie-byard/developing-an-alternative-to-opioids-ua-professors-research-gains-2-million-state-grant-and-interest-of-large-drug-company","author":[{"family":"Byard","given":"Katie"}],"issued":{"date-parts":[["2018",1,16]]},"accessed":{"date-parts":[["2018",1,18]]}}}],"schema":"https://github.com/citation-style-language/schema/raw/master/csl-citation.json"} </w:instrText>
      </w:r>
      <w:r>
        <w:fldChar w:fldCharType="separate"/>
      </w:r>
      <w:r w:rsidR="008C6B08" w:rsidRPr="008C6B08">
        <w:rPr>
          <w:rFonts w:ascii="Calibri" w:hAnsi="Calibri" w:cs="Times New Roman"/>
          <w:szCs w:val="24"/>
        </w:rPr>
        <w:t>Katie Byard, “Developing an Alternative to Opioids: UA Professor’s Research Gains $2 Million State Grant and Interest of Large Drug Company,” January 16, 2018, https://www.ohio.com/akron/writers/katie-byard/developing-an-alternative-to-opioids-ua-professors-research-gains-2-million-state-grant-and-interest-of-large-drug-company.</w:t>
      </w:r>
      <w:r>
        <w:fldChar w:fldCharType="end"/>
      </w:r>
    </w:p>
  </w:endnote>
  <w:endnote w:id="108">
    <w:p w14:paraId="640BD0C6" w14:textId="60A3886A" w:rsidR="009A7EF2" w:rsidRDefault="009A7EF2">
      <w:pPr>
        <w:pStyle w:val="EndnoteText"/>
      </w:pPr>
      <w:r>
        <w:rPr>
          <w:rStyle w:val="EndnoteReference"/>
        </w:rPr>
        <w:endnoteRef/>
      </w:r>
      <w:r>
        <w:t xml:space="preserve"> </w:t>
      </w:r>
      <w:r>
        <w:fldChar w:fldCharType="begin"/>
      </w:r>
      <w:r>
        <w:instrText xml:space="preserve"> ADDIN ZOTERO_ITEM CSL_CITATION {"citationID":"Hjwsr1RU","properties":{"formattedCitation":"{\\rtf Steve Lohr, \\uc0\\u8220{}As Silicon Valley Gets \\uc0\\u8216{}Crazy,\\uc0\\u8217{} Midwest Beckons Tech Investors,\\uc0\\u8221{} {\\i{}The New York Times}, November 19, 2017, sec. Technology, https://www.nytimes.com/2017/11/19/technology/midwest-tech-startups.html.}","plainCitation":"Steve Lohr, “As Silicon Valley Gets ‘Crazy,’ Midwest Beckons Tech Investors,” The New York Times, November 19, 2017, sec. Technology, https://www.nytimes.com/2017/11/19/technology/midwest-tech-startups.html."},"citationItems":[{"id":221,"uris":["http://zotero.org/groups/2046111/items/SG8UI6Z4"],"uri":["http://zotero.org/groups/2046111/items/SG8UI6Z4"],"itemData":{"id":221,"type":"article-newspaper","title":"As Silicon Valley Gets ‘Crazy,’ Midwest Beckons Tech Investors","container-title":"The New York Times","section":"Technology","source":"NYTimes.com","abstract":"Funding and start-ups are concentrated on the coasts, especially in California. But there are signs of an entrepreneurial awakening in the heartland, where talent is rich but prices aren’t.","URL":"https://www.nytimes.com/2017/11/19/technology/midwest-tech-startups.html","ISSN":"0362-4331","language":"en-US","author":[{"family":"Lohr","given":"Steve"}],"issued":{"date-parts":[["2017",11,19]]},"accessed":{"date-parts":[["2018",1,15]]}}}],"schema":"https://github.com/citation-style-language/schema/raw/master/csl-citation.json"} </w:instrText>
      </w:r>
      <w:r>
        <w:fldChar w:fldCharType="separate"/>
      </w:r>
      <w:r w:rsidRPr="00655962">
        <w:rPr>
          <w:rFonts w:ascii="Calibri" w:hAnsi="Calibri" w:cs="Times New Roman"/>
          <w:szCs w:val="24"/>
        </w:rPr>
        <w:t xml:space="preserve">Steve Lohr, “As Silicon Valley Gets ‘Crazy,’ Midwest Beckons Tech Investors,” </w:t>
      </w:r>
      <w:r w:rsidRPr="00655962">
        <w:rPr>
          <w:rFonts w:ascii="Calibri" w:hAnsi="Calibri" w:cs="Times New Roman"/>
          <w:i/>
          <w:iCs/>
          <w:szCs w:val="24"/>
        </w:rPr>
        <w:t>The New York Times</w:t>
      </w:r>
      <w:r w:rsidRPr="00655962">
        <w:rPr>
          <w:rFonts w:ascii="Calibri" w:hAnsi="Calibri" w:cs="Times New Roman"/>
          <w:szCs w:val="24"/>
        </w:rPr>
        <w:t>, November 19, 2017, sec. Technology, https://www.nytimes.com/2017/11/19/technology/midwest-tech-startups.html.</w:t>
      </w:r>
      <w:r>
        <w:fldChar w:fldCharType="end"/>
      </w:r>
    </w:p>
  </w:endnote>
  <w:endnote w:id="109">
    <w:p w14:paraId="52050509" w14:textId="657BAFF4" w:rsidR="009A7EF2" w:rsidRDefault="009A7EF2">
      <w:pPr>
        <w:pStyle w:val="EndnoteText"/>
      </w:pPr>
      <w:r>
        <w:rPr>
          <w:rStyle w:val="EndnoteReference"/>
        </w:rPr>
        <w:endnoteRef/>
      </w:r>
      <w:r>
        <w:t xml:space="preserve"> </w:t>
      </w:r>
      <w:r>
        <w:fldChar w:fldCharType="begin"/>
      </w:r>
      <w:r>
        <w:instrText xml:space="preserve"> ADDIN ZOTERO_ITEM CSL_CITATION {"citationID":"oeULArrO","properties":{"formattedCitation":"{\\rtf Peter Wilkins, \\uc0\\u8220{}Why Ohio Health Care Startups Saw a 206% Funding Increase in 2017,\\uc0\\u8221{} {\\i{}VentureBeat} (blog), December 18, 2017, https://venturebeat.com/2017/12/18/why-ohio-health-care-startups-saw-a-206-funding-increase-in-2017/.}","plainCitation":"Peter Wilkins, “Why Ohio Health Care Startups Saw a 206% Funding Increase in 2017,” VentureBeat (blog), December 18, 2017, https://venturebeat.com/2017/12/18/why-ohio-health-care-startups-saw-a-206-funding-increase-in-2017/."},"citationItems":[{"id":223,"uris":["http://zotero.org/groups/2046111/items/MF2S7I7Y"],"uri":["http://zotero.org/groups/2046111/items/MF2S7I7Y"],"itemData":{"id":223,"type":"post-weblog","title":"Why Ohio health care startups saw a 206% funding increase in 2017","container-title":"VentureBeat","abstract":"While there are a number of Midwestern cities that are home to promising health care startups, including Minneapolis and Chicago, Ohio is quickly positioning itself as a major player. The state has seen an influx of funding to health care and life sciences startups, and it produced one of the biggest Midwest startup exits of the year.","URL":"https://venturebeat.com/2017/12/18/why-ohio-health-care-startups-saw-a-206-funding-increase-in-2017/","language":"en-US","author":[{"family":"Wilkins","given":"Peter"}],"issued":{"date-parts":[["2017",12,18]]},"accessed":{"date-parts":[["2018",1,15]]}}}],"schema":"https://github.com/citation-style-language/schema/raw/master/csl-citation.json"} </w:instrText>
      </w:r>
      <w:r>
        <w:fldChar w:fldCharType="separate"/>
      </w:r>
      <w:r w:rsidRPr="00655962">
        <w:rPr>
          <w:rFonts w:ascii="Calibri" w:hAnsi="Calibri" w:cs="Times New Roman"/>
          <w:szCs w:val="24"/>
        </w:rPr>
        <w:t xml:space="preserve">Peter Wilkins, “Why Ohio Health Care Startups Saw a 206% Funding Increase in 2017,” </w:t>
      </w:r>
      <w:r w:rsidRPr="00655962">
        <w:rPr>
          <w:rFonts w:ascii="Calibri" w:hAnsi="Calibri" w:cs="Times New Roman"/>
          <w:i/>
          <w:iCs/>
          <w:szCs w:val="24"/>
        </w:rPr>
        <w:t>VentureBeat</w:t>
      </w:r>
      <w:r w:rsidRPr="00655962">
        <w:rPr>
          <w:rFonts w:ascii="Calibri" w:hAnsi="Calibri" w:cs="Times New Roman"/>
          <w:szCs w:val="24"/>
        </w:rPr>
        <w:t xml:space="preserve"> (blog), December 18, 2017, https://venturebeat.com/2017/12/18/why-ohio-health-care-startups-saw-a-206-funding-increase-in-2017/.</w:t>
      </w:r>
      <w:r>
        <w:fldChar w:fldCharType="end"/>
      </w:r>
    </w:p>
  </w:endnote>
  <w:endnote w:id="110">
    <w:p w14:paraId="21252EFF" w14:textId="02C0A496" w:rsidR="009A7EF2" w:rsidRDefault="009A7EF2">
      <w:pPr>
        <w:pStyle w:val="EndnoteText"/>
      </w:pPr>
      <w:r>
        <w:rPr>
          <w:rStyle w:val="EndnoteReference"/>
        </w:rPr>
        <w:endnoteRef/>
      </w:r>
      <w:r>
        <w:t xml:space="preserve"> </w:t>
      </w:r>
      <w:r>
        <w:fldChar w:fldCharType="begin"/>
      </w:r>
      <w:r>
        <w:instrText xml:space="preserve"> ADDIN ZOTERO_ITEM CSL_CITATION {"citationID":"KeQC2s70","properties":{"formattedCitation":"{\\rtf Scott Suttell, \\uc0\\u8220{}JumpStart Inc.\\uc0\\u8217{}s Focus Fund Makes the Case for Inclusion,\\uc0\\u8221{} Crain\\uc0\\u8217{}s Cleveland Business, April 26, 2016, http://www.crainscleveland.com/article/20160426/BLOGS03/160429850/jumpstart-inc-s-focus-fund-makes-the-case-for-inclusion.}","plainCitation":"Scott Suttell, “JumpStart Inc.’s Focus Fund Makes the Case for Inclusion,” Crain’s Cleveland Business, April 26, 2016, http://www.crainscleveland.com/article/20160426/BLOGS03/160429850/jumpstart-inc-s-focus-fund-makes-the-case-for-inclusion."},"citationItems":[{"id":307,"uris":["http://zotero.org/groups/2046111/items/PEMD77C8"],"uri":["http://zotero.org/groups/2046111/items/PEMD77C8"],"itemData":{"id":307,"type":"webpage","title":"JumpStart Inc.'s Focus Fund makes the case for inclusion","container-title":"Crain's Cleveland Business","abstract":"Fast Company looks at the progress being made by the $10 million fund for women and minority entrepreneurs, which is backed by Case Foundation CEO Jean Case. Plus, a billionaire hedge fund manager wants to promote climate-change activism on college campuses in Ohio and other swing states, and more.","URL":"http://www.crainscleveland.com/article/20160426/BLOGS03/160429850/jumpstart-inc-s-focus-fund-makes-the-case-for-inclusion","author":[{"family":"Suttell","given":"Scott"}],"issued":{"date-parts":[["2016",4,26]]},"accessed":{"date-parts":[["2018",2,13]]}}}],"schema":"https://github.com/citation-style-language/schema/raw/master/csl-citation.json"} </w:instrText>
      </w:r>
      <w:r>
        <w:fldChar w:fldCharType="separate"/>
      </w:r>
      <w:r w:rsidRPr="00D34C44">
        <w:rPr>
          <w:rFonts w:ascii="Calibri" w:hAnsi="Calibri" w:cs="Times New Roman"/>
          <w:szCs w:val="24"/>
        </w:rPr>
        <w:t>Scott Suttell, “JumpStart Inc.’s Focus Fund Makes the Case for Inclusion,” Crain’s Cleveland Business, April 26, 2016, http://www.crainscleveland.com/article/20160426/BLOGS03/160429850/jumpstart-inc-s-focus-fund-makes-the-case-for-inclusion.</w:t>
      </w:r>
      <w:r>
        <w:fldChar w:fldCharType="end"/>
      </w:r>
    </w:p>
  </w:endnote>
  <w:endnote w:id="111">
    <w:p w14:paraId="6790C32C" w14:textId="05682E5F" w:rsidR="009A7EF2" w:rsidRDefault="009A7EF2">
      <w:pPr>
        <w:pStyle w:val="EndnoteText"/>
      </w:pPr>
      <w:r>
        <w:rPr>
          <w:rStyle w:val="EndnoteReference"/>
        </w:rPr>
        <w:endnoteRef/>
      </w:r>
      <w:r>
        <w:t xml:space="preserve"> </w:t>
      </w:r>
      <w:r>
        <w:fldChar w:fldCharType="begin"/>
      </w:r>
      <w:r>
        <w:instrText xml:space="preserve"> ADDIN ZOTERO_ITEM CSL_CITATION {"citationID":"RrCt3REX","properties":{"formattedCitation":"{\\rtf Scott Suttell, \\uc0\\u8220{}JumpStart Inc. Invests in Cincinnati Software-as-a-Service Company,\\uc0\\u8221{} Crain\\uc0\\u8217{}s Cleveland Business, February 28, 2017, http://www.crainscleveland.com/article/20170228/NEWS/170229800/jumpstart-inc-invests-in-cincinnati-software-as-a-service-company; Chuck Soder, \\uc0\\u8220{}At StartupScaleup, JumpStart Unveils Investments from Diversity-Focused Fund,\\uc0\\u8221{} Crain\\uc0\\u8217{}s Cleveland Business, June 27, 2016, http://www.crainscleveland.com/article/20160628/NEWS/160629794/at-startupscaleup-jumpstart-unveils-investments-from-diversity.}","plainCitation":"Scott Suttell, “JumpStart Inc. Invests in Cincinnati Software-as-a-Service Company,” Crain’s Cleveland Business, February 28, 2017, http://www.crainscleveland.com/article/20170228/NEWS/170229800/jumpstart-inc-invests-in-cincinnati-software-as-a-service-company; Chuck Soder, “At StartupScaleup, JumpStart Unveils Investments from Diversity-Focused Fund,” Crain’s Cleveland Business, June 27, 2016, http://www.crainscleveland.com/article/20160628/NEWS/160629794/at-startupscaleup-jumpstart-unveils-investments-from-diversity."},"citationItems":[{"id":309,"uris":["http://zotero.org/groups/2046111/items/WFPMFRTX"],"uri":["http://zotero.org/groups/2046111/items/WFPMFRTX"],"itemData":{"id":309,"type":"webpage","title":"JumpStart Inc. invests in Cincinnati software-as-a-service company","container-title":"Crain's Cleveland Business","abstract":"Terms of the investment in Talmetrix, made from JumpStart's $10 million Focus Fund, were not disclosed. Talmetrix makes software that helps companies gather employee insight.","URL":"http://www.crainscleveland.com/article/20170228/NEWS/170229800/jumpstart-inc-invests-in-cincinnati-software-as-a-service-company","author":[{"family":"Suttell","given":"Scott"}],"issued":{"date-parts":[["2017",2,28]]},"accessed":{"date-parts":[["2018",2,13]]}}},{"id":311,"uris":["http://zotero.org/groups/2046111/items/6CWFHUMI"],"uri":["http://zotero.org/groups/2046111/items/6CWFHUMI"],"itemData":{"id":311,"type":"webpage","title":"At StartupScaleup, JumpStart unveils investments from diversity-focused fund","container-title":"Crain's Cleveland Business","abstract":"The nonprofit is pumping $350,000 into five companies led by women and minorities. The day-long conference featured a long list of events tailored to entrepreneurs and people interested in starting businesses. A few events focused on issues related to diversity.","URL":"http://www.crainscleveland.com/article/20160628/NEWS/160629794/at-startupscaleup-jumpstart-unveils-investments-from-diversity","author":[{"family":"Soder","given":"Chuck"}],"issued":{"date-parts":[["2016",6,27]]},"accessed":{"date-parts":[["2018",2,13]]}}}],"schema":"https://github.com/citation-style-language/schema/raw/master/csl-citation.json"} </w:instrText>
      </w:r>
      <w:r>
        <w:fldChar w:fldCharType="separate"/>
      </w:r>
      <w:r w:rsidRPr="00195B4A">
        <w:rPr>
          <w:rFonts w:ascii="Calibri" w:hAnsi="Calibri" w:cs="Times New Roman"/>
          <w:szCs w:val="24"/>
        </w:rPr>
        <w:t>Scott Suttell, “JumpStart Inc. Invests in Cincinnati Software-as-a-Service Company,” Crain’s Cleveland Business, February 28, 2017, http://www.crainscleveland.com/article/20170228/NEWS/170229800/jumpstart-inc-invests-in-cincinnati-software-as-a-service-company; Chuck Soder, “At StartupScaleup, JumpStart Unveils Investments from Diversity-Focused Fund,” Crain’s Cleveland Business, June 27, 2016, http://www.crainscleveland.com/article/20160628/NEWS/160629794/at-startupscaleup-jumpstart-unveils-investments-from-diversity.</w:t>
      </w:r>
      <w:r>
        <w:fldChar w:fldCharType="end"/>
      </w:r>
    </w:p>
  </w:endnote>
  <w:endnote w:id="112">
    <w:p w14:paraId="48DC2E6F" w14:textId="132FE339" w:rsidR="009A7EF2" w:rsidRDefault="009A7EF2">
      <w:pPr>
        <w:pStyle w:val="EndnoteText"/>
      </w:pPr>
      <w:r>
        <w:rPr>
          <w:rStyle w:val="EndnoteReference"/>
        </w:rPr>
        <w:endnoteRef/>
      </w:r>
      <w:r>
        <w:t xml:space="preserve"> </w:t>
      </w:r>
      <w:r>
        <w:fldChar w:fldCharType="begin"/>
      </w:r>
      <w:r>
        <w:instrText xml:space="preserve"> ADDIN ZOTERO_ITEM CSL_CITATION {"citationID":"qgPHdiRd","properties":{"formattedCitation":"{\\rtf Kevin T. Leicht and J. Craig Jenkins, \\uc0\\u8220{}State Investments in High-Technology Job Growth,\\uc0\\u8221{} {\\i{}Social Science Research} 65 (July 1, 2017): 30\\uc0\\u8211{}46, https://doi.org/10.1016/j.ssresearch.2017.03.007.}","plainCitation":"Kevin T. Leicht and J. Craig Jenkins, “State Investments in High-Technology Job Growth,” Social Science Research 65 (July 1, 2017): 30–46, https://doi.org/10.1016/j.ssresearch.2017.03.007."},"citationItems":[{"id":238,"uris":["http://zotero.org/groups/2046111/items/DR9KHCPY"],"uri":["http://zotero.org/groups/2046111/items/DR9KHCPY"],"itemData":{"id":238,"type":"article-journal","title":"State investments in high-technology job growth","container-title":"Social Science Research","page":"30-46","volume":"65","source":"ScienceDirect","abstract":"Since the early 1970's state and local governments have launched an array of economic development programs designed to promote high-technology development. The question our analysis addresses is whether these programs promote long-term high-technology employment growth net of state location and agglomeration advantages. Proponents talk about an infrastructure strategy that promotes investment in public research and specialized infrastructure to attract and grow new high technology industries in specific locations, and a more decentralized entrepreneurial strategy that reinforces local agglomeration capacities by investing in new enterprises and products, promoting the development of local networks and partnerships. Our results support the entrepreneurial strategy, suggesting that state governments can accelerate high technology development by adopting market-supportive programs that complement private sector initiatives. In addition to positive direct benefits of technology deployment/transfer programs and SBIR programs, entrepreneurial programs affect change in high-technology employment in concert with existing locational and agglomeration advantages. Rural (i.e. low population density) states tend to benefit by technology development programs. Infrastructure strategy programs also facilitate high technology job growth in places where local advantages already exist. Our results suggest that critics of industrial policy are correct that high technology growth is organic and endogenous, yet state governments are able to “pick winners and losers” in ways that grow their local economy.","DOI":"10.1016/j.ssresearch.2017.03.007","ISSN":"0049-089X","journalAbbreviation":"Social Science Research","author":[{"family":"Leicht","given":"Kevin T."},{"family":"Jenkins","given":"J. Craig"}],"issued":{"date-parts":[["2017",7,1]]}}}],"schema":"https://github.com/citation-style-language/schema/raw/master/csl-citation.json"} </w:instrText>
      </w:r>
      <w:r>
        <w:fldChar w:fldCharType="separate"/>
      </w:r>
      <w:r w:rsidRPr="00655962">
        <w:rPr>
          <w:rFonts w:ascii="Calibri" w:hAnsi="Calibri" w:cs="Times New Roman"/>
          <w:szCs w:val="24"/>
        </w:rPr>
        <w:t xml:space="preserve">Kevin T. Leicht and J. Craig Jenkins, “State Investments in High-Technology Job Growth,” </w:t>
      </w:r>
      <w:r w:rsidRPr="00655962">
        <w:rPr>
          <w:rFonts w:ascii="Calibri" w:hAnsi="Calibri" w:cs="Times New Roman"/>
          <w:i/>
          <w:iCs/>
          <w:szCs w:val="24"/>
        </w:rPr>
        <w:t>Social Science Research</w:t>
      </w:r>
      <w:r w:rsidRPr="00655962">
        <w:rPr>
          <w:rFonts w:ascii="Calibri" w:hAnsi="Calibri" w:cs="Times New Roman"/>
          <w:szCs w:val="24"/>
        </w:rPr>
        <w:t xml:space="preserve"> 65 (July 1, 2017): 30–46, https://doi.org/10.1016/j.ssresearch.2017.03.007.</w:t>
      </w:r>
      <w:r>
        <w:fldChar w:fldCharType="end"/>
      </w:r>
    </w:p>
  </w:endnote>
  <w:endnote w:id="113">
    <w:p w14:paraId="3D5DF696" w14:textId="489DE3AA" w:rsidR="009A7EF2" w:rsidRDefault="009A7EF2">
      <w:pPr>
        <w:pStyle w:val="EndnoteText"/>
      </w:pPr>
      <w:r>
        <w:rPr>
          <w:rStyle w:val="EndnoteReference"/>
        </w:rPr>
        <w:endnoteRef/>
      </w:r>
      <w:r>
        <w:t xml:space="preserve"> </w:t>
      </w:r>
      <w:r>
        <w:fldChar w:fldCharType="begin"/>
      </w:r>
      <w:r>
        <w:instrText xml:space="preserve"> ADDIN ZOTERO_ITEM CSL_CITATION {"citationID":"Y7HJocQp","properties":{"formattedCitation":"{\\rtf John Austin, \\uc0\\u8220{}A Tale of Two Rust Belts, Continued: Can the Midwest\\uc0\\u8217{}s Smaller Communities Succeed?,\\uc0\\u8221{} {\\i{}Brookings} (blog), December 5, 2017, https://www.brookings.edu/blog/the-avenue/2017/12/05/a-tale-of-two-rust-belts-continued-can-the-midwests-smaller-communities-succeed/.}","plainCitation":"John Austin, “A Tale of Two Rust Belts, Continued: Can the Midwest’s Smaller Communities Succeed?,” Brookings (blog), December 5, 2017, https://www.brookings.edu/blog/the-avenue/2017/12/05/a-tale-of-two-rust-belts-continued-can-the-midwests-smaller-communities-succeed/."},"citationItems":[{"id":241,"uris":["http://zotero.org/groups/2046111/items/GJW4KGI5"],"uri":["http://zotero.org/groups/2046111/items/GJW4KGI5"],"itemData":{"id":241,"type":"post-weblog","title":"A tale of two Rust Belts, continued: Can the Midwest’s smaller communities succeed?","container-title":"Brookings","abstract":"A key challenge for many Rust Belt communities, large and small, revolves around how they can evolve their economies from reliance on low-skill factory jobs and paternal company town employers (man…","URL":"https://www.brookings.edu/blog/the-avenue/2017/12/05/a-tale-of-two-rust-belts-continued-can-the-midwests-smaller-communities-succeed/","shortTitle":"A tale of two Rust Belts, continued","language":"en-US","author":[{"family":"Austin","given":"John"}],"issued":{"date-parts":[["2017",12,5]]},"accessed":{"date-parts":[["2018",1,18]]}}}],"schema":"https://github.com/citation-style-language/schema/raw/master/csl-citation.json"} </w:instrText>
      </w:r>
      <w:r>
        <w:fldChar w:fldCharType="separate"/>
      </w:r>
      <w:r w:rsidRPr="00655962">
        <w:rPr>
          <w:rFonts w:ascii="Calibri" w:hAnsi="Calibri" w:cs="Times New Roman"/>
          <w:szCs w:val="24"/>
        </w:rPr>
        <w:t xml:space="preserve">John Austin, “A Tale of Two Rust Belts, Continued: Can the Midwest’s Smaller Communities Succeed?,” </w:t>
      </w:r>
      <w:r w:rsidRPr="00655962">
        <w:rPr>
          <w:rFonts w:ascii="Calibri" w:hAnsi="Calibri" w:cs="Times New Roman"/>
          <w:i/>
          <w:iCs/>
          <w:szCs w:val="24"/>
        </w:rPr>
        <w:t>Brookings</w:t>
      </w:r>
      <w:r w:rsidRPr="00655962">
        <w:rPr>
          <w:rFonts w:ascii="Calibri" w:hAnsi="Calibri" w:cs="Times New Roman"/>
          <w:szCs w:val="24"/>
        </w:rPr>
        <w:t xml:space="preserve"> (blog), December 5, 2017, https://www.brookings.edu/blog/the-avenue/2017/12/05/a-tale-of-two-rust-belts-continued-can-the-midwests-smaller-communities-succeed/.</w:t>
      </w:r>
      <w:r>
        <w:fldChar w:fldCharType="end"/>
      </w:r>
    </w:p>
  </w:endnote>
  <w:endnote w:id="114">
    <w:p w14:paraId="0972C127" w14:textId="22272D88" w:rsidR="009A7EF2" w:rsidRDefault="009A7EF2">
      <w:pPr>
        <w:pStyle w:val="EndnoteText"/>
      </w:pPr>
      <w:r>
        <w:rPr>
          <w:rStyle w:val="EndnoteReference"/>
        </w:rPr>
        <w:endnoteRef/>
      </w:r>
      <w:r>
        <w:t xml:space="preserve"> </w:t>
      </w:r>
      <w:r>
        <w:fldChar w:fldCharType="begin"/>
      </w:r>
      <w:r>
        <w:instrText xml:space="preserve"> ADDIN ZOTERO_ITEM CSL_CITATION {"citationID":"7HFPHoRx","properties":{"formattedCitation":"{\\rtf Lindsey Christy, \\uc0\\u8220{}Who We Are,\\uc0\\u8221{} {\\i{}ECO Network} (blog), accessed January 18, 2018, http://econetworks.org/about-eco/who-we-are/.}","plainCitation":"Lindsey Christy, “Who We Are,” ECO Network (blog), accessed January 18, 2018, http://econetworks.org/about-eco/who-we-are/."},"citationItems":[{"id":243,"uris":["http://zotero.org/groups/2046111/items/ZWMPB7YG"],"uri":["http://zotero.org/groups/2046111/items/ZWMPB7YG"],"itemData":{"id":243,"type":"post-weblog","title":"Who We Are","container-title":"ECO Network","abstract":"The mission of EcO is to create a regional system of life-long learning connecting the residents of ten counties within rural Southeast Indiana to better economic opportunities through education by the year 2015 and beyond.\n\nThe EcO Network is the largest initiative of the Community Education Coalition encompassing the Southeast Indiana Economic Growth Region (EGR)","URL":"http://econetworks.org/about-eco/who-we-are/","language":"en-US","author":[{"family":"Christy","given":"Lindsey"}],"accessed":{"date-parts":[["2018",1,18]]}}}],"schema":"https://github.com/citation-style-language/schema/raw/master/csl-citation.json"} </w:instrText>
      </w:r>
      <w:r>
        <w:fldChar w:fldCharType="separate"/>
      </w:r>
      <w:r w:rsidRPr="00655962">
        <w:rPr>
          <w:rFonts w:ascii="Calibri" w:hAnsi="Calibri" w:cs="Times New Roman"/>
          <w:szCs w:val="24"/>
        </w:rPr>
        <w:t xml:space="preserve">Lindsey Christy, “Who We Are,” </w:t>
      </w:r>
      <w:r w:rsidRPr="00655962">
        <w:rPr>
          <w:rFonts w:ascii="Calibri" w:hAnsi="Calibri" w:cs="Times New Roman"/>
          <w:i/>
          <w:iCs/>
          <w:szCs w:val="24"/>
        </w:rPr>
        <w:t>ECO Network</w:t>
      </w:r>
      <w:r w:rsidRPr="00655962">
        <w:rPr>
          <w:rFonts w:ascii="Calibri" w:hAnsi="Calibri" w:cs="Times New Roman"/>
          <w:szCs w:val="24"/>
        </w:rPr>
        <w:t xml:space="preserve"> (blog), accessed January 18, 2018, http://econetworks.org/about-eco/who-we-are/.</w:t>
      </w:r>
      <w:r>
        <w:fldChar w:fldCharType="end"/>
      </w:r>
    </w:p>
  </w:endnote>
  <w:endnote w:id="115">
    <w:p w14:paraId="65F0DA03" w14:textId="20714FA8" w:rsidR="009A7EF2" w:rsidRDefault="009A7EF2">
      <w:pPr>
        <w:pStyle w:val="EndnoteText"/>
      </w:pPr>
      <w:r>
        <w:rPr>
          <w:rStyle w:val="EndnoteReference"/>
        </w:rPr>
        <w:endnoteRef/>
      </w:r>
      <w:r>
        <w:t xml:space="preserve"> </w:t>
      </w:r>
      <w:r>
        <w:fldChar w:fldCharType="begin"/>
      </w:r>
      <w:r>
        <w:instrText xml:space="preserve"> ADDIN ZOTERO_ITEM CSL_CITATION {"citationID":"YKmrISvd","properties":{"formattedCitation":"{\\rtf \\uc0\\u8220{}The Digitalization of the American Workforce,\\uc0\\u8221{} {\\i{}Brookings} (blog), November 21, 2017, https://www.brookings.edu/events/the-digitalization-of-the-american-workforce/.}","plainCitation":"“The Digitalization of the American Workforce,” Brookings (blog), November 21, 2017, https://www.brookings.edu/events/the-digitalization-of-the-american-workforce/."},"citationItems":[{"id":245,"uris":["http://zotero.org/groups/2046111/items/SNA8QVC9"],"uri":["http://zotero.org/groups/2046111/items/SNA8QVC9"],"itemData":{"id":245,"type":"post-weblog","title":"The digitalization of the American workforce","container-title":"Brookings","abstract":"Over the past half century, wave after wave of digital innovation has ensured that “digitalization” – the diffusion of digital technologies into nearly every business, workplace and pocket – has be…","URL":"https://www.brookings.edu/events/the-digitalization-of-the-american-workforce/","language":"en-US","issued":{"date-parts":[["2017",11,21]]},"accessed":{"date-parts":[["2018",1,18]]}}}],"schema":"https://github.com/citation-style-language/schema/raw/master/csl-citation.json"} </w:instrText>
      </w:r>
      <w:r>
        <w:fldChar w:fldCharType="separate"/>
      </w:r>
      <w:r w:rsidRPr="00655962">
        <w:rPr>
          <w:rFonts w:ascii="Calibri" w:hAnsi="Calibri" w:cs="Times New Roman"/>
          <w:szCs w:val="24"/>
        </w:rPr>
        <w:t xml:space="preserve">“The Digitalization of the American Workforce,” </w:t>
      </w:r>
      <w:r w:rsidRPr="00655962">
        <w:rPr>
          <w:rFonts w:ascii="Calibri" w:hAnsi="Calibri" w:cs="Times New Roman"/>
          <w:i/>
          <w:iCs/>
          <w:szCs w:val="24"/>
        </w:rPr>
        <w:t>Brookings</w:t>
      </w:r>
      <w:r w:rsidRPr="00655962">
        <w:rPr>
          <w:rFonts w:ascii="Calibri" w:hAnsi="Calibri" w:cs="Times New Roman"/>
          <w:szCs w:val="24"/>
        </w:rPr>
        <w:t xml:space="preserve"> (blog), November 21, 2017, https://www.brookings.edu/events/the-digitalization-of-the-american-workforce/.</w:t>
      </w:r>
      <w:r>
        <w:fldChar w:fldCharType="end"/>
      </w:r>
    </w:p>
  </w:endnote>
  <w:endnote w:id="116">
    <w:p w14:paraId="1DBA2200" w14:textId="65BD91D4" w:rsidR="009A7EF2" w:rsidRDefault="009A7EF2">
      <w:pPr>
        <w:pStyle w:val="EndnoteText"/>
      </w:pPr>
      <w:r>
        <w:rPr>
          <w:rStyle w:val="EndnoteReference"/>
        </w:rPr>
        <w:endnoteRef/>
      </w:r>
      <w:r>
        <w:t xml:space="preserve"> </w:t>
      </w:r>
      <w:r>
        <w:fldChar w:fldCharType="begin"/>
      </w:r>
      <w:r>
        <w:instrText xml:space="preserve"> ADDIN ZOTERO_ITEM CSL_CITATION {"citationID":"b82cOOkN","properties":{"formattedCitation":"{\\rtf \\uc0\\u8220{}LaunchCode,\\uc0\\u8221{} accessed December 18, 2017, http://www.launchcode.org.}","plainCitation":"“LaunchCode,” accessed December 18, 2017, http://www.launchcode.org."},"citationItems":[{"id":16,"uris":["http://zotero.org/groups/2046111/items/JG29GQCZ"],"uri":["http://zotero.org/groups/2046111/items/JG29GQCZ"],"itemData":{"id":16,"type":"webpage","title":"LaunchCode","abstract":"Land your dream job in technology.","URL":"http://www.launchcode.org","accessed":{"date-parts":[["2017",12,18]]}}}],"schema":"https://github.com/citation-style-language/schema/raw/master/csl-citation.json"} </w:instrText>
      </w:r>
      <w:r>
        <w:fldChar w:fldCharType="separate"/>
      </w:r>
      <w:r w:rsidRPr="00655962">
        <w:rPr>
          <w:rFonts w:ascii="Calibri" w:hAnsi="Calibri" w:cs="Times New Roman"/>
          <w:szCs w:val="24"/>
        </w:rPr>
        <w:t>“LaunchCode,” accessed December 18, 2017, http://www.launchcode.org.</w:t>
      </w:r>
      <w:r>
        <w:fldChar w:fldCharType="end"/>
      </w:r>
    </w:p>
  </w:endnote>
  <w:endnote w:id="117">
    <w:p w14:paraId="3EA2A283" w14:textId="62388CB7" w:rsidR="009A7EF2" w:rsidRDefault="009A7EF2">
      <w:pPr>
        <w:pStyle w:val="EndnoteText"/>
      </w:pPr>
      <w:r>
        <w:rPr>
          <w:rStyle w:val="EndnoteReference"/>
        </w:rPr>
        <w:endnoteRef/>
      </w:r>
      <w:r>
        <w:t xml:space="preserve"> </w:t>
      </w:r>
      <w:r>
        <w:fldChar w:fldCharType="begin"/>
      </w:r>
      <w:r>
        <w:instrText xml:space="preserve"> ADDIN ZOTERO_ITEM CSL_CITATION {"citationID":"UYmfgyg5","properties":{"formattedCitation":"{\\rtf Robert Putnam, {\\i{}Bowling Alone: The Collapse and Revival of American Community} (Simon and Schuster, 2000), http://bowlingalone.com/.}","plainCitation":"Robert Putnam, Bowling Alone: The Collapse and Revival of American Community (Simon and Schuster, 2000), http://bowlingalone.com/."},"citationItems":[{"id":296,"uris":["http://zotero.org/groups/2046111/items/VFAVTJES"],"uri":["http://zotero.org/groups/2046111/items/VFAVTJES"],"itemData":{"id":296,"type":"book","title":"Bowling Alone: The Collapse and Revival of American Community","publisher":"Simon and Schuster","URL":"http://bowlingalone.com/","language":"en-US","author":[{"family":"Putnam","given":"Robert"}],"issued":{"date-parts":[["2000"]]},"accessed":{"date-parts":[["2018",2,9]]}}}],"schema":"https://github.com/citation-style-language/schema/raw/master/csl-citation.json"} </w:instrText>
      </w:r>
      <w:r>
        <w:fldChar w:fldCharType="separate"/>
      </w:r>
      <w:r w:rsidRPr="00EC4C68">
        <w:rPr>
          <w:rFonts w:ascii="Calibri" w:hAnsi="Calibri" w:cs="Times New Roman"/>
          <w:szCs w:val="24"/>
        </w:rPr>
        <w:t xml:space="preserve">Robert Putnam, </w:t>
      </w:r>
      <w:r w:rsidRPr="00EC4C68">
        <w:rPr>
          <w:rFonts w:ascii="Calibri" w:hAnsi="Calibri" w:cs="Times New Roman"/>
          <w:i/>
          <w:iCs/>
          <w:szCs w:val="24"/>
        </w:rPr>
        <w:t>Bowling Alone: The Collapse and Revival of American Community</w:t>
      </w:r>
      <w:r w:rsidRPr="00EC4C68">
        <w:rPr>
          <w:rFonts w:ascii="Calibri" w:hAnsi="Calibri" w:cs="Times New Roman"/>
          <w:szCs w:val="24"/>
        </w:rPr>
        <w:t xml:space="preserve"> (Simon and Schuster, 2000), http://bowlingalone.com/.</w:t>
      </w:r>
      <w:r>
        <w:fldChar w:fldCharType="end"/>
      </w:r>
    </w:p>
  </w:endnote>
  <w:endnote w:id="118">
    <w:p w14:paraId="64F7DE76" w14:textId="6F28A329" w:rsidR="009A7EF2" w:rsidRDefault="009A7EF2">
      <w:pPr>
        <w:pStyle w:val="EndnoteText"/>
      </w:pPr>
      <w:r>
        <w:rPr>
          <w:rStyle w:val="EndnoteReference"/>
        </w:rPr>
        <w:endnoteRef/>
      </w:r>
      <w:r>
        <w:t xml:space="preserve"> </w:t>
      </w:r>
      <w:r>
        <w:fldChar w:fldCharType="begin"/>
      </w:r>
      <w:r>
        <w:instrText xml:space="preserve"> ADDIN ZOTERO_ITEM CSL_CITATION {"citationID":"uOwH8kGv","properties":{"formattedCitation":"{\\rtf Alan Berube and Brad McDearman, \\uc0\\u8220{}Good Fortune, Dire Poverty, and Inequality in Baltimore: An American Story,\\uc0\\u8221{} {\\i{}Brookings} (blog), May 11, 2015, https://www.brookings.edu/blog/the-avenue/2015/05/11/good-fortune-dire-poverty-and-inequality-in-baltimore-an-american-story/.}","plainCitation":"Alan Berube and Brad McDearman, “Good Fortune, Dire Poverty, and Inequality in Baltimore: An American Story,” Brookings (blog), May 11, 2015, https://www.brookings.edu/blog/the-avenue/2015/05/11/good-fortune-dire-poverty-and-inequality-in-baltimore-an-american-story/."},"citationItems":[{"id":298,"uris":["http://zotero.org/groups/2046111/items/5VAUKQFF"],"uri":["http://zotero.org/groups/2046111/items/5VAUKQFF"],"itemData":{"id":298,"type":"post-weblog","title":"Good fortune, dire poverty, and inequality in Baltimore: An American story","container-title":"Brookings","abstract":"The unrest in Baltimore has fostered nationwide discussion about the root causes of the tensions in the city’s poor neighborhoods that led to an outbreak of riots and mass protests. While criminal justice policy and police-community relationships are arguably at the core of the present debate, the economic and social context in which those actions took shape matters greatly too. Yet media coverage has obscured a few key facts about economic and social conditions in Baltimore and other major American cities. The charts below situate the distress affecting neighborhoods like Freddie Gray’s Sandtown-Winchester against the backdrop of wider dynamics in Baltimore City and its metropolitan area, and in comparison to other cities and regions around the country.","URL":"https://www.brookings.edu/blog/the-avenue/2015/05/11/good-fortune-dire-poverty-and-inequality-in-baltimore-an-american-story/","shortTitle":"Good fortune, dire poverty, and inequality in Baltimore","language":"en-US","author":[{"family":"Berube","given":"Alan"},{"family":"McDearman","given":"Brad"}],"issued":{"date-parts":[["2015",5,11]]},"accessed":{"date-parts":[["2018",2,9]]}}}],"schema":"https://github.com/citation-style-language/schema/raw/master/csl-citation.json"} </w:instrText>
      </w:r>
      <w:r>
        <w:fldChar w:fldCharType="separate"/>
      </w:r>
      <w:r w:rsidRPr="00F936FA">
        <w:rPr>
          <w:rFonts w:ascii="Calibri" w:hAnsi="Calibri" w:cs="Times New Roman"/>
          <w:szCs w:val="24"/>
        </w:rPr>
        <w:t xml:space="preserve">Alan Berube and Brad McDearman, “Good Fortune, Dire Poverty, and Inequality in Baltimore: An American Story,” </w:t>
      </w:r>
      <w:r w:rsidRPr="00F936FA">
        <w:rPr>
          <w:rFonts w:ascii="Calibri" w:hAnsi="Calibri" w:cs="Times New Roman"/>
          <w:i/>
          <w:iCs/>
          <w:szCs w:val="24"/>
        </w:rPr>
        <w:t>Brookings</w:t>
      </w:r>
      <w:r w:rsidRPr="00F936FA">
        <w:rPr>
          <w:rFonts w:ascii="Calibri" w:hAnsi="Calibri" w:cs="Times New Roman"/>
          <w:szCs w:val="24"/>
        </w:rPr>
        <w:t xml:space="preserve"> (blog), May 11, 2015, https://www.brookings.edu/blog/the-avenue/2015/05/11/good-fortune-dire-poverty-and-inequality-in-baltimore-an-american-story/.</w:t>
      </w:r>
      <w:r>
        <w:fldChar w:fldCharType="end"/>
      </w:r>
    </w:p>
  </w:endnote>
  <w:endnote w:id="119">
    <w:p w14:paraId="30563B84" w14:textId="1F314FA9" w:rsidR="009A7EF2" w:rsidRDefault="009A7EF2">
      <w:pPr>
        <w:pStyle w:val="EndnoteText"/>
      </w:pPr>
      <w:r>
        <w:rPr>
          <w:rStyle w:val="EndnoteReference"/>
        </w:rPr>
        <w:endnoteRef/>
      </w:r>
      <w:r>
        <w:t xml:space="preserve"> </w:t>
      </w:r>
      <w:r>
        <w:fldChar w:fldCharType="begin"/>
      </w:r>
      <w:r>
        <w:instrText xml:space="preserve"> ADDIN ZOTERO_ITEM CSL_CITATION {"citationID":"iTDySmLS","properties":{"formattedCitation":"{\\rtf Heather Joslyn, \\uc0\\u8220{}Baltimore Youth Charity Fights Poverty the Hard Way,\\uc0\\u8221{} The Chronicle of Philanthropy, July 19, 2017, https://www.philanthropy.com/article/Baltimore-Youth-Charity-Fights/240680/?key=-dCo3P626H9q3K8xpGu4_3tZdZ-yN5WvKqA2gCAWZ2r_hYSHWB9jP1_vU_wuNQFKTGQ2b09paUhWa2NzOGxNSHhmVm5TRnd4X0k2eEctNmp3NmRqOXlCd2M4QQ.}","plainCitation":"Heather Joslyn, “Baltimore Youth Charity Fights Poverty the Hard Way,” The Chronicle of Philanthropy, July 19, 2017, https://www.philanthropy.com/article/Baltimore-Youth-Charity-Fights/240680/?key=-dCo3P626H9q3K8xpGu4_3tZdZ-yN5WvKqA2gCAWZ2r_hYSHWB9jP1_vU_wuNQFKTGQ2b09paUhWa2NzOGxNSHhmVm5TRnd4X0k2eEctNmp3NmRqOXlCd2M4QQ."},"citationItems":[{"id":300,"uris":["http://zotero.org/groups/2046111/items/59CD9PS5"],"uri":["http://zotero.org/groups/2046111/items/59CD9PS5"],"itemData":{"id":300,"type":"webpage","title":"Baltimore Youth Charity Fights Poverty the Hard Way","container-title":"The Chronicle of Philanthropy","abstract":"The nonprofit group Thread surrounds each struggling teenage participant with a team of volunteers who push, pull, and cajole them to success. It&amp;rsquo;s hard work, but it gets results. Can it find the money and support it needs to grow?","URL":"https://www.philanthropy.com/article/Baltimore-Youth-Charity-Fights/240680/?key=-dCo3P626H9q3K8xpGu4_3tZdZ-yN5WvKqA2gCAWZ2r_hYSHWB9jP1_vU_wuNQFKTGQ2b09paUhWa2NzOGxNSHhmVm5TRnd4X0k2eEctNmp3NmRqOXlCd2M4QQ","author":[{"family":"Joslyn","given":"Heather"}],"issued":{"date-parts":[["2017",7,19]]},"accessed":{"date-parts":[["2018",2,9]]}}}],"schema":"https://github.com/citation-style-language/schema/raw/master/csl-citation.json"} </w:instrText>
      </w:r>
      <w:r>
        <w:fldChar w:fldCharType="separate"/>
      </w:r>
      <w:r w:rsidRPr="006C0E72">
        <w:rPr>
          <w:rFonts w:ascii="Calibri" w:hAnsi="Calibri" w:cs="Times New Roman"/>
          <w:szCs w:val="24"/>
        </w:rPr>
        <w:t>Heather Joslyn, “Baltimore Youth Charity Fights Poverty the Hard Way,” The Chronicle of Philanthropy, July 19, 2017, https://www.philanthropy.com/article/Baltimore-Youth-Charity-Fights/240680/?key=-dCo3P626H9q3K8xpGu4_3tZdZ-yN5WvKqA2gCAWZ2r_hYSHWB9jP1_vU_wuNQFKTGQ2b09paUhWa2NzOGxNSHhmVm5TRnd4X0k2eEctNmp3NmRqOXlCd2M4QQ.</w:t>
      </w:r>
      <w:r>
        <w:fldChar w:fldCharType="end"/>
      </w:r>
    </w:p>
  </w:endnote>
  <w:endnote w:id="120">
    <w:p w14:paraId="30EE13C9" w14:textId="3953D5EF" w:rsidR="009A7EF2" w:rsidRDefault="009A7EF2">
      <w:pPr>
        <w:pStyle w:val="EndnoteText"/>
      </w:pPr>
      <w:r>
        <w:rPr>
          <w:rStyle w:val="EndnoteReference"/>
        </w:rPr>
        <w:endnoteRef/>
      </w:r>
      <w:r>
        <w:t xml:space="preserve"> </w:t>
      </w:r>
      <w:r>
        <w:fldChar w:fldCharType="begin"/>
      </w:r>
      <w:r>
        <w:instrText xml:space="preserve"> ADDIN ZOTERO_ITEM CSL_CITATION {"citationID":"zsuUeGl9","properties":{"formattedCitation":"{\\rtf \\uc0\\u8220{}Detroit Future City,\\uc0\\u8221{} accessed December 18, 2017, https://detroitfuturecity.com/about/.}","plainCitation":"“Detroit Future City,” accessed December 18, 2017, https://detroitfuturecity.com/about/."},"citationItems":[{"id":21,"uris":["http://zotero.org/groups/2046111/items/6ZGSEBUT"],"uri":["http://zotero.org/groups/2046111/items/6ZGSEBUT"],"itemData":{"id":21,"type":"post-weblog","title":"Detroit Future City","URL":"https://detroitfuturecity.com/about/","accessed":{"date-parts":[["2017",12,18]]}}}],"schema":"https://github.com/citation-style-language/schema/raw/master/csl-citation.json"} </w:instrText>
      </w:r>
      <w:r>
        <w:fldChar w:fldCharType="separate"/>
      </w:r>
      <w:r w:rsidRPr="00655962">
        <w:rPr>
          <w:rFonts w:ascii="Calibri" w:hAnsi="Calibri" w:cs="Times New Roman"/>
          <w:szCs w:val="24"/>
        </w:rPr>
        <w:t>“Detroit Future City,” accessed December 18, 2017, https://detroitfuturecity.com/about/.</w:t>
      </w:r>
      <w:r>
        <w:fldChar w:fldCharType="end"/>
      </w:r>
    </w:p>
  </w:endnote>
  <w:endnote w:id="121">
    <w:p w14:paraId="17A68BFB" w14:textId="32E0F308" w:rsidR="009A7EF2" w:rsidRDefault="009A7EF2">
      <w:pPr>
        <w:pStyle w:val="EndnoteText"/>
      </w:pPr>
      <w:r>
        <w:rPr>
          <w:rStyle w:val="EndnoteReference"/>
        </w:rPr>
        <w:endnoteRef/>
      </w:r>
      <w:r>
        <w:t xml:space="preserve"> </w:t>
      </w:r>
      <w:r>
        <w:fldChar w:fldCharType="begin"/>
      </w:r>
      <w:r w:rsidR="008C6B08">
        <w:instrText xml:space="preserve"> ADDIN ZOTERO_ITEM CSL_CITATION {"citationID":"gtebQ1Go","properties":{"formattedCitation":"{\\rtf John Gallagher, \\uc0\\u8220{}See What\\uc0\\u8217{}s in Detroit Future City\\uc0\\u8217{}s Strategic Plan,\\uc0\\u8221{} Detroit Free Press, accessed January 18, 2018, https://www.freep.com/story/money/business/john-gallagher/2017/11/09/detroit-future-city-plan/848131001/.}","plainCitation":"John Gallagher, “See What’s in Detroit Future City’s Strategic Plan,” Detroit Free Press, accessed January 18, 2018, https://www.freep.com/story/money/business/john-gallagher/2017/11/09/detroit-future-city-plan/848131001/."},"citationItems":[{"id":249,"uris":["http://zotero.org/groups/2046111/items/3BCLRPAD"],"uri":["http://zotero.org/groups/2046111/items/3BCLRPAD"],"itemData":{"id":249,"type":"webpage","title":"See what's in Detroit Future City's strategic plan","container-title":"Detroit Free Press","abstract":"The Detroit Future City Implementation Office has completed its strategic plan, a road map where the office plans to go.","URL":"https://www.freep.com/story/money/business/john-gallagher/2017/11/09/detroit-future-city-plan/848131001/","language":"en","author":[{"family":"Gallagher","given":"John"}],"accessed":{"date-parts":[["2018",1,18]]}}}],"schema":"https://github.com/citation-style-language/schema/raw/master/csl-citation.json"} </w:instrText>
      </w:r>
      <w:r>
        <w:fldChar w:fldCharType="separate"/>
      </w:r>
      <w:r w:rsidR="008C6B08" w:rsidRPr="008C6B08">
        <w:rPr>
          <w:rFonts w:ascii="Calibri" w:hAnsi="Calibri" w:cs="Times New Roman"/>
          <w:szCs w:val="24"/>
        </w:rPr>
        <w:t>John Gallagher, “See What’s in Detroit Future City’s Strategic Plan,” Detroit Free Press, accessed January 18, 2018, https://www.freep.com/story/money/business/john-gallagher/2017/11/09/detroit-future-city-plan/848131001/.</w:t>
      </w:r>
      <w:r>
        <w:fldChar w:fldCharType="end"/>
      </w:r>
    </w:p>
  </w:endnote>
  <w:endnote w:id="122">
    <w:p w14:paraId="2DEE30F6" w14:textId="2CBE6E9C" w:rsidR="009A7EF2" w:rsidRDefault="009A7EF2">
      <w:pPr>
        <w:pStyle w:val="EndnoteText"/>
      </w:pPr>
      <w:r>
        <w:rPr>
          <w:rStyle w:val="EndnoteReference"/>
        </w:rPr>
        <w:endnoteRef/>
      </w:r>
      <w:r>
        <w:t xml:space="preserve"> </w:t>
      </w:r>
      <w:r>
        <w:fldChar w:fldCharType="begin"/>
      </w:r>
      <w:r>
        <w:instrText xml:space="preserve"> ADDIN ZOTERO_ITEM CSL_CITATION {"citationID":"OPfPpVDk","properties":{"formattedCitation":"{\\rtf \\uc0\\u8220{}Transformative Development Initiative [TDI] | MassDevelopment,\\uc0\\u8221{} accessed December 18, 2017, https://www.massdevelopment.com/what-we-offer/key-initiatives/gateway-cities/.}","plainCitation":"“Transformative Development Initiative [TDI] | MassDevelopment,” accessed December 18, 2017, https://www.massdevelopment.com/what-we-offer/key-initiatives/gateway-cities/."},"citationItems":[{"id":9,"uris":["http://zotero.org/groups/2046111/items/TNSI54H5"],"uri":["http://zotero.org/groups/2046111/items/TNSI54H5"],"itemData":{"id":9,"type":"webpage","title":"Transformative Development Initiative [TDI] | MassDevelopment","URL":"https://www.massdevelopment.com/what-we-offer/key-initiatives/gateway-cities/","accessed":{"date-parts":[["2017",12,18]]}}}],"schema":"https://github.com/citation-style-language/schema/raw/master/csl-citation.json"} </w:instrText>
      </w:r>
      <w:r>
        <w:fldChar w:fldCharType="separate"/>
      </w:r>
      <w:r w:rsidRPr="005D3C93">
        <w:rPr>
          <w:rFonts w:ascii="Calibri" w:hAnsi="Calibri" w:cs="Times New Roman"/>
          <w:szCs w:val="24"/>
        </w:rPr>
        <w:t>“Transformative Development Initiative [TDI] | MassDevelopment,” accessed December 18, 2017, https://www.massdevelopment.com/what-we-offer/key-initiatives/gateway-cities/.</w:t>
      </w:r>
      <w:r>
        <w:fldChar w:fldCharType="end"/>
      </w:r>
    </w:p>
  </w:endnote>
  <w:endnote w:id="123">
    <w:p w14:paraId="71F8AF90" w14:textId="295C886A" w:rsidR="009A7EF2" w:rsidRDefault="009A7EF2">
      <w:pPr>
        <w:pStyle w:val="EndnoteText"/>
      </w:pPr>
      <w:r>
        <w:rPr>
          <w:rStyle w:val="EndnoteReference"/>
        </w:rPr>
        <w:endnoteRef/>
      </w:r>
      <w:r>
        <w:t xml:space="preserve"> Brookings analysis of Bureau of Labor Statistics data.</w:t>
      </w:r>
    </w:p>
  </w:endnote>
  <w:endnote w:id="124">
    <w:p w14:paraId="7B19A94D" w14:textId="6D2E63A2" w:rsidR="009A7EF2" w:rsidRDefault="009A7EF2">
      <w:pPr>
        <w:pStyle w:val="EndnoteText"/>
      </w:pPr>
      <w:r>
        <w:rPr>
          <w:rStyle w:val="EndnoteReference"/>
        </w:rPr>
        <w:endnoteRef/>
      </w:r>
      <w:r>
        <w:t xml:space="preserve"> </w:t>
      </w:r>
      <w:r>
        <w:fldChar w:fldCharType="begin"/>
      </w:r>
      <w:r>
        <w:instrText xml:space="preserve"> ADDIN ZOTERO_ITEM CSL_CITATION {"citationID":"BSUL2DRq","properties":{"formattedCitation":"{\\rtf The Right Place, \\uc0\\u8220{}About Us,\\uc0\\u8221{} text/html, The Right Place, January 17, 2018, https://www.rightplace.org/about-us.}","plainCitation":"The Right Place, “About Us,” text/html, The Right Place, January 17, 2018, https://www.rightplace.org/about-us."},"citationItems":[{"id":253,"uris":["http://zotero.org/groups/2046111/items/QG5EBGS3"],"uri":["http://zotero.org/groups/2046111/items/QG5EBGS3"],"itemData":{"id":253,"type":"webpage","title":"About Us","container-title":"The Right Place","genre":"text/html","abstract":"The Right Place is West Michigan’s leading economic development organization, offering confidential, comprehensive business services in the region. Learn more.","URL":"https://www.rightplace.org/about-us","language":"en","author":[{"family":"Place","given":"The Right"}],"issued":{"date-parts":[["2018",1,17]]},"accessed":{"date-parts":[["2018",1,18]]}}}],"schema":"https://github.com/citation-style-language/schema/raw/master/csl-citation.json"} </w:instrText>
      </w:r>
      <w:r>
        <w:fldChar w:fldCharType="separate"/>
      </w:r>
      <w:r w:rsidRPr="00655962">
        <w:rPr>
          <w:rFonts w:ascii="Calibri" w:hAnsi="Calibri" w:cs="Times New Roman"/>
          <w:szCs w:val="24"/>
        </w:rPr>
        <w:t>The Right Place, “About Us,” text/html, The Right Place, January 17, 2018, https://www.rightplace.org/about-us.</w:t>
      </w:r>
      <w:r>
        <w:fldChar w:fldCharType="end"/>
      </w:r>
    </w:p>
  </w:endnote>
  <w:endnote w:id="125">
    <w:p w14:paraId="238CC9EC" w14:textId="6E1EFF25" w:rsidR="009A7EF2" w:rsidRDefault="009A7EF2">
      <w:pPr>
        <w:pStyle w:val="EndnoteText"/>
      </w:pPr>
      <w:r>
        <w:rPr>
          <w:rStyle w:val="EndnoteReference"/>
        </w:rPr>
        <w:endnoteRef/>
      </w:r>
      <w:r>
        <w:t xml:space="preserve"> </w:t>
      </w:r>
      <w:r>
        <w:fldChar w:fldCharType="begin"/>
      </w:r>
      <w:r w:rsidR="008C6B08">
        <w:instrText xml:space="preserve"> ADDIN ZOTERO_ITEM CSL_CITATION {"citationID":"cHjhrybk","properties":{"formattedCitation":"{\\rtf Jamie Merisotis, {\\i{}America Needs Talent | Attracting, Educating &amp; Deploying the 21st Century Workforce} (Rosetta Books, 2015), https://americaneedstalent.com/.}","plainCitation":"Jamie Merisotis, America Needs Talent | Attracting, Educating &amp; Deploying the 21st Century Workforce (Rosetta Books, 2015), https://americaneedstalent.com/."},"citationItems":[{"id":255,"uris":["http://zotero.org/groups/2046111/items/ZVC6Q2ST"],"uri":["http://zotero.org/groups/2046111/items/ZVC6Q2ST"],"itemData":{"id":255,"type":"book","title":"America Needs Talent | Attracting, educating &amp; deploying the 21st century workforce","publisher":"Rosetta Books","URL":"https://americaneedstalent.com/","author":[{"family":"Merisotis","given":"Jamie"}],"issued":{"date-parts":[["2015"]]},"accessed":{"date-parts":[["2018",1,18]]}}}],"schema":"https://github.com/citation-style-language/schema/raw/master/csl-citation.json"} </w:instrText>
      </w:r>
      <w:r>
        <w:fldChar w:fldCharType="separate"/>
      </w:r>
      <w:r w:rsidR="008C6B08" w:rsidRPr="008C6B08">
        <w:rPr>
          <w:rFonts w:ascii="Calibri" w:hAnsi="Calibri" w:cs="Times New Roman"/>
          <w:szCs w:val="24"/>
        </w:rPr>
        <w:t xml:space="preserve">Jamie Merisotis, </w:t>
      </w:r>
      <w:r w:rsidR="008C6B08" w:rsidRPr="008C6B08">
        <w:rPr>
          <w:rFonts w:ascii="Calibri" w:hAnsi="Calibri" w:cs="Times New Roman"/>
          <w:i/>
          <w:iCs/>
          <w:szCs w:val="24"/>
        </w:rPr>
        <w:t>America Needs Talent | Attracting, Educating &amp; Deploying the 21st Century Workforce</w:t>
      </w:r>
      <w:r w:rsidR="008C6B08" w:rsidRPr="008C6B08">
        <w:rPr>
          <w:rFonts w:ascii="Calibri" w:hAnsi="Calibri" w:cs="Times New Roman"/>
          <w:szCs w:val="24"/>
        </w:rPr>
        <w:t xml:space="preserve"> (Rosetta Books, 2015), https://americaneedstalent.com/.</w:t>
      </w:r>
      <w:r>
        <w:fldChar w:fldCharType="end"/>
      </w:r>
    </w:p>
  </w:endnote>
  <w:endnote w:id="126">
    <w:p w14:paraId="63115E91" w14:textId="05742EF0" w:rsidR="001F2E94" w:rsidRDefault="001F2E94">
      <w:pPr>
        <w:pStyle w:val="EndnoteText"/>
      </w:pPr>
      <w:r>
        <w:rPr>
          <w:rStyle w:val="EndnoteReference"/>
        </w:rPr>
        <w:endnoteRef/>
      </w:r>
      <w:r>
        <w:t xml:space="preserve"> </w:t>
      </w:r>
      <w:r w:rsidRPr="001F2E94">
        <w:t>U.S. Bureau of the Census, Estimate of Median Household Income for Roanoke City, VA, retrieved from FRED, Federal Reserve Bank of St. Louis; https://fred.stlouisfed.org/series/MHIVA51770A052NCEN</w:t>
      </w:r>
      <w:r>
        <w:t>.</w:t>
      </w:r>
    </w:p>
  </w:endnote>
  <w:endnote w:id="127">
    <w:p w14:paraId="12C0DB90" w14:textId="06120BD8" w:rsidR="00AA5AC0" w:rsidRDefault="00AA5AC0">
      <w:pPr>
        <w:pStyle w:val="EndnoteText"/>
      </w:pPr>
      <w:r>
        <w:rPr>
          <w:rStyle w:val="EndnoteReference"/>
        </w:rPr>
        <w:endnoteRef/>
      </w:r>
      <w:r>
        <w:t xml:space="preserve"> </w:t>
      </w:r>
      <w:r>
        <w:fldChar w:fldCharType="begin"/>
      </w:r>
      <w:r>
        <w:instrText xml:space="preserve"> ADDIN ZOTERO_ITEM CSL_CITATION {"citationID":"uOo6ME3S","properties":{"formattedCitation":"{\\rtf \\uc0\\u8220{}About Us,\\uc0\\u8221{} {\\i{}Roanoke Regional Partnership} (blog), accessed February 16, 2018, https://roanoke.org/about-us/.}","plainCitation":"“About Us,” Roanoke Regional Partnership (blog), accessed February 16, 2018, https://roanoke.org/about-us/."},"citationItems":[{"id":320,"uris":["http://zotero.org/groups/2046111/items/536FLVBB"],"uri":["http://zotero.org/groups/2046111/items/536FLVBB"],"itemData":{"id":320,"type":"post-weblog","title":"About Us","container-title":"Roanoke Regional Partnership","abstract":"The Roanoke Regional Partnership serves as the point of contact for businesses looking to relocate and expand. We are connectors who match your needs and questions with the resources and Read More &gt;","URL":"https://roanoke.org/about-us/","language":"en-US","accessed":{"date-parts":[["2018",2,16]]}}}],"schema":"https://github.com/citation-style-language/schema/raw/master/csl-citation.json"} </w:instrText>
      </w:r>
      <w:r>
        <w:fldChar w:fldCharType="separate"/>
      </w:r>
      <w:r w:rsidRPr="00AA5AC0">
        <w:rPr>
          <w:rFonts w:ascii="Calibri" w:hAnsi="Calibri" w:cs="Times New Roman"/>
          <w:szCs w:val="24"/>
        </w:rPr>
        <w:t xml:space="preserve">“About Us,” </w:t>
      </w:r>
      <w:r w:rsidRPr="00AA5AC0">
        <w:rPr>
          <w:rFonts w:ascii="Calibri" w:hAnsi="Calibri" w:cs="Times New Roman"/>
          <w:i/>
          <w:iCs/>
          <w:szCs w:val="24"/>
        </w:rPr>
        <w:t>Roanoke Regional Partnership</w:t>
      </w:r>
      <w:r w:rsidRPr="00AA5AC0">
        <w:rPr>
          <w:rFonts w:ascii="Calibri" w:hAnsi="Calibri" w:cs="Times New Roman"/>
          <w:szCs w:val="24"/>
        </w:rPr>
        <w:t xml:space="preserve"> (blog), accessed February 16, 2018, https://roanoke.org/about-us/.</w:t>
      </w:r>
      <w:r>
        <w:fldChar w:fldCharType="end"/>
      </w:r>
    </w:p>
  </w:endnote>
  <w:endnote w:id="128">
    <w:p w14:paraId="05D82641" w14:textId="5DB24DBA" w:rsidR="00AA5AC0" w:rsidRDefault="00AA5AC0">
      <w:pPr>
        <w:pStyle w:val="EndnoteText"/>
      </w:pPr>
      <w:r>
        <w:rPr>
          <w:rStyle w:val="EndnoteReference"/>
        </w:rPr>
        <w:endnoteRef/>
      </w:r>
      <w:r>
        <w:t xml:space="preserve"> </w:t>
      </w:r>
      <w:r>
        <w:fldChar w:fldCharType="begin"/>
      </w:r>
      <w:r>
        <w:instrText xml:space="preserve"> ADDIN ZOTERO_ITEM CSL_CITATION {"citationID":"VzX5qfCE","properties":{"formattedCitation":"{\\rtf Mason Adams, \\uc0\\u8220{}The Small Appalachian City That\\uc0\\u8217{}s Thriving,\\uc0\\u8221{} CityLab, December 12, 2017, https://www.citylab.com/life/2017/12/roanoke-virginia-downtown-housing-revitalization/547589/.}","plainCitation":"Mason Adams, “The Small Appalachian City That’s Thriving,” CityLab, December 12, 2017, https://www.citylab.com/life/2017/12/roanoke-virginia-downtown-housing-revitalization/547589/."},"citationItems":[{"id":318,"uris":["http://zotero.org/groups/2046111/items/R8DNWTKA"],"uri":["http://zotero.org/groups/2046111/items/R8DNWTKA"],"itemData":{"id":318,"type":"webpage","title":"The Small Appalachian City That’s Thriving","container-title":"CityLab","abstract":"Roanoke, Virginia, has become what many cities of its size, geography, and history want to be. It started by bringing housing to a deserted downtown.","URL":"https://www.citylab.com/life/2017/12/roanoke-virginia-downtown-housing-revitalization/547589/","language":"en","author":[{"family":"Adams","given":"Mason"}],"issued":{"date-parts":[["2017",12,12]]},"accessed":{"date-parts":[["2018",2,16]]}}}],"schema":"https://github.com/citation-style-language/schema/raw/master/csl-citation.json"} </w:instrText>
      </w:r>
      <w:r>
        <w:fldChar w:fldCharType="separate"/>
      </w:r>
      <w:r w:rsidRPr="00AA5AC0">
        <w:rPr>
          <w:rFonts w:ascii="Calibri" w:hAnsi="Calibri" w:cs="Times New Roman"/>
          <w:szCs w:val="24"/>
        </w:rPr>
        <w:t>Mason Adams, “The Small Appalachian City That’s Thriving,” CityLab, December 12, 2017, https://www.citylab.com/life/2017/12/roanoke-virginia-downtown-housing-revitalization/547589/.</w:t>
      </w:r>
      <w:r>
        <w:fldChar w:fldCharType="end"/>
      </w:r>
    </w:p>
  </w:endnote>
  <w:endnote w:id="129">
    <w:p w14:paraId="5BE90C12" w14:textId="15EFF88E" w:rsidR="009208C7" w:rsidRDefault="009208C7">
      <w:pPr>
        <w:pStyle w:val="EndnoteText"/>
      </w:pPr>
      <w:r>
        <w:rPr>
          <w:rStyle w:val="EndnoteReference"/>
        </w:rPr>
        <w:endnoteRef/>
      </w:r>
      <w:r>
        <w:t xml:space="preserve"> </w:t>
      </w:r>
      <w:r>
        <w:fldChar w:fldCharType="begin"/>
      </w:r>
      <w:r>
        <w:instrText xml:space="preserve"> ADDIN ZOTERO_ITEM CSL_CITATION {"citationID":"KDpxFGmw","properties":{"formattedCitation":"{\\rtf Lyman Stone, \\uc0\\u8220{}Is Roanoke Really An Appalachian Comeback Story?,\\uc0\\u8221{} {\\i{}In a State of Migration} (blog), November 8, 2016, https://medium.com/migration-issues/is-roanoke-really-an-appalachian-comeback-story-acc7d407fac9.}","plainCitation":"Lyman Stone, “Is Roanoke Really An Appalachian Comeback Story?,” In a State of Migration (blog), November 8, 2016, https://medium.com/migration-issues/is-roanoke-really-an-appalachian-comeback-story-acc7d407fac9."},"citationItems":[{"id":314,"uris":["http://zotero.org/groups/2046111/items/L3E3HYXS"],"uri":["http://zotero.org/groups/2046111/items/L3E3HYXS"],"itemData":{"id":314,"type":"post-weblog","title":"Is Roanoke Really An Appalachian Comeback Story?","container-title":"In a State of Migration","abstract":"Yes! But the size of that comeback could be debated.","URL":"https://medium.com/migration-issues/is-roanoke-really-an-appalachian-comeback-story-acc7d407fac9","shortTitle":"Is Roanoke Really An Appalachian Comeback Story?","author":[{"family":"Stone","given":"Lyman"}],"issued":{"date-parts":[["2016",11,8]]},"accessed":{"date-parts":[["2018",2,16]]}}}],"schema":"https://github.com/citation-style-language/schema/raw/master/csl-citation.json"} </w:instrText>
      </w:r>
      <w:r>
        <w:fldChar w:fldCharType="separate"/>
      </w:r>
      <w:r w:rsidRPr="009208C7">
        <w:rPr>
          <w:rFonts w:ascii="Calibri" w:hAnsi="Calibri" w:cs="Times New Roman"/>
          <w:szCs w:val="24"/>
        </w:rPr>
        <w:t xml:space="preserve">Lyman Stone, “Is Roanoke Really An Appalachian Comeback Story?,” </w:t>
      </w:r>
      <w:r w:rsidRPr="009208C7">
        <w:rPr>
          <w:rFonts w:ascii="Calibri" w:hAnsi="Calibri" w:cs="Times New Roman"/>
          <w:i/>
          <w:iCs/>
          <w:szCs w:val="24"/>
        </w:rPr>
        <w:t>In a State of Migration</w:t>
      </w:r>
      <w:r w:rsidRPr="009208C7">
        <w:rPr>
          <w:rFonts w:ascii="Calibri" w:hAnsi="Calibri" w:cs="Times New Roman"/>
          <w:szCs w:val="24"/>
        </w:rPr>
        <w:t xml:space="preserve"> (blog), November 8, 2016, https://medium.com/migration-issues/is-roanoke-really-an-appalachian-comeback-story-acc7d407fac9.</w:t>
      </w:r>
      <w:r>
        <w:fldChar w:fldCharType="end"/>
      </w:r>
    </w:p>
  </w:endnote>
  <w:endnote w:id="130">
    <w:p w14:paraId="32F63544" w14:textId="6E050406" w:rsidR="00AA5AC0" w:rsidRDefault="00AA5AC0">
      <w:pPr>
        <w:pStyle w:val="EndnoteText"/>
      </w:pPr>
      <w:r>
        <w:rPr>
          <w:rStyle w:val="EndnoteReference"/>
        </w:rPr>
        <w:endnoteRef/>
      </w:r>
      <w:r>
        <w:t xml:space="preserve"> </w:t>
      </w:r>
      <w:r>
        <w:fldChar w:fldCharType="begin"/>
      </w:r>
      <w:r>
        <w:instrText xml:space="preserve"> ADDIN ZOTERO_ITEM CSL_CITATION {"citationID":"wTWV1Vz1","properties":{"formattedCitation":"{\\rtf Colin Woodard, \\uc0\\u8220{}Trains Built Roanoke. Science Saved It.,\\uc0\\u8221{} POLITICO Magazine, September 15, 2016, https://www.politico.com/magazine/story/2016/09/roanoke-virginia-redevelopment-what-works-214247.}","plainCitation":"Colin Woodard, “Trains Built Roanoke. Science Saved It.,” POLITICO Magazine, September 15, 2016, https://www.politico.com/magazine/story/2016/09/roanoke-virginia-redevelopment-what-works-214247."},"citationItems":[{"id":322,"uris":["http://zotero.org/groups/2046111/items/NGXZN6UI"],"uri":["http://zotero.org/groups/2046111/items/NGXZN6UI"],"itemData":{"id":322,"type":"webpage","title":"Trains Built Roanoke. Science Saved It.","container-title":"POLITICO Magazine","abstract":"Not long ago the city’s downtown was home to just 15 people. Now it’s bustling. Here’s how it rebooted.","URL":"https://www.politico.com/magazine/story/2016/09/roanoke-virginia-redevelopment-what-works-214247","author":[{"family":"Woodard","given":"Colin"}],"issued":{"date-parts":[["2016",9,15]]},"accessed":{"date-parts":[["2018",2,16]]}}}],"schema":"https://github.com/citation-style-language/schema/raw/master/csl-citation.json"} </w:instrText>
      </w:r>
      <w:r>
        <w:fldChar w:fldCharType="separate"/>
      </w:r>
      <w:r w:rsidRPr="00AA5AC0">
        <w:rPr>
          <w:rFonts w:ascii="Calibri" w:hAnsi="Calibri" w:cs="Times New Roman"/>
          <w:szCs w:val="24"/>
        </w:rPr>
        <w:t>Colin Woodard, “Trains Built Roanoke. Science Saved It.,” POLITICO Magazine, September 15, 2016, https://www.politico.com/magazine/story/2016/09/roanoke-virginia-redevelopment-what-works-214247.</w:t>
      </w:r>
      <w:r>
        <w:fldChar w:fldCharType="end"/>
      </w:r>
    </w:p>
  </w:endnote>
  <w:endnote w:id="131">
    <w:p w14:paraId="1EC5C213" w14:textId="246A17A8" w:rsidR="00664AD8" w:rsidRDefault="00664AD8">
      <w:pPr>
        <w:pStyle w:val="EndnoteText"/>
      </w:pPr>
      <w:r>
        <w:rPr>
          <w:rStyle w:val="EndnoteReference"/>
        </w:rPr>
        <w:endnoteRef/>
      </w:r>
      <w:r>
        <w:t xml:space="preserve"> </w:t>
      </w:r>
      <w:r>
        <w:fldChar w:fldCharType="begin"/>
      </w:r>
      <w:r w:rsidR="008C6B08">
        <w:instrText xml:space="preserve"> ADDIN ZOTERO_ITEM CSL_CITATION {"citationID":"EPMid1rB","properties":{"formattedCitation":"{\\rtf Jacob Demmitt, \\uc0\\u8220{}Virginia Tech and Carilion Form $15 Million Venture Capital Fund,\\uc0\\u8221{} {\\i{}Roanoke Times}, February 27, 2017, http://www.roanoke.com/news/education/higher_education/virginia_tech/virginia-tech-and-carilion-form-million-venture-capital-fund/article_8601bfba-dda7-5e52-874f-6e54cc064800.html.}","plainCitation":"Jacob Demmitt, “Virginia Tech and Carilion Form $15 Million Venture Capital Fund,” Roanoke Times, February 27, 2017, http://www.roanoke.com/news/education/higher_education/virginia_tech/virginia-tech-and-carilion-form-million-venture-capital-fund/article_8601bfba-dda7-5e52-874f-6e54cc064800.html."},"citationItems":[{"id":316,"uris":["http://zotero.org/groups/2046111/items/R56CGMPJ"],"uri":["http://zotero.org/groups/2046111/items/R56CGMPJ"],"itemData":{"id":316,"type":"article-newspaper","title":"Virginia Tech and Carilion form $15 million venture capital fund","container-title":"Roanoke Times","abstract":"Virginia Tech and Carilion Clinic have formed a new $15 million venture capital fund designed to catapult the startups taking root around Blacksburg and Roanoke’s so-called innovation corridor.","URL":"http://www.roanoke.com/news/education/higher_education/virginia_tech/virginia-tech-and-carilion-form-million-venture-capital-fund/article_8601bfba-dda7-5e52-874f-6e54cc064800.html","language":"en","author":[{"family":"Demmitt","given":"Jacob"}],"issued":{"date-parts":[["2017",2,27]]},"accessed":{"date-parts":[["2018",2,16]]}}}],"schema":"https://github.com/citation-style-language/schema/raw/master/csl-citation.json"} </w:instrText>
      </w:r>
      <w:r>
        <w:fldChar w:fldCharType="separate"/>
      </w:r>
      <w:r w:rsidR="008C6B08" w:rsidRPr="008C6B08">
        <w:rPr>
          <w:rFonts w:ascii="Calibri" w:hAnsi="Calibri" w:cs="Times New Roman"/>
          <w:szCs w:val="24"/>
        </w:rPr>
        <w:t xml:space="preserve">Jacob </w:t>
      </w:r>
      <w:proofErr w:type="spellStart"/>
      <w:r w:rsidR="008C6B08" w:rsidRPr="008C6B08">
        <w:rPr>
          <w:rFonts w:ascii="Calibri" w:hAnsi="Calibri" w:cs="Times New Roman"/>
          <w:szCs w:val="24"/>
        </w:rPr>
        <w:t>Demmitt</w:t>
      </w:r>
      <w:proofErr w:type="spellEnd"/>
      <w:r w:rsidR="008C6B08" w:rsidRPr="008C6B08">
        <w:rPr>
          <w:rFonts w:ascii="Calibri" w:hAnsi="Calibri" w:cs="Times New Roman"/>
          <w:szCs w:val="24"/>
        </w:rPr>
        <w:t xml:space="preserve">, “Virginia Tech and </w:t>
      </w:r>
      <w:proofErr w:type="spellStart"/>
      <w:r w:rsidR="008C6B08" w:rsidRPr="008C6B08">
        <w:rPr>
          <w:rFonts w:ascii="Calibri" w:hAnsi="Calibri" w:cs="Times New Roman"/>
          <w:szCs w:val="24"/>
        </w:rPr>
        <w:t>Carilion</w:t>
      </w:r>
      <w:proofErr w:type="spellEnd"/>
      <w:r w:rsidR="008C6B08" w:rsidRPr="008C6B08">
        <w:rPr>
          <w:rFonts w:ascii="Calibri" w:hAnsi="Calibri" w:cs="Times New Roman"/>
          <w:szCs w:val="24"/>
        </w:rPr>
        <w:t xml:space="preserve"> Form $15 Million Venture Capital Fund,” </w:t>
      </w:r>
      <w:r w:rsidR="008C6B08" w:rsidRPr="008C6B08">
        <w:rPr>
          <w:rFonts w:ascii="Calibri" w:hAnsi="Calibri" w:cs="Times New Roman"/>
          <w:i/>
          <w:iCs/>
          <w:szCs w:val="24"/>
        </w:rPr>
        <w:t>Roanoke Times</w:t>
      </w:r>
      <w:r w:rsidR="008C6B08" w:rsidRPr="008C6B08">
        <w:rPr>
          <w:rFonts w:ascii="Calibri" w:hAnsi="Calibri" w:cs="Times New Roman"/>
          <w:szCs w:val="24"/>
        </w:rPr>
        <w:t>, February 27, 2017, http://www.roanoke.com/news/education/higher_education/virginia_tech/virginia-tech-and-carilion-form-million-venture-capital-fund/article_8601bfba-dda7-5e52-874f-6e54cc064800.html.</w:t>
      </w:r>
      <w:r>
        <w:fldChar w:fldCharType="end"/>
      </w:r>
    </w:p>
  </w:endnote>
  <w:endnote w:id="132">
    <w:p w14:paraId="526EB9EF" w14:textId="4B306ADC" w:rsidR="00AA5AC0" w:rsidRDefault="00AA5AC0">
      <w:pPr>
        <w:pStyle w:val="EndnoteText"/>
      </w:pPr>
      <w:r>
        <w:rPr>
          <w:rStyle w:val="EndnoteReference"/>
        </w:rPr>
        <w:endnoteRef/>
      </w:r>
      <w:r>
        <w:t xml:space="preserve"> </w:t>
      </w:r>
      <w:r>
        <w:fldChar w:fldCharType="begin"/>
      </w:r>
      <w:r>
        <w:instrText xml:space="preserve"> ADDIN ZOTERO_ITEM CSL_CITATION {"citationID":"OdV6vur1","properties":{"formattedCitation":"{\\rtf Martha Park, \\uc0\\u8220{}When the Ghosts of Urban Renewal Return,\\uc0\\u8221{} CityLab, January 19, 2018, https://www.citylab.com/equity/2018/01/even-the-dead-could-not-stay/550838/.}","plainCitation":"Martha Park, “When the Ghosts of Urban Renewal Return,” CityLab, January 19, 2018, https://www.citylab.com/equity/2018/01/even-the-dead-could-not-stay/550838/."},"citationItems":[{"id":324,"uris":["http://zotero.org/groups/2046111/items/88CSIL7D"],"uri":["http://zotero.org/groups/2046111/items/88CSIL7D"],"itemData":{"id":324,"type":"webpage","title":"When the Ghosts of Urban Renewal Return","container-title":"CityLab","abstract":"Downtown Roanoke is thriving. But on the other side of the train tracks, residents in historically black Gainsboro aren’t so sure they’ll benefit from the boom.","URL":"https://www.citylab.com/equity/2018/01/even-the-dead-could-not-stay/550838/","language":"en","author":[{"family":"Park","given":"Martha"}],"issued":{"date-parts":[["2018",1,19]]},"accessed":{"date-parts":[["2018",2,16]]}}}],"schema":"https://github.com/citation-style-language/schema/raw/master/csl-citation.json"} </w:instrText>
      </w:r>
      <w:r>
        <w:fldChar w:fldCharType="separate"/>
      </w:r>
      <w:r w:rsidRPr="00AA5AC0">
        <w:rPr>
          <w:rFonts w:ascii="Calibri" w:hAnsi="Calibri" w:cs="Times New Roman"/>
          <w:szCs w:val="24"/>
        </w:rPr>
        <w:t>Martha Park, “When the Ghosts of Urban Renewal Return,” CityLab, January 19, 2018, https://www.citylab.com/equity/2018/01/even-the-dead-could-not-stay/550838/.</w:t>
      </w:r>
      <w:r>
        <w:fldChar w:fldCharType="end"/>
      </w:r>
    </w:p>
  </w:endnote>
  <w:endnote w:id="133">
    <w:p w14:paraId="7832E62A" w14:textId="0D2C0397" w:rsidR="009A7EF2" w:rsidRDefault="009A7EF2">
      <w:pPr>
        <w:pStyle w:val="EndnoteText"/>
      </w:pPr>
      <w:r>
        <w:rPr>
          <w:rStyle w:val="EndnoteReference"/>
        </w:rPr>
        <w:endnoteRef/>
      </w:r>
      <w:r>
        <w:t xml:space="preserve"> </w:t>
      </w:r>
      <w:r>
        <w:fldChar w:fldCharType="begin"/>
      </w:r>
      <w:r>
        <w:instrText xml:space="preserve"> ADDIN ZOTERO_ITEM CSL_CITATION {"citationID":"hrIkR0az","properties":{"formattedCitation":"{\\rtf Vey, \\uc0\\u8220{}Restoring Prosperity.\\uc0\\u8221{}}","plainCitation":"Vey, “Restoring Prosperity.”"},"citationItems":[{"id":140,"uris":["http://zotero.org/groups/2046111/items/N5YNPYIV"],"uri":["http://zotero.org/groups/2046111/items/N5YNPYIV"],"itemData":{"id":140,"type":"post-weblog","title":"Restoring Prosperity: The State Role in Revitalizing America’s Older Industrial Cities","container-title":"Brookings","abstract":"With over 16 million people and nearly 8.6 million jobs, America's older industrial cities remain a vital part of the economy, particularly in states such as Ohio and Pennsylvania where they are heavily concentrated. Jennifer Vey outlines an asset-oriented agenda to mobilize governors and legislative leaders, plus local constituencies, behind reinvigorating the market in the nation's older industrial cities.","URL":"https://www.brookings.edu/research/restoring-prosperity-the-state-role-in-revitalizing-americas-older-industrial-cities/","shortTitle":"Restoring Prosperity","language":"en-US","author":[{"family":"Vey","given":"Jennifer S."}],"issued":{"date-parts":[["2007"]]},"accessed":{"date-parts":[["2018",1,11]]}}}],"schema":"https://github.com/citation-style-language/schema/raw/master/csl-citation.json"} </w:instrText>
      </w:r>
      <w:r>
        <w:fldChar w:fldCharType="separate"/>
      </w:r>
      <w:r w:rsidRPr="00A81EF4">
        <w:rPr>
          <w:rFonts w:ascii="Calibri" w:hAnsi="Calibri" w:cs="Times New Roman"/>
          <w:szCs w:val="24"/>
        </w:rPr>
        <w:t>Vey, “Restoring Prosperity.”</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625476"/>
      <w:docPartObj>
        <w:docPartGallery w:val="Page Numbers (Bottom of Page)"/>
        <w:docPartUnique/>
      </w:docPartObj>
    </w:sdtPr>
    <w:sdtEndPr>
      <w:rPr>
        <w:noProof/>
      </w:rPr>
    </w:sdtEndPr>
    <w:sdtContent>
      <w:p w14:paraId="41D0796E" w14:textId="04AE1210" w:rsidR="009A7EF2" w:rsidRDefault="009A7EF2">
        <w:pPr>
          <w:pStyle w:val="Footer"/>
          <w:jc w:val="center"/>
        </w:pPr>
        <w:r>
          <w:fldChar w:fldCharType="begin"/>
        </w:r>
        <w:r>
          <w:instrText xml:space="preserve"> PAGE   \* MERGEFORMAT </w:instrText>
        </w:r>
        <w:r>
          <w:fldChar w:fldCharType="separate"/>
        </w:r>
        <w:r w:rsidR="008C6B08">
          <w:rPr>
            <w:noProof/>
          </w:rPr>
          <w:t>47</w:t>
        </w:r>
        <w:r>
          <w:rPr>
            <w:noProof/>
          </w:rPr>
          <w:fldChar w:fldCharType="end"/>
        </w:r>
      </w:p>
    </w:sdtContent>
  </w:sdt>
  <w:p w14:paraId="63C9B8B2" w14:textId="77777777" w:rsidR="009A7EF2" w:rsidRDefault="009A7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08347" w14:textId="77777777" w:rsidR="009A7EF2" w:rsidRDefault="009A7EF2" w:rsidP="00731424">
      <w:pPr>
        <w:spacing w:after="0" w:line="240" w:lineRule="auto"/>
      </w:pPr>
      <w:r>
        <w:separator/>
      </w:r>
    </w:p>
  </w:footnote>
  <w:footnote w:type="continuationSeparator" w:id="0">
    <w:p w14:paraId="74D32ACE" w14:textId="77777777" w:rsidR="009A7EF2" w:rsidRDefault="009A7EF2" w:rsidP="00731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FF042" w14:textId="2912BB5C" w:rsidR="009A7EF2" w:rsidRPr="00655962" w:rsidRDefault="009A7EF2" w:rsidP="00655962">
    <w:pPr>
      <w:pStyle w:val="Header"/>
      <w:jc w:val="center"/>
      <w:rPr>
        <w:color w:val="FF0000"/>
        <w:sz w:val="24"/>
      </w:rPr>
    </w:pPr>
    <w:r>
      <w:rPr>
        <w:color w:val="FF0000"/>
        <w:sz w:val="24"/>
      </w:rPr>
      <w:t>DRAFT—NOT FOR CITATION OR DISTRIBUTION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F7A"/>
    <w:multiLevelType w:val="hybridMultilevel"/>
    <w:tmpl w:val="3C087FE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C0A81"/>
    <w:multiLevelType w:val="hybridMultilevel"/>
    <w:tmpl w:val="E180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7988"/>
    <w:multiLevelType w:val="hybridMultilevel"/>
    <w:tmpl w:val="C88C19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34C0F"/>
    <w:multiLevelType w:val="hybridMultilevel"/>
    <w:tmpl w:val="4538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F43E2"/>
    <w:multiLevelType w:val="hybridMultilevel"/>
    <w:tmpl w:val="F4B0C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04530"/>
    <w:multiLevelType w:val="hybridMultilevel"/>
    <w:tmpl w:val="2F8C7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86B0C"/>
    <w:multiLevelType w:val="hybridMultilevel"/>
    <w:tmpl w:val="8BBE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F606EA"/>
    <w:multiLevelType w:val="hybridMultilevel"/>
    <w:tmpl w:val="8346A3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AD4137"/>
    <w:multiLevelType w:val="hybridMultilevel"/>
    <w:tmpl w:val="1A988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67DA7"/>
    <w:multiLevelType w:val="hybridMultilevel"/>
    <w:tmpl w:val="71403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B4523"/>
    <w:multiLevelType w:val="hybridMultilevel"/>
    <w:tmpl w:val="3A74F4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AF628A"/>
    <w:multiLevelType w:val="hybridMultilevel"/>
    <w:tmpl w:val="674086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5F65D4"/>
    <w:multiLevelType w:val="hybridMultilevel"/>
    <w:tmpl w:val="A91283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D53D68"/>
    <w:multiLevelType w:val="hybridMultilevel"/>
    <w:tmpl w:val="DB667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D6FD7"/>
    <w:multiLevelType w:val="hybridMultilevel"/>
    <w:tmpl w:val="B322B17C"/>
    <w:lvl w:ilvl="0" w:tplc="E8C6A5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BF17C0"/>
    <w:multiLevelType w:val="hybridMultilevel"/>
    <w:tmpl w:val="C98453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DD93353"/>
    <w:multiLevelType w:val="hybridMultilevel"/>
    <w:tmpl w:val="57480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BA7A34"/>
    <w:multiLevelType w:val="hybridMultilevel"/>
    <w:tmpl w:val="C83060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9195A"/>
    <w:multiLevelType w:val="hybridMultilevel"/>
    <w:tmpl w:val="762C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EFA"/>
    <w:multiLevelType w:val="hybridMultilevel"/>
    <w:tmpl w:val="295C09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8528FA"/>
    <w:multiLevelType w:val="hybridMultilevel"/>
    <w:tmpl w:val="826AA7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222226"/>
    <w:multiLevelType w:val="hybridMultilevel"/>
    <w:tmpl w:val="BE64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027D40"/>
    <w:multiLevelType w:val="hybridMultilevel"/>
    <w:tmpl w:val="ED1009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555A54"/>
    <w:multiLevelType w:val="hybridMultilevel"/>
    <w:tmpl w:val="1500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6DF4"/>
    <w:multiLevelType w:val="hybridMultilevel"/>
    <w:tmpl w:val="CD2A4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F7A29"/>
    <w:multiLevelType w:val="hybridMultilevel"/>
    <w:tmpl w:val="7BE2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009D1"/>
    <w:multiLevelType w:val="hybridMultilevel"/>
    <w:tmpl w:val="7F1A6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88075A"/>
    <w:multiLevelType w:val="hybridMultilevel"/>
    <w:tmpl w:val="52608F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FB70B3"/>
    <w:multiLevelType w:val="hybridMultilevel"/>
    <w:tmpl w:val="C4B6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3170B"/>
    <w:multiLevelType w:val="hybridMultilevel"/>
    <w:tmpl w:val="AF18B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F87EE7"/>
    <w:multiLevelType w:val="hybridMultilevel"/>
    <w:tmpl w:val="653666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7"/>
  </w:num>
  <w:num w:numId="3">
    <w:abstractNumId w:val="5"/>
  </w:num>
  <w:num w:numId="4">
    <w:abstractNumId w:val="9"/>
  </w:num>
  <w:num w:numId="5">
    <w:abstractNumId w:val="8"/>
  </w:num>
  <w:num w:numId="6">
    <w:abstractNumId w:val="4"/>
  </w:num>
  <w:num w:numId="7">
    <w:abstractNumId w:val="24"/>
  </w:num>
  <w:num w:numId="8">
    <w:abstractNumId w:val="12"/>
  </w:num>
  <w:num w:numId="9">
    <w:abstractNumId w:val="1"/>
  </w:num>
  <w:num w:numId="10">
    <w:abstractNumId w:val="25"/>
  </w:num>
  <w:num w:numId="11">
    <w:abstractNumId w:val="23"/>
  </w:num>
  <w:num w:numId="12">
    <w:abstractNumId w:val="15"/>
  </w:num>
  <w:num w:numId="13">
    <w:abstractNumId w:val="18"/>
  </w:num>
  <w:num w:numId="14">
    <w:abstractNumId w:val="10"/>
  </w:num>
  <w:num w:numId="15">
    <w:abstractNumId w:val="30"/>
  </w:num>
  <w:num w:numId="16">
    <w:abstractNumId w:val="27"/>
  </w:num>
  <w:num w:numId="17">
    <w:abstractNumId w:val="13"/>
  </w:num>
  <w:num w:numId="18">
    <w:abstractNumId w:val="16"/>
  </w:num>
  <w:num w:numId="19">
    <w:abstractNumId w:val="0"/>
  </w:num>
  <w:num w:numId="20">
    <w:abstractNumId w:val="2"/>
  </w:num>
  <w:num w:numId="21">
    <w:abstractNumId w:val="6"/>
  </w:num>
  <w:num w:numId="22">
    <w:abstractNumId w:val="3"/>
  </w:num>
  <w:num w:numId="23">
    <w:abstractNumId w:val="22"/>
  </w:num>
  <w:num w:numId="24">
    <w:abstractNumId w:val="29"/>
  </w:num>
  <w:num w:numId="25">
    <w:abstractNumId w:val="26"/>
  </w:num>
  <w:num w:numId="26">
    <w:abstractNumId w:val="14"/>
  </w:num>
  <w:num w:numId="27">
    <w:abstractNumId w:val="11"/>
  </w:num>
  <w:num w:numId="28">
    <w:abstractNumId w:val="19"/>
  </w:num>
  <w:num w:numId="29">
    <w:abstractNumId w:val="17"/>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59"/>
    <w:rsid w:val="000026F6"/>
    <w:rsid w:val="00012F5C"/>
    <w:rsid w:val="000174A0"/>
    <w:rsid w:val="00033C46"/>
    <w:rsid w:val="0004772A"/>
    <w:rsid w:val="0006121D"/>
    <w:rsid w:val="00064CFD"/>
    <w:rsid w:val="000651D1"/>
    <w:rsid w:val="00074942"/>
    <w:rsid w:val="00076925"/>
    <w:rsid w:val="0009491F"/>
    <w:rsid w:val="00097D2A"/>
    <w:rsid w:val="000A0847"/>
    <w:rsid w:val="000A4031"/>
    <w:rsid w:val="000B0E28"/>
    <w:rsid w:val="000B6799"/>
    <w:rsid w:val="000B722A"/>
    <w:rsid w:val="000C69AD"/>
    <w:rsid w:val="000D72ED"/>
    <w:rsid w:val="000E25A7"/>
    <w:rsid w:val="000E3586"/>
    <w:rsid w:val="000F4FB0"/>
    <w:rsid w:val="00114800"/>
    <w:rsid w:val="00115A43"/>
    <w:rsid w:val="0012086B"/>
    <w:rsid w:val="001267A3"/>
    <w:rsid w:val="001336CE"/>
    <w:rsid w:val="001340D9"/>
    <w:rsid w:val="00161FC9"/>
    <w:rsid w:val="00165833"/>
    <w:rsid w:val="0016793F"/>
    <w:rsid w:val="00174233"/>
    <w:rsid w:val="001761DB"/>
    <w:rsid w:val="00193937"/>
    <w:rsid w:val="00195B4A"/>
    <w:rsid w:val="001B38AF"/>
    <w:rsid w:val="001C767B"/>
    <w:rsid w:val="001D22C8"/>
    <w:rsid w:val="001D6412"/>
    <w:rsid w:val="001F2E94"/>
    <w:rsid w:val="002101E6"/>
    <w:rsid w:val="002161C8"/>
    <w:rsid w:val="002164C4"/>
    <w:rsid w:val="00216D62"/>
    <w:rsid w:val="0022480A"/>
    <w:rsid w:val="00232179"/>
    <w:rsid w:val="00233FB3"/>
    <w:rsid w:val="002351D9"/>
    <w:rsid w:val="00241307"/>
    <w:rsid w:val="00244943"/>
    <w:rsid w:val="0025234C"/>
    <w:rsid w:val="00263F59"/>
    <w:rsid w:val="0028795D"/>
    <w:rsid w:val="002906E4"/>
    <w:rsid w:val="00290AEA"/>
    <w:rsid w:val="00291187"/>
    <w:rsid w:val="002972AB"/>
    <w:rsid w:val="002A3917"/>
    <w:rsid w:val="002B5156"/>
    <w:rsid w:val="002D22FE"/>
    <w:rsid w:val="002D4A78"/>
    <w:rsid w:val="002D6ECD"/>
    <w:rsid w:val="002E1AA0"/>
    <w:rsid w:val="002E34BC"/>
    <w:rsid w:val="002F1357"/>
    <w:rsid w:val="002F1AC2"/>
    <w:rsid w:val="00301C71"/>
    <w:rsid w:val="003124FC"/>
    <w:rsid w:val="003231FC"/>
    <w:rsid w:val="00333777"/>
    <w:rsid w:val="00337C72"/>
    <w:rsid w:val="0036311A"/>
    <w:rsid w:val="00386D27"/>
    <w:rsid w:val="00391440"/>
    <w:rsid w:val="00393DC8"/>
    <w:rsid w:val="0039719F"/>
    <w:rsid w:val="003A1675"/>
    <w:rsid w:val="003B5AC3"/>
    <w:rsid w:val="003F75C5"/>
    <w:rsid w:val="004014E1"/>
    <w:rsid w:val="0042013D"/>
    <w:rsid w:val="00444210"/>
    <w:rsid w:val="004473EE"/>
    <w:rsid w:val="00450BF8"/>
    <w:rsid w:val="00465F22"/>
    <w:rsid w:val="00486DC3"/>
    <w:rsid w:val="004B0BEA"/>
    <w:rsid w:val="004C38B2"/>
    <w:rsid w:val="004E7E3F"/>
    <w:rsid w:val="004F3D75"/>
    <w:rsid w:val="005007E9"/>
    <w:rsid w:val="005115C1"/>
    <w:rsid w:val="0051372B"/>
    <w:rsid w:val="00523DCE"/>
    <w:rsid w:val="0053245D"/>
    <w:rsid w:val="00536026"/>
    <w:rsid w:val="00537AEA"/>
    <w:rsid w:val="00551D55"/>
    <w:rsid w:val="0055681F"/>
    <w:rsid w:val="00565646"/>
    <w:rsid w:val="005751CB"/>
    <w:rsid w:val="005846E7"/>
    <w:rsid w:val="005868B8"/>
    <w:rsid w:val="005901E9"/>
    <w:rsid w:val="00592F83"/>
    <w:rsid w:val="005A3B09"/>
    <w:rsid w:val="005B7356"/>
    <w:rsid w:val="005D3C93"/>
    <w:rsid w:val="005D52E5"/>
    <w:rsid w:val="005F1D4E"/>
    <w:rsid w:val="005F1E26"/>
    <w:rsid w:val="005F3FBD"/>
    <w:rsid w:val="005F781A"/>
    <w:rsid w:val="006070EF"/>
    <w:rsid w:val="006332F5"/>
    <w:rsid w:val="006336A6"/>
    <w:rsid w:val="00635100"/>
    <w:rsid w:val="00655962"/>
    <w:rsid w:val="00656114"/>
    <w:rsid w:val="00656332"/>
    <w:rsid w:val="0066220C"/>
    <w:rsid w:val="00664AD8"/>
    <w:rsid w:val="00671DE6"/>
    <w:rsid w:val="00673BDA"/>
    <w:rsid w:val="00682AF7"/>
    <w:rsid w:val="0068492F"/>
    <w:rsid w:val="00695AF6"/>
    <w:rsid w:val="006B5FC0"/>
    <w:rsid w:val="006C0E72"/>
    <w:rsid w:val="006C3BE2"/>
    <w:rsid w:val="006C4F1E"/>
    <w:rsid w:val="006D2F1B"/>
    <w:rsid w:val="006D7951"/>
    <w:rsid w:val="006F2AD1"/>
    <w:rsid w:val="006F66C8"/>
    <w:rsid w:val="006F74F6"/>
    <w:rsid w:val="00701703"/>
    <w:rsid w:val="007208F0"/>
    <w:rsid w:val="00731424"/>
    <w:rsid w:val="00737018"/>
    <w:rsid w:val="00744F85"/>
    <w:rsid w:val="00762B7E"/>
    <w:rsid w:val="00763613"/>
    <w:rsid w:val="00767C28"/>
    <w:rsid w:val="00771508"/>
    <w:rsid w:val="0078375A"/>
    <w:rsid w:val="00792719"/>
    <w:rsid w:val="00794974"/>
    <w:rsid w:val="007A1B81"/>
    <w:rsid w:val="007B4222"/>
    <w:rsid w:val="007D344F"/>
    <w:rsid w:val="007D4E32"/>
    <w:rsid w:val="007E4D2D"/>
    <w:rsid w:val="007F5D10"/>
    <w:rsid w:val="008012F1"/>
    <w:rsid w:val="00817BFB"/>
    <w:rsid w:val="008317CB"/>
    <w:rsid w:val="00840D40"/>
    <w:rsid w:val="0084450A"/>
    <w:rsid w:val="00851449"/>
    <w:rsid w:val="008554E7"/>
    <w:rsid w:val="00860105"/>
    <w:rsid w:val="00865572"/>
    <w:rsid w:val="008664A4"/>
    <w:rsid w:val="008667E7"/>
    <w:rsid w:val="0087565F"/>
    <w:rsid w:val="00881029"/>
    <w:rsid w:val="008861F5"/>
    <w:rsid w:val="00887FB8"/>
    <w:rsid w:val="00890979"/>
    <w:rsid w:val="008A1099"/>
    <w:rsid w:val="008A5624"/>
    <w:rsid w:val="008A7FD0"/>
    <w:rsid w:val="008B08B8"/>
    <w:rsid w:val="008C6B08"/>
    <w:rsid w:val="008E2E9B"/>
    <w:rsid w:val="008E5686"/>
    <w:rsid w:val="008F3712"/>
    <w:rsid w:val="009208C7"/>
    <w:rsid w:val="00924F05"/>
    <w:rsid w:val="0093030A"/>
    <w:rsid w:val="00936275"/>
    <w:rsid w:val="00940370"/>
    <w:rsid w:val="00941C30"/>
    <w:rsid w:val="00955CE8"/>
    <w:rsid w:val="009620DF"/>
    <w:rsid w:val="00973B59"/>
    <w:rsid w:val="0097572D"/>
    <w:rsid w:val="00990CAD"/>
    <w:rsid w:val="00991CC1"/>
    <w:rsid w:val="00991F10"/>
    <w:rsid w:val="009A3728"/>
    <w:rsid w:val="009A5761"/>
    <w:rsid w:val="009A7DA9"/>
    <w:rsid w:val="009A7EF2"/>
    <w:rsid w:val="009B0AC9"/>
    <w:rsid w:val="009D519A"/>
    <w:rsid w:val="009E06D9"/>
    <w:rsid w:val="009E2EDF"/>
    <w:rsid w:val="00A13DCB"/>
    <w:rsid w:val="00A329DE"/>
    <w:rsid w:val="00A42B4E"/>
    <w:rsid w:val="00A43240"/>
    <w:rsid w:val="00A447F4"/>
    <w:rsid w:val="00A51F8F"/>
    <w:rsid w:val="00A81EF4"/>
    <w:rsid w:val="00A85E40"/>
    <w:rsid w:val="00A86A8C"/>
    <w:rsid w:val="00AA5AC0"/>
    <w:rsid w:val="00AA614F"/>
    <w:rsid w:val="00AD43AD"/>
    <w:rsid w:val="00AD72A0"/>
    <w:rsid w:val="00B01B38"/>
    <w:rsid w:val="00B11D56"/>
    <w:rsid w:val="00B20A19"/>
    <w:rsid w:val="00B25DEB"/>
    <w:rsid w:val="00B279AD"/>
    <w:rsid w:val="00B3049F"/>
    <w:rsid w:val="00B316B8"/>
    <w:rsid w:val="00B45C22"/>
    <w:rsid w:val="00B57952"/>
    <w:rsid w:val="00B71BCB"/>
    <w:rsid w:val="00B73659"/>
    <w:rsid w:val="00B75D9D"/>
    <w:rsid w:val="00B768FE"/>
    <w:rsid w:val="00B85936"/>
    <w:rsid w:val="00B92E7B"/>
    <w:rsid w:val="00BA2395"/>
    <w:rsid w:val="00BB1EC5"/>
    <w:rsid w:val="00BB33C3"/>
    <w:rsid w:val="00BD0E93"/>
    <w:rsid w:val="00BD0F8C"/>
    <w:rsid w:val="00BD1AB5"/>
    <w:rsid w:val="00BD254E"/>
    <w:rsid w:val="00BE0312"/>
    <w:rsid w:val="00BF037E"/>
    <w:rsid w:val="00BF186A"/>
    <w:rsid w:val="00BF21B5"/>
    <w:rsid w:val="00C0042A"/>
    <w:rsid w:val="00C40A1D"/>
    <w:rsid w:val="00C459D4"/>
    <w:rsid w:val="00C57500"/>
    <w:rsid w:val="00C614E8"/>
    <w:rsid w:val="00C82325"/>
    <w:rsid w:val="00C86B3F"/>
    <w:rsid w:val="00C9059E"/>
    <w:rsid w:val="00C934C3"/>
    <w:rsid w:val="00C941F7"/>
    <w:rsid w:val="00CB0CD6"/>
    <w:rsid w:val="00CC64BD"/>
    <w:rsid w:val="00CE76CC"/>
    <w:rsid w:val="00CF76F1"/>
    <w:rsid w:val="00D001F8"/>
    <w:rsid w:val="00D0446C"/>
    <w:rsid w:val="00D12ABC"/>
    <w:rsid w:val="00D34C44"/>
    <w:rsid w:val="00D52308"/>
    <w:rsid w:val="00D5723F"/>
    <w:rsid w:val="00D76EEC"/>
    <w:rsid w:val="00D933EC"/>
    <w:rsid w:val="00D93BC3"/>
    <w:rsid w:val="00DB288B"/>
    <w:rsid w:val="00DC1651"/>
    <w:rsid w:val="00DC234A"/>
    <w:rsid w:val="00DC2834"/>
    <w:rsid w:val="00DC2F20"/>
    <w:rsid w:val="00DE4C82"/>
    <w:rsid w:val="00DF4AF6"/>
    <w:rsid w:val="00E118FA"/>
    <w:rsid w:val="00E1262E"/>
    <w:rsid w:val="00E12F15"/>
    <w:rsid w:val="00E2187B"/>
    <w:rsid w:val="00E3703B"/>
    <w:rsid w:val="00E37237"/>
    <w:rsid w:val="00E40323"/>
    <w:rsid w:val="00E530B8"/>
    <w:rsid w:val="00E60A13"/>
    <w:rsid w:val="00E65302"/>
    <w:rsid w:val="00E66AA9"/>
    <w:rsid w:val="00E71B2A"/>
    <w:rsid w:val="00E86299"/>
    <w:rsid w:val="00E86688"/>
    <w:rsid w:val="00E87955"/>
    <w:rsid w:val="00E92985"/>
    <w:rsid w:val="00E971BB"/>
    <w:rsid w:val="00EA3994"/>
    <w:rsid w:val="00EB14F4"/>
    <w:rsid w:val="00EB395A"/>
    <w:rsid w:val="00EB64F0"/>
    <w:rsid w:val="00EB651A"/>
    <w:rsid w:val="00EC016D"/>
    <w:rsid w:val="00EC4C68"/>
    <w:rsid w:val="00F21445"/>
    <w:rsid w:val="00F360F6"/>
    <w:rsid w:val="00F43C02"/>
    <w:rsid w:val="00F4716C"/>
    <w:rsid w:val="00F521BA"/>
    <w:rsid w:val="00F52930"/>
    <w:rsid w:val="00F5318A"/>
    <w:rsid w:val="00F5324E"/>
    <w:rsid w:val="00F55670"/>
    <w:rsid w:val="00F62FEE"/>
    <w:rsid w:val="00F735B8"/>
    <w:rsid w:val="00F936FA"/>
    <w:rsid w:val="00F961B2"/>
    <w:rsid w:val="00FA7DB2"/>
    <w:rsid w:val="00FB14F7"/>
    <w:rsid w:val="00FB1AAA"/>
    <w:rsid w:val="00FB5E46"/>
    <w:rsid w:val="00FB6B66"/>
    <w:rsid w:val="00FB79B0"/>
    <w:rsid w:val="00FE7701"/>
    <w:rsid w:val="00FF360C"/>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748D"/>
  <w15:chartTrackingRefBased/>
  <w15:docId w15:val="{4985650D-DE70-4357-B589-ACE9BFA4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F59"/>
    <w:pPr>
      <w:spacing w:after="0"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314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424"/>
    <w:rPr>
      <w:sz w:val="20"/>
      <w:szCs w:val="20"/>
    </w:rPr>
  </w:style>
  <w:style w:type="character" w:styleId="EndnoteReference">
    <w:name w:val="endnote reference"/>
    <w:basedOn w:val="DefaultParagraphFont"/>
    <w:uiPriority w:val="99"/>
    <w:semiHidden/>
    <w:unhideWhenUsed/>
    <w:rsid w:val="00731424"/>
    <w:rPr>
      <w:vertAlign w:val="superscript"/>
    </w:rPr>
  </w:style>
  <w:style w:type="paragraph" w:styleId="ListParagraph">
    <w:name w:val="List Paragraph"/>
    <w:basedOn w:val="Normal"/>
    <w:uiPriority w:val="34"/>
    <w:qFormat/>
    <w:rsid w:val="00FE7701"/>
    <w:pPr>
      <w:ind w:left="720"/>
      <w:contextualSpacing/>
    </w:pPr>
  </w:style>
  <w:style w:type="paragraph" w:styleId="FootnoteText">
    <w:name w:val="footnote text"/>
    <w:basedOn w:val="Normal"/>
    <w:link w:val="FootnoteTextChar"/>
    <w:uiPriority w:val="99"/>
    <w:semiHidden/>
    <w:unhideWhenUsed/>
    <w:rsid w:val="00FE77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701"/>
    <w:rPr>
      <w:sz w:val="20"/>
      <w:szCs w:val="20"/>
    </w:rPr>
  </w:style>
  <w:style w:type="character" w:styleId="FootnoteReference">
    <w:name w:val="footnote reference"/>
    <w:basedOn w:val="DefaultParagraphFont"/>
    <w:uiPriority w:val="99"/>
    <w:semiHidden/>
    <w:unhideWhenUsed/>
    <w:rsid w:val="00FE7701"/>
    <w:rPr>
      <w:vertAlign w:val="superscript"/>
    </w:rPr>
  </w:style>
  <w:style w:type="character" w:styleId="Hyperlink">
    <w:name w:val="Hyperlink"/>
    <w:basedOn w:val="DefaultParagraphFont"/>
    <w:uiPriority w:val="99"/>
    <w:unhideWhenUsed/>
    <w:rsid w:val="00FE7701"/>
    <w:rPr>
      <w:color w:val="0563C1" w:themeColor="hyperlink"/>
      <w:u w:val="single"/>
    </w:rPr>
  </w:style>
  <w:style w:type="character" w:styleId="CommentReference">
    <w:name w:val="annotation reference"/>
    <w:basedOn w:val="DefaultParagraphFont"/>
    <w:uiPriority w:val="99"/>
    <w:semiHidden/>
    <w:unhideWhenUsed/>
    <w:rsid w:val="009A3728"/>
    <w:rPr>
      <w:sz w:val="16"/>
      <w:szCs w:val="16"/>
    </w:rPr>
  </w:style>
  <w:style w:type="paragraph" w:styleId="CommentText">
    <w:name w:val="annotation text"/>
    <w:basedOn w:val="Normal"/>
    <w:link w:val="CommentTextChar"/>
    <w:uiPriority w:val="99"/>
    <w:semiHidden/>
    <w:unhideWhenUsed/>
    <w:rsid w:val="009A3728"/>
    <w:pPr>
      <w:spacing w:line="240" w:lineRule="auto"/>
    </w:pPr>
    <w:rPr>
      <w:sz w:val="20"/>
      <w:szCs w:val="20"/>
    </w:rPr>
  </w:style>
  <w:style w:type="character" w:customStyle="1" w:styleId="CommentTextChar">
    <w:name w:val="Comment Text Char"/>
    <w:basedOn w:val="DefaultParagraphFont"/>
    <w:link w:val="CommentText"/>
    <w:uiPriority w:val="99"/>
    <w:semiHidden/>
    <w:rsid w:val="009A3728"/>
    <w:rPr>
      <w:sz w:val="20"/>
      <w:szCs w:val="20"/>
    </w:rPr>
  </w:style>
  <w:style w:type="paragraph" w:styleId="CommentSubject">
    <w:name w:val="annotation subject"/>
    <w:basedOn w:val="CommentText"/>
    <w:next w:val="CommentText"/>
    <w:link w:val="CommentSubjectChar"/>
    <w:uiPriority w:val="99"/>
    <w:semiHidden/>
    <w:unhideWhenUsed/>
    <w:rsid w:val="009A3728"/>
    <w:rPr>
      <w:b/>
      <w:bCs/>
    </w:rPr>
  </w:style>
  <w:style w:type="character" w:customStyle="1" w:styleId="CommentSubjectChar">
    <w:name w:val="Comment Subject Char"/>
    <w:basedOn w:val="CommentTextChar"/>
    <w:link w:val="CommentSubject"/>
    <w:uiPriority w:val="99"/>
    <w:semiHidden/>
    <w:rsid w:val="009A3728"/>
    <w:rPr>
      <w:b/>
      <w:bCs/>
      <w:sz w:val="20"/>
      <w:szCs w:val="20"/>
    </w:rPr>
  </w:style>
  <w:style w:type="paragraph" w:styleId="Revision">
    <w:name w:val="Revision"/>
    <w:hidden/>
    <w:uiPriority w:val="99"/>
    <w:semiHidden/>
    <w:rsid w:val="009A3728"/>
    <w:pPr>
      <w:spacing w:after="0" w:line="240" w:lineRule="auto"/>
    </w:pPr>
  </w:style>
  <w:style w:type="paragraph" w:styleId="BalloonText">
    <w:name w:val="Balloon Text"/>
    <w:basedOn w:val="Normal"/>
    <w:link w:val="BalloonTextChar"/>
    <w:uiPriority w:val="99"/>
    <w:semiHidden/>
    <w:unhideWhenUsed/>
    <w:rsid w:val="009A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728"/>
    <w:rPr>
      <w:rFonts w:ascii="Segoe UI" w:hAnsi="Segoe UI" w:cs="Segoe UI"/>
      <w:sz w:val="18"/>
      <w:szCs w:val="18"/>
    </w:rPr>
  </w:style>
  <w:style w:type="table" w:styleId="TableGrid">
    <w:name w:val="Table Grid"/>
    <w:basedOn w:val="TableNormal"/>
    <w:uiPriority w:val="39"/>
    <w:rsid w:val="00A8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73BD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9E2EDF"/>
    <w:rPr>
      <w:b/>
      <w:bCs/>
    </w:rPr>
  </w:style>
  <w:style w:type="paragraph" w:styleId="Header">
    <w:name w:val="header"/>
    <w:basedOn w:val="Normal"/>
    <w:link w:val="HeaderChar"/>
    <w:uiPriority w:val="99"/>
    <w:unhideWhenUsed/>
    <w:rsid w:val="0053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EA"/>
  </w:style>
  <w:style w:type="paragraph" w:styleId="Footer">
    <w:name w:val="footer"/>
    <w:basedOn w:val="Normal"/>
    <w:link w:val="FooterChar"/>
    <w:uiPriority w:val="99"/>
    <w:unhideWhenUsed/>
    <w:rsid w:val="00537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EA"/>
  </w:style>
  <w:style w:type="paragraph" w:styleId="Bibliography">
    <w:name w:val="Bibliography"/>
    <w:basedOn w:val="Normal"/>
    <w:next w:val="Normal"/>
    <w:uiPriority w:val="37"/>
    <w:unhideWhenUsed/>
    <w:rsid w:val="0065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95466">
      <w:bodyDiv w:val="1"/>
      <w:marLeft w:val="0"/>
      <w:marRight w:val="0"/>
      <w:marTop w:val="0"/>
      <w:marBottom w:val="0"/>
      <w:divBdr>
        <w:top w:val="none" w:sz="0" w:space="0" w:color="auto"/>
        <w:left w:val="none" w:sz="0" w:space="0" w:color="auto"/>
        <w:bottom w:val="none" w:sz="0" w:space="0" w:color="auto"/>
        <w:right w:val="none" w:sz="0" w:space="0" w:color="auto"/>
      </w:divBdr>
    </w:div>
    <w:div w:id="1606378458">
      <w:bodyDiv w:val="1"/>
      <w:marLeft w:val="0"/>
      <w:marRight w:val="0"/>
      <w:marTop w:val="0"/>
      <w:marBottom w:val="0"/>
      <w:divBdr>
        <w:top w:val="none" w:sz="0" w:space="0" w:color="auto"/>
        <w:left w:val="none" w:sz="0" w:space="0" w:color="auto"/>
        <w:bottom w:val="none" w:sz="0" w:space="0" w:color="auto"/>
        <w:right w:val="none" w:sz="0" w:space="0" w:color="auto"/>
      </w:divBdr>
    </w:div>
    <w:div w:id="16962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legacycit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67906-5A89-4777-B52C-EA41490D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53</Pages>
  <Words>21292</Words>
  <Characters>121367</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Berube</dc:creator>
  <cp:keywords/>
  <dc:description/>
  <cp:lastModifiedBy>Alan Berube</cp:lastModifiedBy>
  <cp:revision>36</cp:revision>
  <dcterms:created xsi:type="dcterms:W3CDTF">2018-02-01T19:36:00Z</dcterms:created>
  <dcterms:modified xsi:type="dcterms:W3CDTF">2018-02-16T19:57:00Z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id="1Zvzj9vw"/&gt;&lt;style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value="2"/&gt;&lt;/prefs&gt;&lt;/data&gt;</vt:lpwstr>
  </property>
</Properties>
</file>