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8CE" w:rsidRPr="007134F4" w:rsidRDefault="00B06A0B" w:rsidP="00A67067">
      <w:pPr>
        <w:rPr>
          <w:rFonts w:ascii="Arial" w:hAnsi="Arial" w:cs="Arial"/>
          <w:b/>
        </w:rPr>
      </w:pPr>
      <w:bookmarkStart w:id="0" w:name="_GoBack"/>
      <w:r w:rsidRPr="007134F4">
        <w:rPr>
          <w:rFonts w:ascii="Arial" w:hAnsi="Arial" w:cs="Arial"/>
          <w:b/>
        </w:rPr>
        <w:t xml:space="preserve">Box </w:t>
      </w:r>
      <w:r w:rsidR="008648CE" w:rsidRPr="007134F4">
        <w:rPr>
          <w:rFonts w:ascii="Arial" w:hAnsi="Arial" w:cs="Arial"/>
          <w:b/>
        </w:rPr>
        <w:t>6</w:t>
      </w:r>
      <w:r w:rsidRPr="007134F4">
        <w:rPr>
          <w:rFonts w:ascii="Arial" w:hAnsi="Arial" w:cs="Arial"/>
          <w:b/>
        </w:rPr>
        <w:t xml:space="preserve">: </w:t>
      </w:r>
      <w:r w:rsidR="008648CE" w:rsidRPr="007134F4">
        <w:rPr>
          <w:rFonts w:ascii="Arial" w:hAnsi="Arial" w:cs="Arial"/>
          <w:b/>
        </w:rPr>
        <w:t>What governance challenges are posed in facilitating urban accessibility?</w:t>
      </w:r>
    </w:p>
    <w:p w:rsidR="003F56D2" w:rsidRDefault="00607227" w:rsidP="0035112A">
      <w:pPr>
        <w:rPr>
          <w:rFonts w:ascii="Arial" w:hAnsi="Arial" w:cs="Arial"/>
          <w:sz w:val="20"/>
          <w:szCs w:val="24"/>
        </w:rPr>
      </w:pPr>
      <w:r w:rsidRPr="007134F4">
        <w:rPr>
          <w:rFonts w:ascii="Arial" w:hAnsi="Arial" w:cs="Arial"/>
          <w:sz w:val="20"/>
          <w:szCs w:val="24"/>
        </w:rPr>
        <w:t xml:space="preserve">As regions look to develop a more accessible urban environment, governance is perhaps the single most critical, cross-cutting issue. </w:t>
      </w:r>
    </w:p>
    <w:p w:rsidR="00E270B9" w:rsidRPr="007134F4" w:rsidRDefault="003E5A92" w:rsidP="0035112A">
      <w:pPr>
        <w:rPr>
          <w:rFonts w:ascii="Arial" w:hAnsi="Arial" w:cs="Arial"/>
          <w:sz w:val="20"/>
          <w:szCs w:val="24"/>
        </w:rPr>
      </w:pPr>
      <w:r w:rsidRPr="007134F4">
        <w:rPr>
          <w:rFonts w:ascii="Arial" w:hAnsi="Arial" w:cs="Arial"/>
          <w:sz w:val="20"/>
          <w:szCs w:val="24"/>
        </w:rPr>
        <w:t>U</w:t>
      </w:r>
      <w:r w:rsidR="00EB3AD8" w:rsidRPr="007134F4">
        <w:rPr>
          <w:rFonts w:ascii="Arial" w:hAnsi="Arial" w:cs="Arial"/>
          <w:sz w:val="20"/>
          <w:szCs w:val="24"/>
        </w:rPr>
        <w:t>rban governance</w:t>
      </w:r>
      <w:r w:rsidR="009E0E80" w:rsidRPr="007134F4">
        <w:rPr>
          <w:rFonts w:ascii="Arial" w:hAnsi="Arial" w:cs="Arial"/>
          <w:sz w:val="20"/>
          <w:szCs w:val="24"/>
        </w:rPr>
        <w:t xml:space="preserve"> emerges from </w:t>
      </w:r>
      <w:r w:rsidR="003F56D2" w:rsidRPr="007134F4">
        <w:rPr>
          <w:rFonts w:ascii="Arial" w:hAnsi="Arial" w:cs="Arial"/>
          <w:sz w:val="20"/>
          <w:szCs w:val="24"/>
        </w:rPr>
        <w:t>interplay</w:t>
      </w:r>
      <w:r w:rsidR="009E0E80" w:rsidRPr="007134F4">
        <w:rPr>
          <w:rFonts w:ascii="Arial" w:hAnsi="Arial" w:cs="Arial"/>
          <w:sz w:val="20"/>
          <w:szCs w:val="24"/>
        </w:rPr>
        <w:t xml:space="preserve"> between the values of a society</w:t>
      </w:r>
      <w:r w:rsidR="0035112A" w:rsidRPr="007134F4">
        <w:rPr>
          <w:rFonts w:ascii="Arial" w:hAnsi="Arial" w:cs="Arial"/>
          <w:sz w:val="20"/>
          <w:szCs w:val="24"/>
        </w:rPr>
        <w:t xml:space="preserve"> (its ideals, objectives</w:t>
      </w:r>
      <w:r w:rsidR="00F23BF5" w:rsidRPr="007134F4">
        <w:rPr>
          <w:rFonts w:ascii="Arial" w:hAnsi="Arial" w:cs="Arial"/>
          <w:sz w:val="20"/>
          <w:szCs w:val="24"/>
        </w:rPr>
        <w:t xml:space="preserve">, </w:t>
      </w:r>
      <w:r w:rsidR="0035112A" w:rsidRPr="007134F4">
        <w:rPr>
          <w:rFonts w:ascii="Arial" w:hAnsi="Arial" w:cs="Arial"/>
          <w:sz w:val="20"/>
          <w:szCs w:val="24"/>
        </w:rPr>
        <w:t>priorities)</w:t>
      </w:r>
      <w:r w:rsidR="00F23BF5" w:rsidRPr="007134F4">
        <w:rPr>
          <w:rFonts w:ascii="Arial" w:hAnsi="Arial" w:cs="Arial"/>
          <w:sz w:val="20"/>
          <w:szCs w:val="24"/>
        </w:rPr>
        <w:t xml:space="preserve"> and</w:t>
      </w:r>
      <w:r w:rsidR="0035112A" w:rsidRPr="007134F4">
        <w:rPr>
          <w:rFonts w:ascii="Arial" w:hAnsi="Arial" w:cs="Arial"/>
          <w:sz w:val="20"/>
          <w:szCs w:val="24"/>
        </w:rPr>
        <w:t xml:space="preserve"> </w:t>
      </w:r>
      <w:r w:rsidR="009E0E80" w:rsidRPr="007134F4">
        <w:rPr>
          <w:rFonts w:ascii="Arial" w:hAnsi="Arial" w:cs="Arial"/>
          <w:sz w:val="20"/>
          <w:szCs w:val="24"/>
        </w:rPr>
        <w:t xml:space="preserve">the </w:t>
      </w:r>
      <w:r w:rsidR="0035112A" w:rsidRPr="007134F4">
        <w:rPr>
          <w:rFonts w:ascii="Arial" w:hAnsi="Arial" w:cs="Arial"/>
          <w:sz w:val="20"/>
          <w:szCs w:val="24"/>
        </w:rPr>
        <w:t xml:space="preserve">expertise and interests of the </w:t>
      </w:r>
      <w:r w:rsidR="00F23BF5" w:rsidRPr="007134F4">
        <w:rPr>
          <w:rFonts w:ascii="Arial" w:hAnsi="Arial" w:cs="Arial"/>
          <w:sz w:val="20"/>
          <w:szCs w:val="24"/>
        </w:rPr>
        <w:t xml:space="preserve">public and </w:t>
      </w:r>
      <w:r w:rsidR="0035112A" w:rsidRPr="007134F4">
        <w:rPr>
          <w:rFonts w:ascii="Arial" w:hAnsi="Arial" w:cs="Arial"/>
          <w:sz w:val="20"/>
          <w:szCs w:val="24"/>
        </w:rPr>
        <w:t xml:space="preserve">private </w:t>
      </w:r>
      <w:r w:rsidR="00F23BF5" w:rsidRPr="007134F4">
        <w:rPr>
          <w:rFonts w:ascii="Arial" w:hAnsi="Arial" w:cs="Arial"/>
          <w:sz w:val="20"/>
          <w:szCs w:val="24"/>
        </w:rPr>
        <w:t>actors</w:t>
      </w:r>
      <w:r w:rsidR="0035112A" w:rsidRPr="007134F4">
        <w:rPr>
          <w:rFonts w:ascii="Arial" w:hAnsi="Arial" w:cs="Arial"/>
          <w:sz w:val="20"/>
          <w:szCs w:val="24"/>
        </w:rPr>
        <w:t xml:space="preserve">. </w:t>
      </w:r>
      <w:r w:rsidR="00E270B9" w:rsidRPr="007134F4">
        <w:rPr>
          <w:rFonts w:ascii="Arial" w:hAnsi="Arial" w:cs="Arial"/>
          <w:sz w:val="20"/>
          <w:szCs w:val="24"/>
        </w:rPr>
        <w:t xml:space="preserve">Realization of good urban governance requires finding the right balance </w:t>
      </w:r>
      <w:r w:rsidR="00B64556" w:rsidRPr="007134F4">
        <w:rPr>
          <w:rFonts w:ascii="Arial" w:hAnsi="Arial" w:cs="Arial"/>
          <w:sz w:val="20"/>
          <w:szCs w:val="24"/>
        </w:rPr>
        <w:t>between</w:t>
      </w:r>
      <w:r w:rsidR="00E270B9" w:rsidRPr="007134F4">
        <w:rPr>
          <w:rFonts w:ascii="Arial" w:hAnsi="Arial" w:cs="Arial"/>
          <w:sz w:val="20"/>
          <w:szCs w:val="24"/>
        </w:rPr>
        <w:t xml:space="preserve"> often competing objectives, technical requirements and interests, while at the same time overcoming coordination problems within and between dispersed public and private actors. </w:t>
      </w:r>
    </w:p>
    <w:p w:rsidR="003F56D2" w:rsidRDefault="00F90EC3" w:rsidP="0035112A">
      <w:pPr>
        <w:rPr>
          <w:rFonts w:ascii="Arial" w:hAnsi="Arial" w:cs="Arial"/>
          <w:sz w:val="20"/>
          <w:szCs w:val="24"/>
        </w:rPr>
      </w:pPr>
      <w:r w:rsidRPr="007134F4">
        <w:rPr>
          <w:rFonts w:ascii="Arial" w:hAnsi="Arial" w:cs="Arial"/>
          <w:sz w:val="20"/>
          <w:szCs w:val="24"/>
        </w:rPr>
        <w:t>Urban accessibility</w:t>
      </w:r>
      <w:r w:rsidR="0035112A" w:rsidRPr="007134F4">
        <w:rPr>
          <w:rFonts w:ascii="Arial" w:hAnsi="Arial" w:cs="Arial"/>
          <w:sz w:val="20"/>
          <w:szCs w:val="24"/>
        </w:rPr>
        <w:t xml:space="preserve"> is one of the myriad </w:t>
      </w:r>
      <w:r w:rsidR="00F23BF5" w:rsidRPr="007134F4">
        <w:rPr>
          <w:rFonts w:ascii="Arial" w:hAnsi="Arial" w:cs="Arial"/>
          <w:sz w:val="20"/>
          <w:szCs w:val="24"/>
        </w:rPr>
        <w:t>ideals</w:t>
      </w:r>
      <w:r w:rsidR="0035112A" w:rsidRPr="007134F4">
        <w:rPr>
          <w:rFonts w:ascii="Arial" w:hAnsi="Arial" w:cs="Arial"/>
          <w:sz w:val="20"/>
          <w:szCs w:val="24"/>
        </w:rPr>
        <w:t xml:space="preserve"> that the </w:t>
      </w:r>
      <w:r w:rsidRPr="007134F4">
        <w:rPr>
          <w:rFonts w:ascii="Arial" w:hAnsi="Arial" w:cs="Arial"/>
          <w:sz w:val="20"/>
          <w:szCs w:val="24"/>
        </w:rPr>
        <w:t>community</w:t>
      </w:r>
      <w:r w:rsidR="0035112A" w:rsidRPr="007134F4">
        <w:rPr>
          <w:rFonts w:ascii="Arial" w:hAnsi="Arial" w:cs="Arial"/>
          <w:sz w:val="20"/>
          <w:szCs w:val="24"/>
        </w:rPr>
        <w:t xml:space="preserve"> wishes to achieve</w:t>
      </w:r>
      <w:r w:rsidR="00F23BF5" w:rsidRPr="007134F4">
        <w:rPr>
          <w:rFonts w:ascii="Arial" w:hAnsi="Arial" w:cs="Arial"/>
          <w:sz w:val="20"/>
          <w:szCs w:val="24"/>
        </w:rPr>
        <w:t>.</w:t>
      </w:r>
      <w:r w:rsidR="0035112A" w:rsidRPr="007134F4">
        <w:rPr>
          <w:rFonts w:ascii="Arial" w:hAnsi="Arial" w:cs="Arial"/>
          <w:sz w:val="20"/>
          <w:szCs w:val="24"/>
        </w:rPr>
        <w:t xml:space="preserve"> </w:t>
      </w:r>
      <w:r w:rsidR="00F23BF5" w:rsidRPr="007134F4">
        <w:rPr>
          <w:rFonts w:ascii="Arial" w:hAnsi="Arial" w:cs="Arial"/>
          <w:sz w:val="20"/>
          <w:szCs w:val="24"/>
        </w:rPr>
        <w:t>The public actors</w:t>
      </w:r>
      <w:r w:rsidR="003F56D2">
        <w:rPr>
          <w:rFonts w:ascii="Arial" w:hAnsi="Arial" w:cs="Arial"/>
          <w:sz w:val="20"/>
        </w:rPr>
        <w:t>—</w:t>
      </w:r>
      <w:r w:rsidR="003F56D2">
        <w:rPr>
          <w:rFonts w:ascii="Arial" w:hAnsi="Arial" w:cs="Arial"/>
          <w:sz w:val="20"/>
          <w:szCs w:val="24"/>
        </w:rPr>
        <w:t xml:space="preserve"> </w:t>
      </w:r>
      <w:r w:rsidR="003E5A92" w:rsidRPr="007134F4">
        <w:rPr>
          <w:rFonts w:ascii="Arial" w:hAnsi="Arial" w:cs="Arial"/>
          <w:sz w:val="20"/>
          <w:szCs w:val="24"/>
        </w:rPr>
        <w:t>th</w:t>
      </w:r>
      <w:r w:rsidR="00F23BF5" w:rsidRPr="007134F4">
        <w:rPr>
          <w:rFonts w:ascii="Arial" w:hAnsi="Arial" w:cs="Arial"/>
          <w:sz w:val="20"/>
          <w:szCs w:val="24"/>
        </w:rPr>
        <w:t>e implementers of this ideal</w:t>
      </w:r>
      <w:r w:rsidR="003F56D2">
        <w:rPr>
          <w:rFonts w:ascii="Arial" w:hAnsi="Arial" w:cs="Arial"/>
          <w:sz w:val="20"/>
        </w:rPr>
        <w:t>—</w:t>
      </w:r>
      <w:r w:rsidR="00E270B9" w:rsidRPr="007134F4">
        <w:rPr>
          <w:rFonts w:ascii="Arial" w:hAnsi="Arial" w:cs="Arial"/>
          <w:sz w:val="20"/>
          <w:szCs w:val="24"/>
        </w:rPr>
        <w:t>face the challenge of defining</w:t>
      </w:r>
      <w:r w:rsidR="00F23BF5" w:rsidRPr="007134F4">
        <w:rPr>
          <w:rFonts w:ascii="Arial" w:hAnsi="Arial" w:cs="Arial"/>
          <w:sz w:val="20"/>
          <w:szCs w:val="24"/>
        </w:rPr>
        <w:t xml:space="preserve"> and generat</w:t>
      </w:r>
      <w:r w:rsidR="00E270B9" w:rsidRPr="007134F4">
        <w:rPr>
          <w:rFonts w:ascii="Arial" w:hAnsi="Arial" w:cs="Arial"/>
          <w:sz w:val="20"/>
          <w:szCs w:val="24"/>
        </w:rPr>
        <w:t>ing</w:t>
      </w:r>
      <w:r w:rsidR="00CE3F19" w:rsidRPr="007134F4">
        <w:rPr>
          <w:rFonts w:ascii="Arial" w:hAnsi="Arial" w:cs="Arial"/>
          <w:sz w:val="20"/>
          <w:szCs w:val="24"/>
        </w:rPr>
        <w:t xml:space="preserve"> consensus on a coherent</w:t>
      </w:r>
      <w:r w:rsidR="00F23BF5" w:rsidRPr="007134F4">
        <w:rPr>
          <w:rFonts w:ascii="Arial" w:hAnsi="Arial" w:cs="Arial"/>
          <w:sz w:val="20"/>
          <w:szCs w:val="24"/>
        </w:rPr>
        <w:t xml:space="preserve"> </w:t>
      </w:r>
      <w:r w:rsidR="003F56D2">
        <w:rPr>
          <w:rFonts w:ascii="Arial" w:hAnsi="Arial" w:cs="Arial"/>
          <w:sz w:val="20"/>
          <w:szCs w:val="24"/>
        </w:rPr>
        <w:t xml:space="preserve">accessibility </w:t>
      </w:r>
      <w:r w:rsidR="00CE3F19" w:rsidRPr="007134F4">
        <w:rPr>
          <w:rFonts w:ascii="Arial" w:hAnsi="Arial" w:cs="Arial"/>
          <w:sz w:val="20"/>
          <w:szCs w:val="24"/>
        </w:rPr>
        <w:t xml:space="preserve">objective </w:t>
      </w:r>
      <w:r w:rsidR="003F56D2">
        <w:rPr>
          <w:rFonts w:ascii="Arial" w:hAnsi="Arial" w:cs="Arial"/>
          <w:sz w:val="20"/>
          <w:szCs w:val="24"/>
        </w:rPr>
        <w:t xml:space="preserve">and </w:t>
      </w:r>
      <w:r w:rsidR="00CE3F19" w:rsidRPr="007134F4">
        <w:rPr>
          <w:rFonts w:ascii="Arial" w:hAnsi="Arial" w:cs="Arial"/>
          <w:sz w:val="20"/>
          <w:szCs w:val="24"/>
        </w:rPr>
        <w:t>devis</w:t>
      </w:r>
      <w:r w:rsidR="00B64556" w:rsidRPr="007134F4">
        <w:rPr>
          <w:rFonts w:ascii="Arial" w:hAnsi="Arial" w:cs="Arial"/>
          <w:sz w:val="20"/>
          <w:szCs w:val="24"/>
        </w:rPr>
        <w:t>ing</w:t>
      </w:r>
      <w:r w:rsidR="00CE3F19" w:rsidRPr="007134F4">
        <w:rPr>
          <w:rFonts w:ascii="Arial" w:hAnsi="Arial" w:cs="Arial"/>
          <w:sz w:val="20"/>
          <w:szCs w:val="24"/>
        </w:rPr>
        <w:t xml:space="preserve"> </w:t>
      </w:r>
      <w:r w:rsidR="00F257F3" w:rsidRPr="007134F4">
        <w:rPr>
          <w:rFonts w:ascii="Arial" w:hAnsi="Arial" w:cs="Arial"/>
          <w:sz w:val="20"/>
          <w:szCs w:val="24"/>
        </w:rPr>
        <w:t xml:space="preserve">means of its achievement. </w:t>
      </w:r>
    </w:p>
    <w:p w:rsidR="00F257F3" w:rsidRPr="007134F4" w:rsidRDefault="003E5A92" w:rsidP="0035112A">
      <w:pPr>
        <w:rPr>
          <w:rFonts w:ascii="Arial" w:hAnsi="Arial" w:cs="Arial"/>
          <w:sz w:val="20"/>
          <w:szCs w:val="24"/>
        </w:rPr>
      </w:pPr>
      <w:r w:rsidRPr="007134F4">
        <w:rPr>
          <w:rFonts w:ascii="Arial" w:hAnsi="Arial" w:cs="Arial"/>
          <w:sz w:val="20"/>
          <w:szCs w:val="24"/>
        </w:rPr>
        <w:t xml:space="preserve">Strategic governance for achieving accessibility requires a combination of coordinated actions across urban land use (e.g. housing policy), transportation planning and regulation and financing of investment and operations as well as pricing and cost recovery. </w:t>
      </w:r>
      <w:r w:rsidR="00F257F3" w:rsidRPr="007134F4">
        <w:rPr>
          <w:rFonts w:ascii="Arial" w:hAnsi="Arial" w:cs="Arial"/>
          <w:sz w:val="20"/>
          <w:szCs w:val="24"/>
        </w:rPr>
        <w:t>This is a particular</w:t>
      </w:r>
      <w:r w:rsidR="008D6159" w:rsidRPr="007134F4">
        <w:rPr>
          <w:rFonts w:ascii="Arial" w:hAnsi="Arial" w:cs="Arial"/>
          <w:sz w:val="20"/>
          <w:szCs w:val="24"/>
        </w:rPr>
        <w:t>ly</w:t>
      </w:r>
      <w:r w:rsidR="00F257F3" w:rsidRPr="007134F4">
        <w:rPr>
          <w:rFonts w:ascii="Arial" w:hAnsi="Arial" w:cs="Arial"/>
          <w:sz w:val="20"/>
          <w:szCs w:val="24"/>
        </w:rPr>
        <w:t xml:space="preserve"> daunting task given that intended accessibility benefits begin to accrue over the long-run (by design), while costs can be immediate and more visible. This vision for long-range planning can be at odds with the short-run horizons of elected officials, and require</w:t>
      </w:r>
      <w:r w:rsidR="00F90EC3" w:rsidRPr="007134F4">
        <w:rPr>
          <w:rFonts w:ascii="Arial" w:hAnsi="Arial" w:cs="Arial"/>
          <w:sz w:val="20"/>
          <w:szCs w:val="24"/>
        </w:rPr>
        <w:t>s</w:t>
      </w:r>
      <w:r w:rsidR="00F257F3" w:rsidRPr="007134F4">
        <w:rPr>
          <w:rFonts w:ascii="Arial" w:hAnsi="Arial" w:cs="Arial"/>
          <w:sz w:val="20"/>
          <w:szCs w:val="24"/>
        </w:rPr>
        <w:t xml:space="preserve"> institutional </w:t>
      </w:r>
      <w:r w:rsidR="008D6159" w:rsidRPr="007134F4">
        <w:rPr>
          <w:rFonts w:ascii="Arial" w:hAnsi="Arial" w:cs="Arial"/>
          <w:sz w:val="20"/>
          <w:szCs w:val="24"/>
        </w:rPr>
        <w:t>protections</w:t>
      </w:r>
      <w:r w:rsidRPr="007134F4">
        <w:rPr>
          <w:rFonts w:ascii="Arial" w:hAnsi="Arial" w:cs="Arial"/>
          <w:sz w:val="20"/>
          <w:szCs w:val="24"/>
        </w:rPr>
        <w:t xml:space="preserve">, such as </w:t>
      </w:r>
      <w:r w:rsidR="00B64556" w:rsidRPr="007134F4">
        <w:rPr>
          <w:rFonts w:ascii="Arial" w:hAnsi="Arial" w:cs="Arial"/>
          <w:sz w:val="20"/>
          <w:szCs w:val="24"/>
        </w:rPr>
        <w:t xml:space="preserve">provisions for </w:t>
      </w:r>
      <w:r w:rsidR="008D6159" w:rsidRPr="007134F4">
        <w:rPr>
          <w:rFonts w:ascii="Arial" w:hAnsi="Arial" w:cs="Arial"/>
          <w:sz w:val="20"/>
          <w:szCs w:val="24"/>
        </w:rPr>
        <w:t>transparency and timely information disclosure processes.</w:t>
      </w:r>
      <w:r w:rsidR="003F56D2">
        <w:rPr>
          <w:rFonts w:ascii="Arial" w:hAnsi="Arial" w:cs="Arial"/>
          <w:sz w:val="20"/>
          <w:szCs w:val="24"/>
        </w:rPr>
        <w:t xml:space="preserve">  </w:t>
      </w:r>
    </w:p>
    <w:p w:rsidR="00812A37" w:rsidRPr="007134F4" w:rsidRDefault="00812A37" w:rsidP="0035112A">
      <w:pPr>
        <w:rPr>
          <w:rFonts w:ascii="Arial" w:hAnsi="Arial" w:cs="Arial"/>
          <w:sz w:val="20"/>
          <w:szCs w:val="24"/>
        </w:rPr>
      </w:pPr>
      <w:r w:rsidRPr="007134F4">
        <w:rPr>
          <w:rFonts w:ascii="Arial" w:hAnsi="Arial" w:cs="Arial"/>
          <w:sz w:val="20"/>
          <w:szCs w:val="24"/>
        </w:rPr>
        <w:t>Furth</w:t>
      </w:r>
      <w:r w:rsidR="00DF46E1" w:rsidRPr="007134F4">
        <w:rPr>
          <w:rFonts w:ascii="Arial" w:hAnsi="Arial" w:cs="Arial"/>
          <w:sz w:val="20"/>
          <w:szCs w:val="24"/>
        </w:rPr>
        <w:t>er</w:t>
      </w:r>
      <w:r w:rsidRPr="007134F4">
        <w:rPr>
          <w:rFonts w:ascii="Arial" w:hAnsi="Arial" w:cs="Arial"/>
          <w:sz w:val="20"/>
          <w:szCs w:val="24"/>
        </w:rPr>
        <w:t xml:space="preserve">more, </w:t>
      </w:r>
      <w:r w:rsidR="00636AF3" w:rsidRPr="007134F4">
        <w:rPr>
          <w:rFonts w:ascii="Arial" w:hAnsi="Arial" w:cs="Arial"/>
          <w:sz w:val="20"/>
          <w:szCs w:val="24"/>
        </w:rPr>
        <w:t>urban</w:t>
      </w:r>
      <w:r w:rsidRPr="007134F4">
        <w:rPr>
          <w:rFonts w:ascii="Arial" w:hAnsi="Arial" w:cs="Arial"/>
          <w:sz w:val="20"/>
          <w:szCs w:val="24"/>
        </w:rPr>
        <w:t xml:space="preserve"> areas are characterized by overlapping jurisdictional and functional purview of local, sub-national and national governing entities. The de-facto position in many urban areas has been one of </w:t>
      </w:r>
      <w:r w:rsidRPr="007134F4">
        <w:rPr>
          <w:rFonts w:ascii="Arial" w:hAnsi="Arial" w:cs="Arial"/>
          <w:i/>
          <w:sz w:val="20"/>
          <w:szCs w:val="24"/>
        </w:rPr>
        <w:t>organizational and political silos</w:t>
      </w:r>
      <w:r w:rsidRPr="007134F4">
        <w:rPr>
          <w:rFonts w:ascii="Arial" w:hAnsi="Arial" w:cs="Arial"/>
          <w:sz w:val="20"/>
          <w:szCs w:val="24"/>
        </w:rPr>
        <w:t xml:space="preserve">. </w:t>
      </w:r>
      <w:r w:rsidR="00636AF3" w:rsidRPr="007134F4">
        <w:rPr>
          <w:rFonts w:ascii="Arial" w:hAnsi="Arial" w:cs="Arial"/>
          <w:sz w:val="20"/>
          <w:szCs w:val="24"/>
        </w:rPr>
        <w:t xml:space="preserve">As a result, various government </w:t>
      </w:r>
      <w:r w:rsidR="00E40FC0" w:rsidRPr="007134F4">
        <w:rPr>
          <w:rFonts w:ascii="Arial" w:hAnsi="Arial" w:cs="Arial"/>
          <w:sz w:val="20"/>
          <w:szCs w:val="24"/>
        </w:rPr>
        <w:t>entities</w:t>
      </w:r>
      <w:r w:rsidR="00636AF3" w:rsidRPr="007134F4">
        <w:rPr>
          <w:rFonts w:ascii="Arial" w:hAnsi="Arial" w:cs="Arial"/>
          <w:sz w:val="20"/>
          <w:szCs w:val="24"/>
        </w:rPr>
        <w:t xml:space="preserve"> often suffer from coordination failures in delivery of urban services.</w:t>
      </w:r>
      <w:r w:rsidR="003F56D2">
        <w:rPr>
          <w:rFonts w:ascii="Arial" w:hAnsi="Arial" w:cs="Arial"/>
          <w:sz w:val="20"/>
          <w:szCs w:val="24"/>
        </w:rPr>
        <w:t xml:space="preserve"> </w:t>
      </w:r>
      <w:r w:rsidRPr="007134F4">
        <w:rPr>
          <w:rFonts w:ascii="Arial" w:hAnsi="Arial" w:cs="Arial"/>
          <w:sz w:val="20"/>
          <w:szCs w:val="24"/>
        </w:rPr>
        <w:t xml:space="preserve">For example, transportation agencies often focus on moving vehicles faster at the exclusion of other goals, while land use planning agencies </w:t>
      </w:r>
      <w:r w:rsidR="003F56D2">
        <w:rPr>
          <w:rFonts w:ascii="Arial" w:hAnsi="Arial" w:cs="Arial"/>
          <w:sz w:val="20"/>
          <w:szCs w:val="24"/>
        </w:rPr>
        <w:t>may</w:t>
      </w:r>
      <w:r w:rsidR="003F56D2" w:rsidRPr="007134F4">
        <w:rPr>
          <w:rFonts w:ascii="Arial" w:hAnsi="Arial" w:cs="Arial"/>
          <w:sz w:val="20"/>
          <w:szCs w:val="24"/>
        </w:rPr>
        <w:t xml:space="preserve"> </w:t>
      </w:r>
      <w:r w:rsidRPr="007134F4">
        <w:rPr>
          <w:rFonts w:ascii="Arial" w:hAnsi="Arial" w:cs="Arial"/>
          <w:sz w:val="20"/>
          <w:szCs w:val="24"/>
        </w:rPr>
        <w:t xml:space="preserve">aim to encourage </w:t>
      </w:r>
      <w:r w:rsidR="003F56D2">
        <w:rPr>
          <w:rFonts w:ascii="Arial" w:hAnsi="Arial" w:cs="Arial"/>
          <w:sz w:val="20"/>
          <w:szCs w:val="24"/>
        </w:rPr>
        <w:t xml:space="preserve">denser </w:t>
      </w:r>
      <w:r w:rsidRPr="007134F4">
        <w:rPr>
          <w:rFonts w:ascii="Arial" w:hAnsi="Arial" w:cs="Arial"/>
          <w:sz w:val="20"/>
          <w:szCs w:val="24"/>
        </w:rPr>
        <w:t>development</w:t>
      </w:r>
      <w:r w:rsidR="003F56D2">
        <w:rPr>
          <w:rFonts w:ascii="Arial" w:hAnsi="Arial" w:cs="Arial"/>
          <w:sz w:val="20"/>
          <w:szCs w:val="24"/>
        </w:rPr>
        <w:t xml:space="preserve">. In this example, there is little </w:t>
      </w:r>
      <w:r w:rsidR="00636AF3" w:rsidRPr="007134F4">
        <w:rPr>
          <w:rFonts w:ascii="Arial" w:hAnsi="Arial" w:cs="Arial"/>
          <w:sz w:val="20"/>
          <w:szCs w:val="24"/>
        </w:rPr>
        <w:t>consideration of spillover impacts</w:t>
      </w:r>
      <w:r w:rsidR="003F56D2">
        <w:rPr>
          <w:rFonts w:ascii="Arial" w:hAnsi="Arial" w:cs="Arial"/>
          <w:sz w:val="20"/>
          <w:szCs w:val="24"/>
        </w:rPr>
        <w:t xml:space="preserve"> from their isolated decision</w:t>
      </w:r>
      <w:r w:rsidRPr="007134F4">
        <w:rPr>
          <w:rFonts w:ascii="Arial" w:hAnsi="Arial" w:cs="Arial"/>
          <w:sz w:val="20"/>
          <w:szCs w:val="24"/>
        </w:rPr>
        <w:t>.</w:t>
      </w:r>
    </w:p>
    <w:p w:rsidR="00F31D1E" w:rsidRPr="007134F4" w:rsidRDefault="00812A37" w:rsidP="00B3293E">
      <w:pPr>
        <w:rPr>
          <w:rFonts w:ascii="Arial" w:hAnsi="Arial" w:cs="Arial"/>
          <w:sz w:val="20"/>
          <w:szCs w:val="24"/>
        </w:rPr>
      </w:pPr>
      <w:r w:rsidRPr="007134F4">
        <w:rPr>
          <w:rFonts w:ascii="Arial" w:hAnsi="Arial" w:cs="Arial"/>
          <w:sz w:val="20"/>
          <w:szCs w:val="24"/>
        </w:rPr>
        <w:t xml:space="preserve">Governance reforms are, thus, crucial to boosting accessibility and coordinating action across sectors and </w:t>
      </w:r>
      <w:r w:rsidR="00B3293E" w:rsidRPr="007134F4">
        <w:rPr>
          <w:rFonts w:ascii="Arial" w:hAnsi="Arial" w:cs="Arial"/>
          <w:sz w:val="20"/>
          <w:szCs w:val="24"/>
        </w:rPr>
        <w:t>giving voice to</w:t>
      </w:r>
      <w:r w:rsidRPr="007134F4">
        <w:rPr>
          <w:rFonts w:ascii="Arial" w:hAnsi="Arial" w:cs="Arial"/>
          <w:sz w:val="20"/>
          <w:szCs w:val="24"/>
        </w:rPr>
        <w:t xml:space="preserve"> </w:t>
      </w:r>
      <w:r w:rsidR="00636AF3" w:rsidRPr="007134F4">
        <w:rPr>
          <w:rFonts w:ascii="Arial" w:hAnsi="Arial" w:cs="Arial"/>
          <w:sz w:val="20"/>
          <w:szCs w:val="24"/>
        </w:rPr>
        <w:t xml:space="preserve">the </w:t>
      </w:r>
      <w:r w:rsidRPr="007134F4">
        <w:rPr>
          <w:rFonts w:ascii="Arial" w:hAnsi="Arial" w:cs="Arial"/>
          <w:sz w:val="20"/>
          <w:szCs w:val="24"/>
        </w:rPr>
        <w:t xml:space="preserve">dispersed stakeholders. </w:t>
      </w:r>
      <w:r w:rsidR="00F31D1E" w:rsidRPr="007134F4">
        <w:rPr>
          <w:rFonts w:ascii="Arial" w:hAnsi="Arial" w:cs="Arial"/>
          <w:sz w:val="20"/>
          <w:szCs w:val="24"/>
        </w:rPr>
        <w:t>It will require new government regulations as well as fiscal space to implement changes to the i</w:t>
      </w:r>
      <w:r w:rsidRPr="007134F4">
        <w:rPr>
          <w:rFonts w:ascii="Arial" w:hAnsi="Arial" w:cs="Arial"/>
          <w:sz w:val="20"/>
          <w:szCs w:val="24"/>
        </w:rPr>
        <w:t xml:space="preserve">nstitutional </w:t>
      </w:r>
      <w:r w:rsidR="00F31D1E" w:rsidRPr="007134F4">
        <w:rPr>
          <w:rFonts w:ascii="Arial" w:hAnsi="Arial" w:cs="Arial"/>
          <w:sz w:val="20"/>
          <w:szCs w:val="24"/>
        </w:rPr>
        <w:t xml:space="preserve">setup, </w:t>
      </w:r>
      <w:r w:rsidRPr="007134F4">
        <w:rPr>
          <w:rFonts w:ascii="Arial" w:hAnsi="Arial" w:cs="Arial"/>
          <w:sz w:val="20"/>
          <w:szCs w:val="24"/>
        </w:rPr>
        <w:t>for example, constitution of small sized transportation analysis zones</w:t>
      </w:r>
      <w:r w:rsidR="00F31D1E" w:rsidRPr="007134F4">
        <w:rPr>
          <w:rFonts w:ascii="Arial" w:hAnsi="Arial" w:cs="Arial"/>
          <w:sz w:val="20"/>
          <w:szCs w:val="24"/>
        </w:rPr>
        <w:t>, establishment of consistent standards on financing and selection of projects</w:t>
      </w:r>
      <w:r w:rsidR="00636AF3" w:rsidRPr="007134F4">
        <w:rPr>
          <w:rFonts w:ascii="Arial" w:hAnsi="Arial" w:cs="Arial"/>
          <w:sz w:val="20"/>
          <w:szCs w:val="24"/>
        </w:rPr>
        <w:t xml:space="preserve"> as well as robust accessibility-based measures</w:t>
      </w:r>
      <w:r w:rsidR="00F31D1E" w:rsidRPr="007134F4">
        <w:rPr>
          <w:rFonts w:ascii="Arial" w:hAnsi="Arial" w:cs="Arial"/>
          <w:sz w:val="20"/>
          <w:szCs w:val="24"/>
        </w:rPr>
        <w:t>.</w:t>
      </w:r>
    </w:p>
    <w:p w:rsidR="00711CB8" w:rsidRPr="007134F4" w:rsidRDefault="00711CB8" w:rsidP="00711CB8">
      <w:pPr>
        <w:rPr>
          <w:rFonts w:ascii="Arial" w:hAnsi="Arial" w:cs="Arial"/>
          <w:sz w:val="20"/>
          <w:szCs w:val="24"/>
        </w:rPr>
      </w:pPr>
      <w:r w:rsidRPr="007134F4">
        <w:rPr>
          <w:rFonts w:ascii="Arial" w:hAnsi="Arial" w:cs="Arial"/>
          <w:sz w:val="20"/>
          <w:szCs w:val="24"/>
        </w:rPr>
        <w:t xml:space="preserve">This broader perspective to urban governance that takes into account the interplay between civic values as well as public and private interests demonstrates that </w:t>
      </w:r>
      <w:r w:rsidR="00F31D1E" w:rsidRPr="007134F4">
        <w:rPr>
          <w:rFonts w:ascii="Arial" w:hAnsi="Arial" w:cs="Arial"/>
          <w:sz w:val="20"/>
          <w:szCs w:val="24"/>
        </w:rPr>
        <w:t>a perfect model for urban governance may not exist</w:t>
      </w:r>
      <w:r w:rsidR="00636AF3" w:rsidRPr="007134F4">
        <w:rPr>
          <w:rFonts w:ascii="Arial" w:hAnsi="Arial" w:cs="Arial"/>
          <w:sz w:val="20"/>
          <w:szCs w:val="24"/>
        </w:rPr>
        <w:t xml:space="preserve"> in both advanced and devel</w:t>
      </w:r>
      <w:r w:rsidR="00555E24" w:rsidRPr="007134F4">
        <w:rPr>
          <w:rFonts w:ascii="Arial" w:hAnsi="Arial" w:cs="Arial"/>
          <w:sz w:val="20"/>
          <w:szCs w:val="24"/>
        </w:rPr>
        <w:t>o</w:t>
      </w:r>
      <w:r w:rsidR="00636AF3" w:rsidRPr="007134F4">
        <w:rPr>
          <w:rFonts w:ascii="Arial" w:hAnsi="Arial" w:cs="Arial"/>
          <w:sz w:val="20"/>
          <w:szCs w:val="24"/>
        </w:rPr>
        <w:t>ping-countries context. However,</w:t>
      </w:r>
      <w:r w:rsidR="00F31D1E" w:rsidRPr="007134F4">
        <w:rPr>
          <w:rFonts w:ascii="Arial" w:hAnsi="Arial" w:cs="Arial"/>
          <w:sz w:val="20"/>
          <w:szCs w:val="24"/>
        </w:rPr>
        <w:t xml:space="preserve"> developing a common framework to account for the diverse institutional processes that lead to urban access can help in analyzing the local context of accessibility issues and options for applicability of alternative approaches.</w:t>
      </w:r>
      <w:r w:rsidR="00F31D1E" w:rsidRPr="007134F4" w:rsidDel="006E3C57">
        <w:rPr>
          <w:rFonts w:ascii="Arial" w:hAnsi="Arial" w:cs="Arial"/>
          <w:sz w:val="20"/>
          <w:szCs w:val="24"/>
        </w:rPr>
        <w:t xml:space="preserve"> </w:t>
      </w:r>
      <w:bookmarkEnd w:id="0"/>
    </w:p>
    <w:sectPr w:rsidR="00711CB8" w:rsidRPr="0071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314"/>
    <w:multiLevelType w:val="hybridMultilevel"/>
    <w:tmpl w:val="05D64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A0B"/>
    <w:rsid w:val="0001340A"/>
    <w:rsid w:val="000A5BF4"/>
    <w:rsid w:val="00147257"/>
    <w:rsid w:val="00155C98"/>
    <w:rsid w:val="0017238D"/>
    <w:rsid w:val="001A01F3"/>
    <w:rsid w:val="001A1E22"/>
    <w:rsid w:val="001C5509"/>
    <w:rsid w:val="0029172D"/>
    <w:rsid w:val="002B135E"/>
    <w:rsid w:val="002D346E"/>
    <w:rsid w:val="0030445B"/>
    <w:rsid w:val="0035112A"/>
    <w:rsid w:val="00357630"/>
    <w:rsid w:val="00384138"/>
    <w:rsid w:val="003E5A92"/>
    <w:rsid w:val="003F56D2"/>
    <w:rsid w:val="0040668F"/>
    <w:rsid w:val="00481031"/>
    <w:rsid w:val="00487F51"/>
    <w:rsid w:val="004E58AB"/>
    <w:rsid w:val="00555E24"/>
    <w:rsid w:val="005E1D16"/>
    <w:rsid w:val="005E1D9B"/>
    <w:rsid w:val="00607227"/>
    <w:rsid w:val="00636AF3"/>
    <w:rsid w:val="006929C4"/>
    <w:rsid w:val="006C2A29"/>
    <w:rsid w:val="006D10B4"/>
    <w:rsid w:val="006E3C57"/>
    <w:rsid w:val="00703B65"/>
    <w:rsid w:val="00711CB8"/>
    <w:rsid w:val="007134F4"/>
    <w:rsid w:val="00804B5F"/>
    <w:rsid w:val="00812A37"/>
    <w:rsid w:val="008648CE"/>
    <w:rsid w:val="0088240A"/>
    <w:rsid w:val="008A7FEA"/>
    <w:rsid w:val="008D6159"/>
    <w:rsid w:val="009067EB"/>
    <w:rsid w:val="0095080C"/>
    <w:rsid w:val="00970FBC"/>
    <w:rsid w:val="009E0E80"/>
    <w:rsid w:val="009F5E17"/>
    <w:rsid w:val="00A02108"/>
    <w:rsid w:val="00A05500"/>
    <w:rsid w:val="00A57F74"/>
    <w:rsid w:val="00A67067"/>
    <w:rsid w:val="00A76AF0"/>
    <w:rsid w:val="00B059F2"/>
    <w:rsid w:val="00B06A0B"/>
    <w:rsid w:val="00B3293E"/>
    <w:rsid w:val="00B46285"/>
    <w:rsid w:val="00B554F6"/>
    <w:rsid w:val="00B64556"/>
    <w:rsid w:val="00B72EBA"/>
    <w:rsid w:val="00B80319"/>
    <w:rsid w:val="00BE4E1E"/>
    <w:rsid w:val="00C354B6"/>
    <w:rsid w:val="00C95363"/>
    <w:rsid w:val="00CA26D0"/>
    <w:rsid w:val="00CC0F7A"/>
    <w:rsid w:val="00CE3F19"/>
    <w:rsid w:val="00D715F6"/>
    <w:rsid w:val="00DF46E1"/>
    <w:rsid w:val="00E270B9"/>
    <w:rsid w:val="00E3099A"/>
    <w:rsid w:val="00E40FC0"/>
    <w:rsid w:val="00E46C1C"/>
    <w:rsid w:val="00E52D85"/>
    <w:rsid w:val="00E62A8B"/>
    <w:rsid w:val="00EB3AD8"/>
    <w:rsid w:val="00F23BF5"/>
    <w:rsid w:val="00F257F3"/>
    <w:rsid w:val="00F31D1E"/>
    <w:rsid w:val="00F458C6"/>
    <w:rsid w:val="00F548AA"/>
    <w:rsid w:val="00F7647C"/>
    <w:rsid w:val="00F9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16"/>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812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A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16"/>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812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A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6179">
      <w:bodyDiv w:val="1"/>
      <w:marLeft w:val="0"/>
      <w:marRight w:val="0"/>
      <w:marTop w:val="0"/>
      <w:marBottom w:val="0"/>
      <w:divBdr>
        <w:top w:val="none" w:sz="0" w:space="0" w:color="auto"/>
        <w:left w:val="none" w:sz="0" w:space="0" w:color="auto"/>
        <w:bottom w:val="none" w:sz="0" w:space="0" w:color="auto"/>
        <w:right w:val="none" w:sz="0" w:space="0" w:color="auto"/>
      </w:divBdr>
    </w:div>
    <w:div w:id="223834985">
      <w:bodyDiv w:val="1"/>
      <w:marLeft w:val="0"/>
      <w:marRight w:val="0"/>
      <w:marTop w:val="0"/>
      <w:marBottom w:val="0"/>
      <w:divBdr>
        <w:top w:val="none" w:sz="0" w:space="0" w:color="auto"/>
        <w:left w:val="none" w:sz="0" w:space="0" w:color="auto"/>
        <w:bottom w:val="none" w:sz="0" w:space="0" w:color="auto"/>
        <w:right w:val="none" w:sz="0" w:space="0" w:color="auto"/>
      </w:divBdr>
    </w:div>
    <w:div w:id="407112480">
      <w:bodyDiv w:val="1"/>
      <w:marLeft w:val="0"/>
      <w:marRight w:val="0"/>
      <w:marTop w:val="0"/>
      <w:marBottom w:val="0"/>
      <w:divBdr>
        <w:top w:val="none" w:sz="0" w:space="0" w:color="auto"/>
        <w:left w:val="none" w:sz="0" w:space="0" w:color="auto"/>
        <w:bottom w:val="none" w:sz="0" w:space="0" w:color="auto"/>
        <w:right w:val="none" w:sz="0" w:space="0" w:color="auto"/>
      </w:divBdr>
    </w:div>
    <w:div w:id="168246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Aatika Nagrah</dc:creator>
  <cp:lastModifiedBy>Adie Tomer</cp:lastModifiedBy>
  <cp:revision>4</cp:revision>
  <dcterms:created xsi:type="dcterms:W3CDTF">2016-04-18T14:55:00Z</dcterms:created>
  <dcterms:modified xsi:type="dcterms:W3CDTF">2016-05-02T20:37:00Z</dcterms:modified>
</cp:coreProperties>
</file>