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深圳市妇幼保健院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TEST004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赵六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S004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 xml:space="preserve"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GJB2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先天性重度或极重度感音神经性耳聋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c.35delG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c.176_191del16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c.235delC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c.299_300delAT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5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GJB3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后天高频感音神经性耳聋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c.538C&gt;T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c.547G&gt;A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7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SLC26A4</w:t>
              <w:br/>
              <w:t xml:space="preserve">(PDS)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大前庭水管综合征，先天或后天中度 以上感音神经性耳聋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c.281C&gt;T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8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c.589G&gt;A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IVS7-2A&gt;G (c.919-2A&gt;G)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c.1174A&gt;T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11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c.1226G&gt;A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c.1229C&gt;T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IVS15+5G&gt;A (c.1707+5G&gt;A)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c.1975G&gt;C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15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c.2027T&gt;A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c.2162C&gt;T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17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c.2168A&gt;G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18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MT-RNR1</w:t>
              <w:br/>
              <w:t xml:space="preserve">(12S rRNA)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药物敏感性耳聋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m.1494C&gt;T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m.1555A&gt;G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m.1095T&gt;C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 xml:space="preserve"/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="Times New Roman Regular" w:hAnsi="Times New Roman Regular" w:eastAsia="宋体" w:cs="Times New Roman Regular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>受检者未发现中国人群常见的耳聋基因突变。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100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0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 xml:space="preserve">2026-06-16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