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PETROLEUM RESEARCH CENTER</w:t>
      </w:r>
    </w:p>
    <w:p>
      <w:r>
        <w:br/>
        <w:br/>
      </w:r>
    </w:p>
    <w:p>
      <w:pPr>
        <w:pStyle w:val="Heading1"/>
        <w:jc w:val="center"/>
      </w:pPr>
      <w:r>
        <w:t>DRAFT FINAL REPORT</w:t>
        <w:br/>
        <w:t>SPECIAL CORE ANALYSIS (SCAL)</w:t>
        <w:br/>
        <w:br/>
        <w:t>WELL: PRC_Batch_Study_1774469699</w:t>
      </w:r>
    </w:p>
    <w:p>
      <w:r>
        <w:br w:type="page"/>
      </w:r>
    </w:p>
    <w:p>
      <w:pPr>
        <w:pStyle w:val="Heading2"/>
      </w:pPr>
      <w:r>
        <w:t>1. Electrical Properties (Archie's Parameters)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Tortuosity Factor (a)</w:t>
            </w:r>
          </w:p>
        </w:tc>
        <w:tc>
          <w:tcPr>
            <w:tcW w:type="dxa" w:w="2880"/>
          </w:tcPr>
          <w:p>
            <w:r>
              <w:t>Cementation Exponent (m)</w:t>
            </w:r>
          </w:p>
        </w:tc>
        <w:tc>
          <w:tcPr>
            <w:tcW w:type="dxa" w:w="2880"/>
          </w:tcPr>
          <w:p>
            <w:r>
              <w:t>Saturation Exponent (n)</w:t>
            </w:r>
          </w:p>
        </w:tc>
      </w:tr>
      <w:tr>
        <w:tc>
          <w:tcPr>
            <w:tcW w:type="dxa" w:w="2880"/>
          </w:tcPr>
          <w:p>
            <w:r>
              <w:t>4.3012</w:t>
            </w:r>
          </w:p>
        </w:tc>
        <w:tc>
          <w:tcPr>
            <w:tcW w:type="dxa" w:w="2880"/>
          </w:tcPr>
          <w:p>
            <w:r>
              <w:t>0.9635</w:t>
            </w:r>
          </w:p>
        </w:tc>
        <w:tc>
          <w:tcPr>
            <w:tcW w:type="dxa" w:w="2880"/>
          </w:tcPr>
          <w:p>
            <w:r>
              <w:t>1.7677</w:t>
            </w:r>
          </w:p>
        </w:tc>
      </w:tr>
    </w:tbl>
    <w:p>
      <w:r>
        <w:br/>
      </w:r>
    </w:p>
    <w:p>
      <w:pPr>
        <w:pStyle w:val="Heading2"/>
      </w:pPr>
      <w:r>
        <w:t>2. Capillary Pressure Saturation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Irreducible Water Saturation (Swi)</w:t>
            </w:r>
          </w:p>
        </w:tc>
        <w:tc>
          <w:tcPr>
            <w:tcW w:type="dxa" w:w="4320"/>
          </w:tcPr>
          <w:p>
            <w:r>
              <w:t>Residual Oil Saturation (Sor)</w:t>
            </w:r>
          </w:p>
        </w:tc>
      </w:tr>
      <w:tr>
        <w:tc>
          <w:tcPr>
            <w:tcW w:type="dxa" w:w="4320"/>
          </w:tcPr>
          <w:p>
            <w:r>
              <w:t>0.3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r>
        <w:br/>
      </w:r>
    </w:p>
    <w:p>
      <w:pPr>
        <w:pStyle w:val="Heading2"/>
      </w:pPr>
      <w:r>
        <w:t>3. Artificial Intelligence Reservoir Interpretation</w:t>
      </w:r>
    </w:p>
    <w:p>
      <w:pPr>
        <w:jc w:val="both"/>
      </w:pPr>
      <w:r>
        <w:t>AI Insights (Offline Mode): The calculated Cementation exponent (m) strongly suggests the presence of vuggy carbonate porosity systems within the analyzed depths. The residual oil saturation (Sor) indicates a highly favorable displacement efficiency, highlighting excellent potential for secondary waterflooding operations. The tortuosity metrics further support a complex pore-throat network typical of Libyan reservoirs.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