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b/>
          <w:bCs/>
          <w:color w:val="141D32"/>
          <w:sz w:val="30"/>
          <w:szCs w:val="30"/>
        </w:rPr>
        <w:t xml:space="preserve">PARECER DE DILIGÊNCIA COMPLEMENTAR (KYCC)</w:t>
      </w:r>
    </w:p>
    <w:p>
      <w:pPr>
        <w:pBdr>
          <w:bottom w:val="single" w:sz="12" w:space="4" w:color="92C024"/>
        </w:pBdr>
        <w:spacing w:after="120"/>
      </w:pPr>
      <w:r>
        <w:rPr>
          <w:color w:val="5A5F6B"/>
          <w:sz w:val="19"/>
          <w:szCs w:val="19"/>
        </w:rPr>
        <w:t xml:space="preserve">MEZAPRO Comércio, Serviços Digitais Ltda. (OTC Mercado Bitcoin) — versão final, alinhada às condicionantes comunicadas à Trace em 31/08/2026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906"/>
      </w:tblGrid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Cliente do Intex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Trace Finance — PSAV contratante do provimento de liquidez (análise principal em processo próprio)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Objeto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MEZAPRO COMÉRCIO, SERVIÇOS DIGITAIS LTDA., CNPJ 30.294.907/0001-71 —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cliente da Trace, não do Intex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Natureza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Diligência complementar de segundo grau (KYCC). Não é onboarding.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Nº do parecer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PAR-AVD-KYCC-20260831-001 — versão final; consolida as versões 4 (comunicada à Trace em 31/08/2026) e 5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Data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01/09/2026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Classificação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ALTO</w:t>
            </w:r>
            <w:r>
              <w:rPr>
                <w:color w:val="222222"/>
                <w:sz w:val="16"/>
                <w:szCs w:val="16"/>
              </w:rPr>
              <w:t xml:space="preserve"> (Intex)  |  origem Trace: MÉDIO ALTO (Dossiê de Compliance de 31/08/2026), que supera o MÉDIO 41/100 do Parecer KYB-20260824-004</w:t>
            </w:r>
          </w:p>
        </w:tc>
      </w:tr>
    </w:tbl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1. Enquadramento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A cadeia examinada tem três elos. O </w:t>
      </w:r>
      <w:r>
        <w:rPr>
          <w:b/>
          <w:bCs/>
          <w:color w:val="222222"/>
        </w:rPr>
        <w:t xml:space="preserve">Intex Bank</w:t>
      </w:r>
      <w:r>
        <w:rPr>
          <w:color w:val="222222"/>
        </w:rPr>
        <w:t xml:space="preserve"> atua como provedor de liquidez, por conta própria (art. 2º, XIV, e art. 38 da Res. BCB 520/2025). A </w:t>
      </w:r>
      <w:r>
        <w:rPr>
          <w:b/>
          <w:bCs/>
          <w:color w:val="222222"/>
        </w:rPr>
        <w:t xml:space="preserve">Trace Finance</w:t>
      </w:r>
      <w:r>
        <w:rPr>
          <w:color w:val="222222"/>
        </w:rPr>
        <w:t xml:space="preserve"> é a PSAV que contrata esse provimento: é o cliente do Intex, e sobre ela recai a análise principal, conduzida em processo próprio. A </w:t>
      </w:r>
      <w:r>
        <w:rPr>
          <w:b/>
          <w:bCs/>
          <w:color w:val="222222"/>
        </w:rPr>
        <w:t xml:space="preserve">MEZAPRO</w:t>
      </w:r>
      <w:r>
        <w:rPr>
          <w:color w:val="222222"/>
        </w:rPr>
        <w:t xml:space="preserve"> é cliente da Trace e </w:t>
      </w:r>
      <w:r>
        <w:rPr>
          <w:b/>
          <w:bCs/>
          <w:color w:val="222222"/>
        </w:rPr>
        <w:t xml:space="preserve">não é cliente do Intex</w:t>
      </w:r>
      <w:r>
        <w:rPr>
          <w:color w:val="222222"/>
        </w:rPr>
        <w:t xml:space="preserve">.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Este documento é camada adicional de verificação sobre a carteira de clientes da contraparte, decorrente da abordagem baseada em risco e do dever de diligência em cadeia. Não cria relação contratual com a MEZAPRO, não substitui nem convalida o KYB conduzido pela Trace, não transfere ao Intex o monitoramento daquele relacionamento e não é onboarding. Produz condicionantes oponíveis à Trace como requisito de continuidade do fluxo.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Esta versão consolida a versão 4, cujas conclusões e condicionantes foram comunicadas à Trace em </w:t>
      </w:r>
      <w:r>
        <w:rPr>
          <w:b/>
          <w:bCs/>
          <w:color w:val="222222"/>
        </w:rPr>
        <w:t xml:space="preserve">31/08/2026</w:t>
      </w:r>
      <w:r>
        <w:rPr>
          <w:color w:val="222222"/>
        </w:rPr>
        <w:t xml:space="preserve">, e incorpora o material encaminhado pela Trace na mesma data: relatório de transações Fireblocks de 01/07 a 28/08/2026, captura do e-Guardian com acesso em 11/07/2026, Wallet Control Attestation assinada em 27/08/2026, três relatórios de screening Chainalysis de 28/08/2026, organograma societário de 26/06/2026 e o fio de e-mails Trace × Mercado Bitcoin de 24/07 a 28/08/2026. </w:t>
      </w:r>
      <w:r>
        <w:rPr>
          <w:b/>
          <w:bCs/>
          <w:color w:val="222222"/>
        </w:rPr>
        <w:t xml:space="preserve">As condicionantes são as comunicadas em 31/08/2026</w:t>
      </w:r>
      <w:r>
        <w:rPr>
          <w:color w:val="222222"/>
        </w:rPr>
        <w:t xml:space="preserve">, com a mesma numeração.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2. Resumo das conclusões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>
        <w:tc>
          <w:tcPr>
            <w:tcW w:w="10206" w:type="dxa"/>
            <w:tcBorders>
              <w:top w:val="single" w:sz="18" w:space="0" w:color="92C024"/>
              <w:left w:val="single" w:sz="18" w:space="0" w:color="92C024"/>
              <w:bottom w:val="single" w:sz="4" w:space="0" w:color="C9CCD3"/>
              <w:right w:val="single" w:sz="4" w:space="0" w:color="C9CCD3"/>
            </w:tcBorders>
            <w:shd w:val="clear" w:color="auto" w:fill="F2F8E6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50"/>
            </w:pPr>
            <w:r>
              <w:rPr>
                <w:b/>
                <w:bCs/>
                <w:color w:val="141D32"/>
                <w:sz w:val="21"/>
                <w:szCs w:val="21"/>
              </w:rPr>
              <w:t xml:space="preserve">VEREDITO: NÃO OBJEÇÃO CONDICIONADA — FLUXO LIBERADO, CONDICIONANTES PÓS-LIBERAÇÃO</w:t>
            </w:r>
          </w:p>
          <w:p>
            <w:pPr>
              <w:spacing w:after="30"/>
              <w:jc w:val="both"/>
            </w:pPr>
            <w:r>
              <w:rPr>
                <w:color w:val="222222"/>
              </w:rPr>
              <w:t xml:space="preserve">O fluxo com origem ou destino final na MEZAPRO está </w:t>
            </w:r>
            <w:r>
              <w:rPr>
                <w:b/>
                <w:bCs/>
                <w:color w:val="222222"/>
              </w:rPr>
              <w:t xml:space="preserve">liberado a partir de 02/09/2026</w:t>
            </w:r>
            <w:r>
              <w:rPr>
                <w:color w:val="222222"/>
              </w:rPr>
              <w:t xml:space="preserve">, com as condicionantes S1, S2, S3 e S5 a cumprir após a liberação e a condicionante S6 com marco duro em </w:t>
            </w:r>
            <w:r>
              <w:rPr>
                <w:b/>
                <w:bCs/>
                <w:color w:val="222222"/>
              </w:rPr>
              <w:t xml:space="preserve">30/10/2026</w:t>
            </w:r>
            <w:r>
              <w:rPr>
                <w:color w:val="222222"/>
              </w:rPr>
              <w:t xml:space="preserve">.</w:t>
            </w:r>
          </w:p>
          <w:p>
            <w:pPr>
              <w:spacing w:after="30"/>
              <w:jc w:val="both"/>
            </w:pPr>
            <w:r>
              <w:rPr>
                <w:color w:val="222222"/>
              </w:rPr>
              <w:t xml:space="preserve">Risco residual </w:t>
            </w:r>
            <w:r>
              <w:rPr>
                <w:b/>
                <w:bCs/>
                <w:color w:val="222222"/>
              </w:rPr>
              <w:t xml:space="preserve">ALTO</w:t>
            </w:r>
            <w:r>
              <w:rPr>
                <w:color w:val="222222"/>
              </w:rPr>
              <w:t xml:space="preserve">, um degrau acima do MÉDIO ALTO da origem. </w:t>
            </w:r>
            <w:r>
              <w:rPr>
                <w:b/>
                <w:bCs/>
                <w:color w:val="222222"/>
              </w:rPr>
              <w:t xml:space="preserve">Não há indício de ilicitude.</w:t>
            </w:r>
          </w:p>
        </w:tc>
      </w:tr>
    </w:tbl>
    <w:p>
      <w:pPr>
        <w:spacing w:after="40" w:line="252" w:lineRule="auto"/>
      </w:pP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Liberamos o fluxo pela posição da MEZAPRO na cadeia, e não pelo saneamento dos achados.</w:t>
      </w:r>
      <w:r>
        <w:rPr>
          <w:color w:val="222222"/>
        </w:rPr>
        <w:t xml:space="preserve"> A companhia é cliente da Trace, não do Intex. O conhecimento do cliente em primeiro grau cabe à Trace. A verificação de segundo grau pode se completar depois do início do fluxo, com condicionantes, monitoramento e gatilhos (4.1).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 beneficiário final segue não identificado.</w:t>
      </w:r>
      <w:r>
        <w:rPr>
          <w:color w:val="222222"/>
        </w:rPr>
        <w:t xml:space="preserve"> O organograma de 26/06/2026, assinado pelo CEO do grupo, declara não haver pessoa natural com mais de 25% ou controle individual sobre a 2TM Holding Company Ltd. (Cayman). É declaração do próprio grupo, sem verificação independente, e faltam documentos de dois dos três diretores (A5 · S3).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 perímetro regulatório tem solução declarada, que transfere o problema para outra entidade.</w:t>
      </w:r>
      <w:r>
        <w:rPr>
          <w:color w:val="222222"/>
        </w:rPr>
        <w:t xml:space="preserve"> A intermediação para terceiros está sendo migrada para a Mercado Bitcoin Serviços Digitais Ltda., que protocolará o pedido de autorização. Nenhum protocolo foi apresentado (A6 · S6).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 volume está corroborado, mas os limites não foram recalibrados.</w:t>
      </w:r>
      <w:r>
        <w:rPr>
          <w:color w:val="222222"/>
        </w:rPr>
        <w:t xml:space="preserve"> A Fireblocks registra US$ 1,098 bi em entradas de USDC entre 01/07 e 28/08/2026. O cadastro segue com USD 3,6 mi/mês, um salto de cerca de 180 vezes sem revisão de limite ou alerta (A3 · S1).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evidência de execução dos controles não se sustenta.</w:t>
      </w:r>
      <w:r>
        <w:rPr>
          <w:color w:val="222222"/>
        </w:rPr>
        <w:t xml:space="preserve"> A triagem Chainalysis foi contornada em </w:t>
      </w:r>
      <w:r>
        <w:rPr>
          <w:b/>
          <w:bCs/>
          <w:color w:val="222222"/>
        </w:rPr>
        <w:t xml:space="preserve">976 de 976</w:t>
      </w:r>
      <w:r>
        <w:rPr>
          <w:color w:val="222222"/>
        </w:rPr>
        <w:t xml:space="preserve"> transações. O e-Guardian exibido é da MBPAGAMENTOS, outra pessoa jurídica, com regras de instituição de pagamento (A2, A7 · S2).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carteira de destino é atribuída a um VASP do grupo, e 98,65% do volume vem de um único endereço não identificado.</w:t>
      </w:r>
      <w:r>
        <w:rPr>
          <w:color w:val="222222"/>
        </w:rPr>
        <w:t xml:space="preserve"> A atestação cobre 3 dos 5 endereços do dossiê, e não há Travel Rule em operação (A8 a A10 · S5).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Risco de perfil ALTO e risco de conduta MÉDIO-ALTO.</w:t>
      </w:r>
      <w:r>
        <w:rPr>
          <w:color w:val="222222"/>
        </w:rPr>
        <w:t xml:space="preserve"> O perfil é o de mesa de balcão de alto volume em transição regulatória. A conduta reflete afirmações não sustentadas pela própria evidência juntada. </w:t>
      </w:r>
      <w:r>
        <w:rPr>
          <w:b/>
          <w:bCs/>
          <w:color w:val="222222"/>
        </w:rPr>
        <w:t xml:space="preserve">Não há sanção aplicada nem matéria penal</w:t>
      </w:r>
      <w:r>
        <w:rPr>
          <w:color w:val="222222"/>
        </w:rPr>
        <w:t xml:space="preserve">; a exposição política é por relação e não constitui impedimento.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3. Achados relevantes</w:t>
      </w:r>
    </w:p>
    <w:p>
      <w:pPr>
        <w:keepNext/>
        <w:spacing w:after="40"/>
      </w:pPr>
      <w:r>
        <w:rPr>
          <w:color w:val="5A5F6B"/>
          <w:sz w:val="15"/>
          <w:szCs w:val="15"/>
        </w:rPr>
        <w:t xml:space="preserve">Legenda: [D] indica dado extraído de documento; [E] indica estimativa deste parecer.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0"/>
        <w:gridCol w:w="6126"/>
        <w:gridCol w:w="1700"/>
      </w:tblGrid>
      <w:tr>
        <w:trPr>
          <w:cantSplit/>
          <w:tblHeader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Achado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Leitura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Encaminhamento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A7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Triagem de PLD contornada em 976 de 976 transações.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No relatório da Fireblocks, o provedor de triagem é a Chainalysis, mas os campos de pontuação e de categoria de risco estão vazios em todos os registros, todos com a mesma razão de contorno por falha de triagem. Em 59 dias e US$ 1,098 bi, nenhuma transação foi triada antes da liquidação. Ver 3.4.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A10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Concentração em contraparte única não identificada. [D]/[E]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Um único endereço externo responde por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98,65%</w:t>
            </w:r>
            <w:r>
              <w:rPr>
                <w:color w:val="222222"/>
                <w:sz w:val="16"/>
                <w:szCs w:val="16"/>
              </w:rPr>
              <w:t xml:space="preserve"> do volume: US$ 1,083 bi em 278 transações, ticket médio de US$ 3,9 mi e maior operação de US$ 18,0 mi. Dos 45 endereços de origem, 42 somam US$ 0,33 em 690 transações, padrão de poeira compatível com envenenamento de endereço. Ver 3.4.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Registro · G2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A8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Carteira de destino atribuída a VASP do grupo; atestação incompleta.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Os 976 recebimentos foram para um único endereço, cujo screening é emitido sob o identificador do VASP Mercado Bitcoin, como exchange e sem dados de exposição. A atestação cobre 3 endereços; o dossiê de 31/08/2026 lista 5. Data de 26/05/2026 no corpo e assinatura em 27/08/2026, por diretor de outra pessoa jurídica do grupo.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S5 · G1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A5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Beneficiário final não identificado nem qualificado.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peça de beneficiários finais é uma frase única, sem razão social, CNPJ, data, declarante ou assinatura. O organograma afere participação e controle individual, e deixa de fora controle compartilhado e acordo de acionistas. Não há cap table da 2TM Holding Company Ltd. Dos três diretores (Lucas Lopes, André Dinis Gouvinha e Daniel Benzecry Carneiro da Cunha), só um tem documento no acervo. Ver 3.2.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S3 · G3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A6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Perímetro regulatório: solução por migração, sem protocolo.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companhia sustenta atuar por conta própria, fora do art. 4º da Res. BCB 520/2025, e declara que a intermediação para terceiros migra para a Mercado Bitcoin Serviços Digitais Ltda. (CNPJ 18.213.434/0001-35), em auditoria externa. Não há protocolo de nenhuma das duas. A atestação de 27/08/2026 nomeia carteira dedicada a balcão. Ver 3.3.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S6 · G4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A2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Monitoramento em ambiente de outra pessoa jurídica.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captura do e-Guardian é contemporânea (11/07/2026) e mostra fila e SLA, mas é da instância MBPAGAMENTOS, da Mercado Bitcoin Instituição de Pagamento Ltda. (CNPJ 11.351.086/0001-13). As regras são de instituição de pagamento; nenhuma é parametrizada para ativos virtuais. Há duas regras com SLA excedido.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A3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Volume corroborado sem recalibragem de limites.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US$ 1,098 bi em 976 entradas de USDC entre 01/07 e 28/08/2026; média de US$ 22,4 mi nos 49 dias com movimento. O cadastro segue com USD 3,6 mi/mês e ticket de USD 54 mil (dossiê de 16/05/2025), base do fator de volume pontuado em 7/20. O relatório é unidirecional: só entradas, um ativo, um endereço.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S1 · G2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Capacidade financeira deteriorada.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Prejuízo de R$ 59,9 mi em 2025 e PL de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−R$ 65,1 mi</w:t>
            </w:r>
            <w:r>
              <w:rPr>
                <w:color w:val="222222"/>
                <w:sz w:val="16"/>
                <w:szCs w:val="16"/>
              </w:rPr>
              <w:t xml:space="preserve">, contra −R$ 17,6 mi no exercício anterior. Caixa de R$ 723,7 mil contra passivo circulante de R$ 52,5 mi; 45,6% do ativo em conta a receber de parte relacionada. DF não auditadas.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AC1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A4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Triagem de listas contraditória em três tempos.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dossiê de 16/05/2025 afirma triagem sem ocorrência; o parecer de 24/08/2026 registra que ela nunca fora feita e encontra dois achados; o dossiê de 31/08/2026 nada encontra. O processo da CVM é contra ex-diretor que renunciou em 28/04/2026, encerrado por Termo de Compromisso. A pergunta sobre PEP não alcançou os administradores.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Registro (processo principal)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A9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Ausência de Travel Rule.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Provedor, situação e identificador de Travel Rule vazios nos 976 registros; a pergunta da Trace de 24/07/2026 ficou sem resposta. A obrigação está em implantação gradual (art. 89 da Res. BCB 520/2025); a ausência hoje não é descumprimento.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Registro</w:t>
            </w:r>
          </w:p>
        </w:tc>
      </w:tr>
    </w:tbl>
    <w:p>
      <w:pPr>
        <w:spacing w:after="40"/>
      </w:pP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3.1 Fundamento da liberação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A decisão de liberar não decorre do saneamento dos achados. Decorre da posição da MEZAPRO na cadeia e das salvaguardas que a acompanham: condicionantes dirigidas à Trace, monitoramento do trilho pelo Intex e gatilhos de reavaliação imediata. </w:t>
      </w:r>
      <w:r>
        <w:rPr>
          <w:b/>
          <w:bCs/>
          <w:color w:val="222222"/>
        </w:rPr>
        <w:t xml:space="preserve">Liberar não é sanar</w:t>
      </w:r>
      <w:r>
        <w:rPr>
          <w:color w:val="222222"/>
        </w:rPr>
        <w:t xml:space="preserve">: os achados permanecem abertos e são reavaliados, no máximo, no marco de 30/10/2026.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3.2 Beneficiário final e cadeia de controle (A5)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Fatos.</w:t>
      </w:r>
      <w:r>
        <w:rPr>
          <w:color w:val="222222"/>
        </w:rPr>
        <w:t xml:space="preserve"> A 18ª alteração do contrato social (Jucesp 2.116.695/26-0, 28/04/2026) estabelece a 2TM Participações S.A. como sócia única. O organograma assinado pelo CEO do grupo em 26/06/2026 fecha a estrutura na 2TM Holding Company Ltd. A Cláusula 7ª, Parágrafo Primeiro, reserva à sócia, representada por Roberto Dagnoni e André Dinis Gouvinha, as decisões sobre linha de negócios, orçamento, tesouraria, partes relacionadas e endividamento.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Atenuação.</w:t>
      </w:r>
      <w:r>
        <w:rPr>
          <w:color w:val="222222"/>
        </w:rPr>
        <w:t xml:space="preserve"> O trecho brasileiro da cadeia é curto, documentado e verificável. O limiar de 25% é o aplicável para a aferição por participação.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Agravamento.</w:t>
      </w:r>
      <w:r>
        <w:rPr>
          <w:color w:val="222222"/>
        </w:rPr>
        <w:t xml:space="preserve"> A declaração é do próprio grupo, assinada por quem integra a estrutura examinada, e não enfrenta controle compartilhado, voto plural ou acordo de acionistas. Roberto Dagnoni renunciou à presidência da MEZAPRO, mas segue CEO do Grupo 2TM e assina o organograma. Daniel Benzecry Carneiro da Cunha é PEP por relação, de nível 2, e o fluxo de diligência reforçada não chegou a ser acionado. Registra-se, sem efeito de condicionante, que um limiar de aferição de </w:t>
      </w:r>
      <w:r>
        <w:rPr>
          <w:b/>
          <w:bCs/>
          <w:color w:val="222222"/>
        </w:rPr>
        <w:t xml:space="preserve">15%</w:t>
      </w:r>
      <w:r>
        <w:rPr>
          <w:color w:val="222222"/>
        </w:rPr>
        <w:t xml:space="preserve"> seria mais adequado a uma cadeia que termina em holding de quadro desconhecido.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3.3 Perímetro regulatório e migração para a Mercado Bitcoin (A6)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Fatos.</w:t>
      </w:r>
      <w:r>
        <w:rPr>
          <w:color w:val="222222"/>
        </w:rPr>
        <w:t xml:space="preserve"> A companhia declara atuar apenas por conta própria, em arbitragem, e não pretender autorização. O dossiê de 31/08/2026 e a correspondência de 23/08/2026 descrevem, porém, operações de balcão para indivíduos de alta renda e clientes institucionais, identificadas como as que se pretende realizar com a Trace. Os recibos da IN RFB 1.888 de jan, mar, mai, jul e set/2025 comprovam operação anterior a fev/2026; a série está incompleta entre out/2025 e abr/2026.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Atenuação.</w:t>
      </w:r>
      <w:r>
        <w:rPr>
          <w:color w:val="222222"/>
        </w:rPr>
        <w:t xml:space="preserve"> O próprio grupo qualifica o balcão como transitório e declara a migração para a Mercado Bitcoin Serviços Digitais Ltda., que protocolará o pedido. Por isso a S6 admite três saídas alternativas, e não só o protocolo.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Agravamento.</w:t>
      </w:r>
      <w:r>
        <w:rPr>
          <w:color w:val="222222"/>
        </w:rPr>
        <w:t xml:space="preserve"> Atuar por conta própria e intermediar para terceiros são regimes distintos, e é o fluxo de terceiros que este trilho lastreia. Não há protocolo apresentado por nenhuma das duas entidades. A continuidade depois de 30/10/2026 depende da entrada regular da outra entidade na cadeia, e não da MEZAPRO.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3.4 O que o relatório de transações revela (A7, A8 e A10)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Fatos.</w:t>
      </w:r>
      <w:r>
        <w:rPr>
          <w:color w:val="222222"/>
        </w:rPr>
        <w:t xml:space="preserve"> O relatório da Fireblocks foi enviado para comprovar volume e não foi editado para o pedido, o que aumenta seu valor probatório. Ele mostra: triagem contornada em todas as transações; um único endereço de destino, atribuído ao VASP Mercado Bitcoin; campos de Travel Rule vazios; e 278 transações relevantes de um mesmo endereço externo, com 98,65% do volume.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Atenuação.</w:t>
      </w:r>
      <w:r>
        <w:rPr>
          <w:color w:val="222222"/>
        </w:rPr>
        <w:t xml:space="preserve"> O volume declarado de US$ 20 a 25 mi por dia está corroborado. A atribuição do destino ao VASP é coerente com a correspondência de 23/08/2026, segundo a qual a corretora do grupo é o ponto central de consolidação e liquidação.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Agravamento.</w:t>
      </w:r>
      <w:r>
        <w:rPr>
          <w:color w:val="222222"/>
        </w:rPr>
        <w:t xml:space="preserve"> O risco baixo atribuído ao endereço de destino é vazio de conteúdo, porque endereço aninhado em prestador não gera exposição. A afirmação de monitoramento em cadeia com bloqueio proativo não se concilia com a triagem contornada. Uma mesa que se descreve como arbitragem entre múltiplas contrapartes opera, na prática observada, com uma só, não identificada em nenhuma peça.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4. Condicionantes</w:t>
      </w:r>
    </w:p>
    <w:p>
      <w:pPr>
        <w:spacing w:after="80" w:line="252" w:lineRule="auto"/>
        <w:jc w:val="both"/>
      </w:pPr>
      <w:r>
        <w:rPr>
          <w:color w:val="222222"/>
        </w:rPr>
        <w:t xml:space="preserve">As condicionantes são as comunicadas à Trace em 31/08/2026, com a mesma numeração. São cumulativas e dirigidas à Trace, na qualidade de cliente do Intex, e não à MEZAPRO.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4.1 Pós-liberação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S1 — Volume.</w:t>
      </w:r>
      <w:r>
        <w:rPr>
          <w:color w:val="222222"/>
        </w:rPr>
        <w:t xml:space="preserve"> Atualização cadastral com grandeza única, mensal e em moeda única, alinhada ao volume observado, com justificativa do aumento de cerca de 180 vezes, acompanhada do relatório de transações Fireblocks ou de relatório gerencial equivalente dos últimos três meses, e recalibragem formal dos limites e gatilhos de alerta do trilho. O relatório Fireblocks foi recebido em 31/08/2026; </w:t>
      </w:r>
      <w:r>
        <w:rPr>
          <w:b/>
          <w:bCs/>
          <w:color w:val="222222"/>
        </w:rPr>
        <w:t xml:space="preserve">a recalibragem segue pendente</w:t>
      </w:r>
      <w:r>
        <w:rPr>
          <w:color w:val="222222"/>
        </w:rPr>
        <w:t xml:space="preserve">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S2 — Evidência de execução.</w:t>
      </w:r>
      <w:r>
        <w:rPr>
          <w:color w:val="222222"/>
        </w:rPr>
        <w:t xml:space="preserve"> Capturas dos últimos 90 dias, contemporâneas e atribuíveis à própria MEZAPRO, do ambiente que efetivamente monitora os fluxos da companhia, com regras parametrizadas para ativos virtuais, fila e SLA de análise. A evidência recebida é de outra pessoa jurídica, e o relatório Fireblocks mostra a triagem contornada (A2, A7).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S3 — Beneficiário final.</w:t>
      </w:r>
      <w:r>
        <w:rPr>
          <w:color w:val="222222"/>
        </w:rPr>
        <w:t xml:space="preserve"> Declaração em forma oponível, com razão social, CNPJ, data, cargo e assinatura de representante legal, aferida também pelo critério de controle; cap table ou registro societário da 2TM Holding Company Ltd.; confirmação sobre acordo de acionistas, voto plural ou instrumento que confira controle sem capital; e documentos de identificação e qualificação dos dois diretores cujas peças não constam do acervo.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S5 — Carteiras.</w:t>
      </w:r>
      <w:r>
        <w:rPr>
          <w:color w:val="222222"/>
        </w:rPr>
        <w:t xml:space="preserve"> Confirmação de que a autodeclaração de cinco endereços é exaustiva para o trilho, com compromisso de comunicação prévia de novos endereços em PDF assinado pelo representante legal da Trace, e autodeclaração do endereço que será criado para intermediar as operações da MEZAPRO dentro da Trace.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4.2 Temporal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S6 — Enquadramento no art. 4º da Res. BCB 520/2025.</w:t>
      </w:r>
      <w:r>
        <w:rPr>
          <w:color w:val="222222"/>
        </w:rPr>
        <w:t xml:space="preserve"> Manifestação formal resolvida por uma de três vias, à escolha da Trace: (i) número e data do protocolo do pedido de autorização, com identificação da requerente; (ii) cronograma e evidência da descontinuação da operação de balcão para terceiros; ou (iii) parecer jurídico fundamentado que sustente a não incidência e enfrente a operação de balcão descrita no dossiê. </w:t>
      </w:r>
      <w:r>
        <w:rPr>
          <w:b/>
          <w:bCs/>
          <w:color w:val="222222"/>
        </w:rPr>
        <w:t xml:space="preserve">Não é obrigatória para o início das operações.</w:t>
      </w:r>
      <w:r>
        <w:rPr>
          <w:color w:val="222222"/>
        </w:rPr>
        <w:t xml:space="preserve"> Ausente qualquer das três vias em </w:t>
      </w:r>
      <w:r>
        <w:rPr>
          <w:b/>
          <w:bCs/>
          <w:color w:val="222222"/>
        </w:rPr>
        <w:t xml:space="preserve">30/10/2026</w:t>
      </w:r>
      <w:r>
        <w:rPr>
          <w:color w:val="222222"/>
        </w:rPr>
        <w:t xml:space="preserve">, a suspensão do fluxo é automática, independentemente das demais condicionantes. Se o BCB prorrogar o prazo, a data se desloca junto com ele.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4.3 Acompanhamento (sem efeito suspensivo, até 30/11/2026)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AC1.</w:t>
      </w:r>
      <w:r>
        <w:rPr>
          <w:color w:val="222222"/>
        </w:rPr>
        <w:t xml:space="preserve"> Demonstrações financeiras de 2026 e eventual parecer de auditoria independente, com acompanhamento trimestral do patrimônio líquido e da posição de caixa.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4.4 Gatilhos de reavaliação imediata</w:t>
      </w:r>
    </w:p>
    <w:p>
      <w:pPr>
        <w:spacing w:after="80" w:line="252" w:lineRule="auto"/>
        <w:jc w:val="both"/>
      </w:pPr>
      <w:r>
        <w:rPr>
          <w:color w:val="222222"/>
        </w:rPr>
        <w:t xml:space="preserve">Independentemente do estado das condicionantes, podem determinar a suspensão do fluxo: </w:t>
      </w:r>
      <w:r>
        <w:rPr>
          <w:b/>
          <w:bCs/>
          <w:color w:val="222222"/>
        </w:rPr>
        <w:t xml:space="preserve">G1.</w:t>
      </w:r>
      <w:r>
        <w:rPr>
          <w:color w:val="222222"/>
        </w:rPr>
        <w:t xml:space="preserve"> Transação com endereço não constante da autodeclaração confirmada em S5. </w:t>
      </w:r>
      <w:r>
        <w:rPr>
          <w:b/>
          <w:bCs/>
          <w:color w:val="222222"/>
        </w:rPr>
        <w:t xml:space="preserve">G2.</w:t>
      </w:r>
      <w:r>
        <w:rPr>
          <w:color w:val="222222"/>
        </w:rPr>
        <w:t xml:space="preserve"> Movimentação mensal superior ao dobro da grandeza reconciliada em S1. </w:t>
      </w:r>
      <w:r>
        <w:rPr>
          <w:b/>
          <w:bCs/>
          <w:color w:val="222222"/>
        </w:rPr>
        <w:t xml:space="preserve">G3.</w:t>
      </w:r>
      <w:r>
        <w:rPr>
          <w:color w:val="222222"/>
        </w:rPr>
        <w:t xml:space="preserve"> Correspondência confirmada em listas de sanções sobre a companhia, a cadeia de controle ou os administradores. </w:t>
      </w:r>
      <w:r>
        <w:rPr>
          <w:b/>
          <w:bCs/>
          <w:color w:val="222222"/>
        </w:rPr>
        <w:t xml:space="preserve">G4.</w:t>
      </w:r>
      <w:r>
        <w:rPr>
          <w:color w:val="222222"/>
        </w:rPr>
        <w:t xml:space="preserve"> Mudança de controle, de administração ou do arranjo de custódia, inclusive a saída ou substituição da Mercado Bitcoin Serviços Digitais Ltda. na custódia; indeferimento, arquivamento ou desistência do pedido de autorização da entidade que receber a carteira de clientes. Revisão integral em até </w:t>
      </w:r>
      <w:r>
        <w:rPr>
          <w:b/>
          <w:bCs/>
          <w:color w:val="222222"/>
        </w:rPr>
        <w:t xml:space="preserve">28/02/2027</w:t>
      </w:r>
      <w:r>
        <w:rPr>
          <w:color w:val="222222"/>
        </w:rPr>
        <w:t xml:space="preserve">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5. Limitações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Este parecer se baseia no acervo recebido até 31/08/2026. A captura do e-Guardian não identifica a MEZAPRO; a atribuição do ferramental decorre de declaração. O relatório Fireblocks abrange um único endereço, um único ativo e apenas entradas. A titularidade da 2TM Holding Company Ltd. não foi verificada em registro estrangeiro. As DF de 2025 não são auditadas, e a declaração de faturamento é assinada só pela contadora. O Dossiê de Compliance de 31/08/2026 registra o PL com sinal invertido. A série de recibos da IN RFB 1.888 está incompleta entre out/2025 e abr/2026. Os achados sobre o processo da Trace (A4 e a conclusão favorável emitida sem observar o contorno da triagem) servem ao processo principal. Não houve contato com a MEZAPRO. Este parecer não é opinião sobre a regularidade da MEZAPRO perante o BCB nem substitui a análise principal da Trace.</w:t>
      </w:r>
    </w:p>
    <w:p>
      <w:pPr>
        <w:keepNext/>
        <w:spacing w:before="200" w:after="160"/>
      </w:pPr>
      <w:r>
        <w:rPr>
          <w:color w:val="222222"/>
        </w:rPr>
        <w:t xml:space="preserve">São Paulo, 1º de setembro de 2026.</w:t>
      </w:r>
    </w:p>
    <w:p>
      <w:pPr>
        <w:keepNext/>
        <w:spacing w:after="20"/>
      </w:pPr>
      <w:r>
        <w:rPr>
          <w:color w:val="5A5F6B"/>
        </w:rPr>
        <w:t xml:space="preserve">______________________________________</w:t>
      </w:r>
    </w:p>
    <w:p>
      <w:pPr>
        <w:keepNext/>
        <w:spacing w:after="10"/>
      </w:pPr>
      <w:r>
        <w:rPr>
          <w:b/>
          <w:bCs/>
          <w:color w:val="141D32"/>
          <w:sz w:val="20"/>
          <w:szCs w:val="20"/>
        </w:rPr>
        <w:t xml:space="preserve">Alexandre Ferrari</w:t>
      </w:r>
    </w:p>
    <w:p>
      <w:pPr>
        <w:keepNext/>
        <w:spacing w:after="10"/>
      </w:pPr>
      <w:r>
        <w:rPr>
          <w:color w:val="5A5F6B"/>
        </w:rPr>
        <w:t xml:space="preserve">Coordenador de Ativos Virtuais e Compliance Digital</w:t>
      </w:r>
    </w:p>
    <w:p>
      <w:pPr>
        <w:spacing w:after="0"/>
      </w:pPr>
      <w:r>
        <w:rPr>
          <w:color w:val="5A5F6B"/>
        </w:rPr>
        <w:t xml:space="preserve">Intex Bank — Banco de Câmbio S.A.</w:t>
      </w:r>
    </w:p>
    <w:sectPr w:rsidR="00DA348B">
      <w:headerReference w:type="default" r:id="rId7"/>
      <w:footerReference w:type="default" r:id="rId8"/>
      <w:pgSz w:w="11906" w:h="16838"/>
      <w:pgMar w:top="1250" w:right="850" w:bottom="1050" w:left="85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3D18" w14:textId="77777777" w:rsidR="00F66346" w:rsidRDefault="00F66346">
      <w:r>
        <w:separator/>
      </w:r>
    </w:p>
  </w:endnote>
  <w:endnote w:type="continuationSeparator" w:id="0">
    <w:p w14:paraId="1F71E588" w14:textId="77777777" w:rsidR="00F66346" w:rsidRDefault="00F6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6125" w14:textId="77777777" w:rsidR="00F66346" w:rsidRDefault="00F66346">
      <w:r>
        <w:separator/>
      </w:r>
    </w:p>
  </w:footnote>
  <w:footnote w:type="continuationSeparator" w:id="0">
    <w:p w14:paraId="57EA3AAF" w14:textId="77777777" w:rsidR="00F66346" w:rsidRDefault="00F66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4" w:color="92C024"/>
      </w:pBdr>
      <w:tabs>
        <w:tab w:val="right" w:pos="10206"/>
      </w:tabs>
    </w:pPr>
    <w:r>
      <w:rPr>
        <w:noProof/>
      </w:rPr>
      <w:drawing>
        <wp:inline distT="0" distB="0" distL="0" distR="0">
          <wp:extent cx="1440000" cy="179368"/>
          <wp:effectExtent l="0" t="0" r="0" b="0"/>
          <wp:docPr id="101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tex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440000" cy="179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43A8"/>
    <w:multiLevelType w:val="hybridMultilevel"/>
    <w:tmpl w:val="946C9CA0"/>
    <w:lvl w:ilvl="0" w:tplc="4058CA56">
      <w:start w:val="1"/>
      <w:numFmt w:val="bullet"/>
      <w:lvlText w:val="▪"/>
      <w:lvlJc w:val="left"/>
      <w:pPr>
        <w:ind w:left="300" w:hanging="220"/>
      </w:pPr>
      <w:rPr>
        <w:color w:val="92C024"/>
      </w:rPr>
    </w:lvl>
    <w:lvl w:ilvl="1" w:tplc="C1B01976">
      <w:numFmt w:val="decimal"/>
      <w:lvlText w:val=""/>
      <w:lvlJc w:val="left"/>
    </w:lvl>
    <w:lvl w:ilvl="2" w:tplc="429EF4E4">
      <w:numFmt w:val="decimal"/>
      <w:lvlText w:val=""/>
      <w:lvlJc w:val="left"/>
    </w:lvl>
    <w:lvl w:ilvl="3" w:tplc="6922A1C4">
      <w:numFmt w:val="decimal"/>
      <w:lvlText w:val=""/>
      <w:lvlJc w:val="left"/>
    </w:lvl>
    <w:lvl w:ilvl="4" w:tplc="5B9846EC">
      <w:numFmt w:val="decimal"/>
      <w:lvlText w:val=""/>
      <w:lvlJc w:val="left"/>
    </w:lvl>
    <w:lvl w:ilvl="5" w:tplc="439E6F98">
      <w:numFmt w:val="decimal"/>
      <w:lvlText w:val=""/>
      <w:lvlJc w:val="left"/>
    </w:lvl>
    <w:lvl w:ilvl="6" w:tplc="BCB4E006">
      <w:numFmt w:val="decimal"/>
      <w:lvlText w:val=""/>
      <w:lvlJc w:val="left"/>
    </w:lvl>
    <w:lvl w:ilvl="7" w:tplc="DBA84740">
      <w:numFmt w:val="decimal"/>
      <w:lvlText w:val=""/>
      <w:lvlJc w:val="left"/>
    </w:lvl>
    <w:lvl w:ilvl="8" w:tplc="EE70E49A">
      <w:numFmt w:val="decimal"/>
      <w:lvlText w:val=""/>
      <w:lvlJc w:val="left"/>
    </w:lvl>
  </w:abstractNum>
  <w:abstractNum w:abstractNumId="1" w15:restartNumberingAfterBreak="0">
    <w:nsid w:val="7FF6567F"/>
    <w:multiLevelType w:val="hybridMultilevel"/>
    <w:tmpl w:val="D9BCADF6"/>
    <w:lvl w:ilvl="0" w:tplc="47E203CE">
      <w:start w:val="1"/>
      <w:numFmt w:val="bullet"/>
      <w:lvlText w:val="●"/>
      <w:lvlJc w:val="left"/>
      <w:pPr>
        <w:ind w:left="720" w:hanging="360"/>
      </w:pPr>
    </w:lvl>
    <w:lvl w:ilvl="1" w:tplc="4C06F020">
      <w:start w:val="1"/>
      <w:numFmt w:val="bullet"/>
      <w:lvlText w:val="○"/>
      <w:lvlJc w:val="left"/>
      <w:pPr>
        <w:ind w:left="1440" w:hanging="360"/>
      </w:pPr>
    </w:lvl>
    <w:lvl w:ilvl="2" w:tplc="7A22C972">
      <w:start w:val="1"/>
      <w:numFmt w:val="bullet"/>
      <w:lvlText w:val="■"/>
      <w:lvlJc w:val="left"/>
      <w:pPr>
        <w:ind w:left="2160" w:hanging="360"/>
      </w:pPr>
    </w:lvl>
    <w:lvl w:ilvl="3" w:tplc="8D3E28CE">
      <w:start w:val="1"/>
      <w:numFmt w:val="bullet"/>
      <w:lvlText w:val="●"/>
      <w:lvlJc w:val="left"/>
      <w:pPr>
        <w:ind w:left="2880" w:hanging="360"/>
      </w:pPr>
    </w:lvl>
    <w:lvl w:ilvl="4" w:tplc="EF6A5490">
      <w:start w:val="1"/>
      <w:numFmt w:val="bullet"/>
      <w:lvlText w:val="○"/>
      <w:lvlJc w:val="left"/>
      <w:pPr>
        <w:ind w:left="3600" w:hanging="360"/>
      </w:pPr>
    </w:lvl>
    <w:lvl w:ilvl="5" w:tplc="8B5842C4">
      <w:start w:val="1"/>
      <w:numFmt w:val="bullet"/>
      <w:lvlText w:val="■"/>
      <w:lvlJc w:val="left"/>
      <w:pPr>
        <w:ind w:left="4320" w:hanging="360"/>
      </w:pPr>
    </w:lvl>
    <w:lvl w:ilvl="6" w:tplc="D988C90A">
      <w:start w:val="1"/>
      <w:numFmt w:val="bullet"/>
      <w:lvlText w:val="●"/>
      <w:lvlJc w:val="left"/>
      <w:pPr>
        <w:ind w:left="5040" w:hanging="360"/>
      </w:pPr>
    </w:lvl>
    <w:lvl w:ilvl="7" w:tplc="0F1AD3B2">
      <w:start w:val="1"/>
      <w:numFmt w:val="bullet"/>
      <w:lvlText w:val="●"/>
      <w:lvlJc w:val="left"/>
      <w:pPr>
        <w:ind w:left="5760" w:hanging="360"/>
      </w:pPr>
    </w:lvl>
    <w:lvl w:ilvl="8" w:tplc="D9123DB2">
      <w:start w:val="1"/>
      <w:numFmt w:val="bullet"/>
      <w:lvlText w:val="●"/>
      <w:lvlJc w:val="left"/>
      <w:pPr>
        <w:ind w:left="6480" w:hanging="360"/>
      </w:pPr>
    </w:lvl>
  </w:abstractNum>
  <w:num w:numId="1" w16cid:durableId="192616861">
    <w:abstractNumId w:val="1"/>
    <w:lvlOverride w:ilvl="0">
      <w:startOverride w:val="1"/>
    </w:lvlOverride>
  </w:num>
  <w:num w:numId="2" w16cid:durableId="184443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8B"/>
    <w:rsid w:val="001545B2"/>
    <w:rsid w:val="008C3F0A"/>
    <w:rsid w:val="00C54574"/>
    <w:rsid w:val="00DA348B"/>
    <w:rsid w:val="00F6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4FFE"/>
  <w15:docId w15:val="{6B2C1B1F-6F25-4F4F-99BE-305CCD1D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_intex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2838</Words>
  <Characters>15328</Characters>
  <Application>Microsoft Office Word</Application>
  <DocSecurity>0</DocSecurity>
  <Lines>127</Lines>
  <Paragraphs>36</Paragraphs>
  <ScaleCrop>false</ScaleCrop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Intex Bank</dc:creator>
  <cp:lastModifiedBy>Intex Bank</cp:lastModifiedBy>
  <cp:revision>2</cp:revision>
  <dcterms:created xsi:type="dcterms:W3CDTF">2026-09-24T20:10:00Z</dcterms:created>
  <dcterms:modified xsi:type="dcterms:W3CDTF">2026-09-24T20:10:00Z</dcterms:modified>
</cp:coreProperties>
</file>