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b/>
          <w:bCs/>
          <w:color w:val="141D32"/>
          <w:sz w:val="30"/>
          <w:szCs w:val="30"/>
        </w:rPr>
        <w:t xml:space="preserve">COMPLEMENTAÇÃO AO PARECER DE DILIGÊNCIA COMPLEMENTAR (KYCC)</w:t>
      </w:r>
    </w:p>
    <w:p>
      <w:pPr>
        <w:pBdr>
          <w:bottom w:val="single" w:sz="12" w:space="4" w:color="92C024"/>
        </w:pBdr>
        <w:spacing w:after="120"/>
      </w:pPr>
      <w:r>
        <w:rPr>
          <w:color w:val="5A5F6B"/>
          <w:sz w:val="19"/>
          <w:szCs w:val="19"/>
        </w:rPr>
        <w:t xml:space="preserve">Parfin Digital Assets Ltda. — continuidade do Parecer PAR-AVD-KYCC-20260827-001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906"/>
      </w:tblGrid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Objeto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PARFIN DIGITAL ASSETS LTDA., CNPJ 39.806.266/0001-61 —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cliente da Trace Finance, não do Intex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Nº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PAR-AVD-KYCC-20261014-002 — complementa o Parecer PAR-AVD-KYCC-20260827-001, de 27/08/2026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Data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14/10/2026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Classificação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MÉDIO-ALTO</w:t>
            </w:r>
            <w:r>
              <w:rPr>
                <w:color w:val="222222"/>
                <w:sz w:val="16"/>
                <w:szCs w:val="16"/>
              </w:rPr>
              <w:t xml:space="preserve"> (mantida)</w:t>
            </w:r>
          </w:p>
        </w:tc>
      </w:tr>
    </w:tbl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1. Objeto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Esta complementação dá continuidade ao Parecer PAR-AVD-KYCC-20260827-001 e registra a avaliação da resposta da Trace Finance às solicitações </w:t>
      </w:r>
      <w:r>
        <w:rPr>
          <w:b/>
          <w:bCs/>
          <w:color w:val="222222"/>
        </w:rPr>
        <w:t xml:space="preserve">A2</w:t>
      </w:r>
      <w:r>
        <w:rPr>
          <w:color w:val="222222"/>
        </w:rPr>
        <w:t xml:space="preserve"> e </w:t>
      </w:r>
      <w:r>
        <w:rPr>
          <w:b/>
          <w:bCs/>
          <w:color w:val="222222"/>
        </w:rPr>
        <w:t xml:space="preserve">A3</w:t>
      </w:r>
      <w:r>
        <w:rPr>
          <w:color w:val="222222"/>
        </w:rPr>
        <w:t xml:space="preserve">, comunicadas com efeito suspensivo e prazo em 30/09/2026. Permanecem o enquadramento, os achados e os limites do parecer original, que deve ser lido em conjunto com este documento.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2. Atendimento das solicitações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3906"/>
        <w:gridCol w:w="13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w="4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Apresentado</w:t>
            </w:r>
          </w:p>
        </w:tc>
        <w:tc>
          <w:tcPr>
            <w:tcW w:w="3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Avaliação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A2</w:t>
            </w:r>
          </w:p>
        </w:tc>
        <w:tc>
          <w:tcPr>
            <w:tcW w:w="4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Trace informa que a Parfin utilizou cerca de 30% do limite operacional por ela aprovado no período e que o limite vigente foi mantido, com atualização cadastral e repasse ao Intex caso haja necessidade de ajuste.</w:t>
            </w:r>
          </w:p>
        </w:tc>
        <w:tc>
          <w:tcPr>
            <w:tcW w:w="3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limite não foi superado, hipótese que motivaria a recalibragem. O volume do KPI Report refere-se à operação total da Parfin, e não ao fluxo pela Trace.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ATENDIDA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A3</w:t>
            </w:r>
          </w:p>
        </w:tc>
        <w:tc>
          <w:tcPr>
            <w:tcW w:w="4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Trace informa que o pedido de autorização como PSAV está em fase final de preparação, com protocolo previsto dentro do prazo regulatório, e que encaminhará o comprovante tão logo efetuado.</w:t>
            </w:r>
          </w:p>
        </w:tc>
        <w:tc>
          <w:tcPr>
            <w:tcW w:w="3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Suficiente diante da proximidade do marco de 30/10/2026, cuja falta produz suspensão automática.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ATENDIDA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3. Decisão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Mantém-se a continuidade do fluxo atribuível à Parfin, </w:t>
      </w:r>
      <w:r>
        <w:rPr>
          <w:b/>
          <w:bCs/>
          <w:color w:val="222222"/>
        </w:rPr>
        <w:t xml:space="preserve">sem efeito suspensivo</w:t>
      </w:r>
      <w:r>
        <w:rPr>
          <w:color w:val="222222"/>
        </w:rPr>
        <w:t xml:space="preserve">. A classificação </w:t>
      </w:r>
      <w:r>
        <w:rPr>
          <w:b/>
          <w:bCs/>
          <w:color w:val="222222"/>
        </w:rPr>
        <w:t xml:space="preserve">MÉDIO-ALTO</w:t>
      </w:r>
      <w:r>
        <w:rPr>
          <w:color w:val="222222"/>
        </w:rPr>
        <w:t xml:space="preserve"> permanece. Seguem em vigor o comprovante de protocolo do pedido de autorização até </w:t>
      </w:r>
      <w:r>
        <w:rPr>
          <w:b/>
          <w:bCs/>
          <w:color w:val="222222"/>
        </w:rPr>
        <w:t xml:space="preserve">30/10/2026</w:t>
      </w:r>
      <w:r>
        <w:rPr>
          <w:color w:val="222222"/>
        </w:rPr>
        <w:t xml:space="preserve">, sob pena de suspensão automática, os itens de acompanhamento com prazo em </w:t>
      </w:r>
      <w:r>
        <w:rPr>
          <w:b/>
          <w:bCs/>
          <w:color w:val="222222"/>
        </w:rPr>
        <w:t xml:space="preserve">30/11/2026</w:t>
      </w:r>
      <w:r>
        <w:rPr>
          <w:color w:val="222222"/>
        </w:rPr>
        <w:t xml:space="preserve">, o rescreening mensal das carteiras da whitelist, os gatilhos do parecer original e a revisão integral em </w:t>
      </w:r>
      <w:r>
        <w:rPr>
          <w:b/>
          <w:bCs/>
          <w:color w:val="222222"/>
        </w:rPr>
        <w:t xml:space="preserve">27/02/2027</w:t>
      </w:r>
      <w:r>
        <w:rPr>
          <w:color w:val="222222"/>
        </w:rPr>
        <w:t xml:space="preserve">.</w:t>
      </w:r>
    </w:p>
    <w:p>
      <w:pPr>
        <w:keepNext/>
        <w:spacing w:before="200" w:after="160"/>
      </w:pPr>
      <w:r>
        <w:rPr>
          <w:color w:val="222222"/>
        </w:rPr>
        <w:t xml:space="preserve">São Paulo, 14 de outubro de 2026.</w:t>
      </w:r>
    </w:p>
    <w:p>
      <w:pPr>
        <w:keepNext/>
        <w:spacing w:after="20"/>
      </w:pPr>
      <w:r>
        <w:rPr>
          <w:color w:val="5A5F6B"/>
        </w:rPr>
        <w:t xml:space="preserve">______________________________________</w:t>
      </w:r>
    </w:p>
    <w:p>
      <w:pPr>
        <w:keepNext/>
        <w:spacing w:after="10"/>
      </w:pPr>
      <w:r>
        <w:rPr>
          <w:b/>
          <w:bCs/>
          <w:color w:val="141D32"/>
          <w:sz w:val="20"/>
          <w:szCs w:val="20"/>
        </w:rPr>
        <w:t xml:space="preserve">Alexandre Ferrari</w:t>
      </w:r>
    </w:p>
    <w:p>
      <w:pPr>
        <w:keepNext/>
        <w:spacing w:after="10"/>
      </w:pPr>
      <w:r>
        <w:rPr>
          <w:color w:val="5A5F6B"/>
        </w:rPr>
        <w:t xml:space="preserve">Coordenador de Ativos Virtuais e Compliance Digital</w:t>
      </w:r>
    </w:p>
    <w:p>
      <w:pPr>
        <w:spacing w:after="0"/>
      </w:pPr>
      <w:r>
        <w:rPr>
          <w:color w:val="5A5F6B"/>
        </w:rPr>
        <w:t xml:space="preserve">Intex Bank — Banco de Câmbio S.A.</w:t>
      </w:r>
    </w:p>
    <w:sectPr w:rsidR="00DA348B">
      <w:headerReference w:type="default" r:id="rId7"/>
      <w:footerReference w:type="default" r:id="rId8"/>
      <w:pgSz w:w="11906" w:h="16838"/>
      <w:pgMar w:top="1250" w:right="850" w:bottom="1050" w:left="85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D18" w14:textId="77777777" w:rsidR="00F66346" w:rsidRDefault="00F66346">
      <w:r>
        <w:separator/>
      </w:r>
    </w:p>
  </w:endnote>
  <w:endnote w:type="continuationSeparator" w:id="0">
    <w:p w14:paraId="1F71E588" w14:textId="77777777" w:rsidR="00F66346" w:rsidRDefault="00F6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6125" w14:textId="77777777" w:rsidR="00F66346" w:rsidRDefault="00F66346">
      <w:r>
        <w:separator/>
      </w:r>
    </w:p>
  </w:footnote>
  <w:footnote w:type="continuationSeparator" w:id="0">
    <w:p w14:paraId="57EA3AAF" w14:textId="77777777" w:rsidR="00F66346" w:rsidRDefault="00F66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4" w:color="92C024"/>
      </w:pBdr>
      <w:tabs>
        <w:tab w:val="right" w:pos="10206"/>
      </w:tabs>
    </w:pPr>
    <w:r>
      <w:rPr>
        <w:noProof/>
      </w:rPr>
      <w:drawing>
        <wp:inline distT="0" distB="0" distL="0" distR="0">
          <wp:extent cx="1440000" cy="179368"/>
          <wp:effectExtent l="0" t="0" r="0" b="0"/>
          <wp:docPr id="10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tex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40000" cy="179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43A8"/>
    <w:multiLevelType w:val="hybridMultilevel"/>
    <w:tmpl w:val="946C9CA0"/>
    <w:lvl w:ilvl="0" w:tplc="4058CA56">
      <w:start w:val="1"/>
      <w:numFmt w:val="bullet"/>
      <w:lvlText w:val="▪"/>
      <w:lvlJc w:val="left"/>
      <w:pPr>
        <w:ind w:left="300" w:hanging="220"/>
      </w:pPr>
      <w:rPr>
        <w:color w:val="92C024"/>
      </w:rPr>
    </w:lvl>
    <w:lvl w:ilvl="1" w:tplc="C1B01976">
      <w:numFmt w:val="decimal"/>
      <w:lvlText w:val=""/>
      <w:lvlJc w:val="left"/>
    </w:lvl>
    <w:lvl w:ilvl="2" w:tplc="429EF4E4">
      <w:numFmt w:val="decimal"/>
      <w:lvlText w:val=""/>
      <w:lvlJc w:val="left"/>
    </w:lvl>
    <w:lvl w:ilvl="3" w:tplc="6922A1C4">
      <w:numFmt w:val="decimal"/>
      <w:lvlText w:val=""/>
      <w:lvlJc w:val="left"/>
    </w:lvl>
    <w:lvl w:ilvl="4" w:tplc="5B9846EC">
      <w:numFmt w:val="decimal"/>
      <w:lvlText w:val=""/>
      <w:lvlJc w:val="left"/>
    </w:lvl>
    <w:lvl w:ilvl="5" w:tplc="439E6F98">
      <w:numFmt w:val="decimal"/>
      <w:lvlText w:val=""/>
      <w:lvlJc w:val="left"/>
    </w:lvl>
    <w:lvl w:ilvl="6" w:tplc="BCB4E006">
      <w:numFmt w:val="decimal"/>
      <w:lvlText w:val=""/>
      <w:lvlJc w:val="left"/>
    </w:lvl>
    <w:lvl w:ilvl="7" w:tplc="DBA84740">
      <w:numFmt w:val="decimal"/>
      <w:lvlText w:val=""/>
      <w:lvlJc w:val="left"/>
    </w:lvl>
    <w:lvl w:ilvl="8" w:tplc="EE70E49A">
      <w:numFmt w:val="decimal"/>
      <w:lvlText w:val=""/>
      <w:lvlJc w:val="left"/>
    </w:lvl>
  </w:abstractNum>
  <w:abstractNum w:abstractNumId="1" w15:restartNumberingAfterBreak="0">
    <w:nsid w:val="7FF6567F"/>
    <w:multiLevelType w:val="hybridMultilevel"/>
    <w:tmpl w:val="D9BCADF6"/>
    <w:lvl w:ilvl="0" w:tplc="47E203CE">
      <w:start w:val="1"/>
      <w:numFmt w:val="bullet"/>
      <w:lvlText w:val="●"/>
      <w:lvlJc w:val="left"/>
      <w:pPr>
        <w:ind w:left="720" w:hanging="360"/>
      </w:pPr>
    </w:lvl>
    <w:lvl w:ilvl="1" w:tplc="4C06F020">
      <w:start w:val="1"/>
      <w:numFmt w:val="bullet"/>
      <w:lvlText w:val="○"/>
      <w:lvlJc w:val="left"/>
      <w:pPr>
        <w:ind w:left="1440" w:hanging="360"/>
      </w:pPr>
    </w:lvl>
    <w:lvl w:ilvl="2" w:tplc="7A22C972">
      <w:start w:val="1"/>
      <w:numFmt w:val="bullet"/>
      <w:lvlText w:val="■"/>
      <w:lvlJc w:val="left"/>
      <w:pPr>
        <w:ind w:left="2160" w:hanging="360"/>
      </w:pPr>
    </w:lvl>
    <w:lvl w:ilvl="3" w:tplc="8D3E28CE">
      <w:start w:val="1"/>
      <w:numFmt w:val="bullet"/>
      <w:lvlText w:val="●"/>
      <w:lvlJc w:val="left"/>
      <w:pPr>
        <w:ind w:left="2880" w:hanging="360"/>
      </w:pPr>
    </w:lvl>
    <w:lvl w:ilvl="4" w:tplc="EF6A5490">
      <w:start w:val="1"/>
      <w:numFmt w:val="bullet"/>
      <w:lvlText w:val="○"/>
      <w:lvlJc w:val="left"/>
      <w:pPr>
        <w:ind w:left="3600" w:hanging="360"/>
      </w:pPr>
    </w:lvl>
    <w:lvl w:ilvl="5" w:tplc="8B5842C4">
      <w:start w:val="1"/>
      <w:numFmt w:val="bullet"/>
      <w:lvlText w:val="■"/>
      <w:lvlJc w:val="left"/>
      <w:pPr>
        <w:ind w:left="4320" w:hanging="360"/>
      </w:pPr>
    </w:lvl>
    <w:lvl w:ilvl="6" w:tplc="D988C90A">
      <w:start w:val="1"/>
      <w:numFmt w:val="bullet"/>
      <w:lvlText w:val="●"/>
      <w:lvlJc w:val="left"/>
      <w:pPr>
        <w:ind w:left="5040" w:hanging="360"/>
      </w:pPr>
    </w:lvl>
    <w:lvl w:ilvl="7" w:tplc="0F1AD3B2">
      <w:start w:val="1"/>
      <w:numFmt w:val="bullet"/>
      <w:lvlText w:val="●"/>
      <w:lvlJc w:val="left"/>
      <w:pPr>
        <w:ind w:left="5760" w:hanging="360"/>
      </w:pPr>
    </w:lvl>
    <w:lvl w:ilvl="8" w:tplc="D9123DB2">
      <w:start w:val="1"/>
      <w:numFmt w:val="bullet"/>
      <w:lvlText w:val="●"/>
      <w:lvlJc w:val="left"/>
      <w:pPr>
        <w:ind w:left="6480" w:hanging="360"/>
      </w:pPr>
    </w:lvl>
  </w:abstractNum>
  <w:num w:numId="1" w16cid:durableId="192616861">
    <w:abstractNumId w:val="1"/>
    <w:lvlOverride w:ilvl="0">
      <w:startOverride w:val="1"/>
    </w:lvlOverride>
  </w:num>
  <w:num w:numId="2" w16cid:durableId="18444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8B"/>
    <w:rsid w:val="001545B2"/>
    <w:rsid w:val="008C3F0A"/>
    <w:rsid w:val="00C54574"/>
    <w:rsid w:val="00DA348B"/>
    <w:rsid w:val="00F6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4FFE"/>
  <w15:docId w15:val="{6B2C1B1F-6F25-4F4F-99BE-305CCD1D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intex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2838</Words>
  <Characters>15328</Characters>
  <Application>Microsoft Office Word</Application>
  <DocSecurity>0</DocSecurity>
  <Lines>127</Lines>
  <Paragraphs>36</Paragraphs>
  <ScaleCrop>false</ScaleCrop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 Bank</dc:creator>
  <cp:lastModifiedBy>Intex Bank</cp:lastModifiedBy>
  <cp:revision>2</cp:revision>
  <dcterms:created xsi:type="dcterms:W3CDTF">2026-09-24T20:10:00Z</dcterms:created>
  <dcterms:modified xsi:type="dcterms:W3CDTF">2026-09-24T20:10:00Z</dcterms:modified>
</cp:coreProperties>
</file>