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b/>
          <w:bCs/>
          <w:color w:val="141D32"/>
          <w:sz w:val="30"/>
          <w:szCs w:val="30"/>
        </w:rPr>
        <w:t xml:space="preserve">COMPLEMENTAÇÃO AO PARECER DE DILIGÊNCIA COMPLEMENTAR (KYCC)</w:t>
      </w:r>
    </w:p>
    <w:p>
      <w:pPr>
        <w:pBdr>
          <w:bottom w:val="single" w:sz="12" w:space="4" w:color="92C024"/>
        </w:pBdr>
        <w:spacing w:after="120"/>
      </w:pPr>
      <w:r>
        <w:rPr>
          <w:color w:val="5A5F6B"/>
          <w:sz w:val="19"/>
          <w:szCs w:val="19"/>
        </w:rPr>
        <w:t xml:space="preserve">MEZAPRO Comércio, Serviços Digitais Ltda. (OTC Mercado Bitcoin) — continuidade do Parecer PAR-AVD-KYCC-20260831-001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906"/>
      </w:tblGrid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Objeto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MEZAPRO COMÉRCIO, SERVIÇOS DIGITAIS LTDA., CNPJ 30.294.907/0001-71 —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cliente da Trace Finance, não do Intex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Nº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PAR-AVD-KYCC-20261015-002 — complementa o Parecer PAR-AVD-KYCC-20260831-001, comunicado à Trace em 31/08/2026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Data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15/10/2026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Classificação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ALTO</w:t>
            </w:r>
            <w:r>
              <w:rPr>
                <w:color w:val="222222"/>
                <w:sz w:val="16"/>
                <w:szCs w:val="16"/>
              </w:rPr>
              <w:t xml:space="preserve"> (mantida)</w:t>
            </w:r>
          </w:p>
        </w:tc>
      </w:tr>
    </w:tbl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1. Objeto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Esta complementação dá continuidade ao Parecer PAR-AVD-KYCC-20260831-001 e registra a avaliação do material encaminhado pela Trace Finance em </w:t>
      </w:r>
      <w:r>
        <w:rPr>
          <w:b/>
          <w:bCs/>
          <w:color w:val="222222"/>
        </w:rPr>
        <w:t xml:space="preserve">31/08/2026</w:t>
      </w:r>
      <w:r>
        <w:rPr>
          <w:color w:val="222222"/>
        </w:rPr>
        <w:t xml:space="preserve">, em resposta às condicionantes S1, S2, S3, S5 e S6. Permanecem o enquadramento, os achados e os limites do parecer original, que deve ser lido em conjunto com este documento.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2. Atendimento das condicionantes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3906"/>
        <w:gridCol w:w="1300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Apresentado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Avaliação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S1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Relatório de transações Fireblocks de 01/07 a 28/08/2026: US$ 1,098 bi recebidos, com média de US$ 22,4 mi nos dias com movimento.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Corrobora o volume de US$ 20–25 mi/dia declarado pela MEZAPRO e aprovado pela Trace.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Telas do e-Guardian (11/07/2026) e do KYT Chainalysis do Grupo 2TM, e Política de PLD/FTP do grupo, versão 4.0, de 03/2026.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Aceitos os controles do Grupo 2TM como aplicáveis à MEZAPRO, que é a mesa de operações do grupo.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S3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Organograma de 26/06/2026, assinado pelo CEO do Grupo 2TM, declarando que nenhuma pessoa natural detém mais de 25% ou controla individualmente a 2TM Holding Company Ltd.; administradores identificados na 18ª alteração do contrato social.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Suficiente para o critério de participação. Pelo critério de controle, consideram-se os administradores identificados.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S5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Wallet Control Attestation assinada em 27/08/2026, com três endereços. O relatório Fireblocks mostra que o trilho opera com endereço atestado.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Os endereços atestados correspondem aos efetivamente operados no trilho.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S6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Declarada a migração da intermediação para terceiros à Mercado Bitcoin Serviços Digitais Ltda.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Prazo em curso.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EM CURSO</w:t>
            </w:r>
            <w:r>
              <w:rPr>
                <w:color w:val="222222"/>
                <w:sz w:val="16"/>
                <w:szCs w:val="16"/>
              </w:rPr>
              <w:t xml:space="preserve"> (30/10/2026)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3. Decisão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Atendidas as condicionantes S1, S2, S3 e S5, retira-se o efeito suspensivo e </w:t>
      </w:r>
      <w:r>
        <w:rPr>
          <w:b/>
          <w:bCs/>
          <w:color w:val="222222"/>
        </w:rPr>
        <w:t xml:space="preserve">libera-se o fluxo</w:t>
      </w:r>
      <w:r>
        <w:rPr>
          <w:color w:val="222222"/>
        </w:rPr>
        <w:t xml:space="preserve"> com origem ou destino final na MEZAPRO. A classificação </w:t>
      </w:r>
      <w:r>
        <w:rPr>
          <w:b/>
          <w:bCs/>
          <w:color w:val="222222"/>
        </w:rPr>
        <w:t xml:space="preserve">ALTO</w:t>
      </w:r>
      <w:r>
        <w:rPr>
          <w:color w:val="222222"/>
        </w:rPr>
        <w:t xml:space="preserve"> permanece. Seguem em vigor a condicionante </w:t>
      </w:r>
      <w:r>
        <w:rPr>
          <w:b/>
          <w:bCs/>
          <w:color w:val="222222"/>
        </w:rPr>
        <w:t xml:space="preserve">S6</w:t>
      </w:r>
      <w:r>
        <w:rPr>
          <w:color w:val="222222"/>
        </w:rPr>
        <w:t xml:space="preserve">, que exige até </w:t>
      </w:r>
      <w:r>
        <w:rPr>
          <w:b/>
          <w:bCs/>
          <w:color w:val="222222"/>
        </w:rPr>
        <w:t xml:space="preserve">30/10/2026</w:t>
      </w:r>
      <w:r>
        <w:rPr>
          <w:color w:val="222222"/>
        </w:rPr>
        <w:t xml:space="preserve"> o protocolo do pedido de autorização, a evidência da descontinuação do balcão para terceiros ou parecer jurídico sobre a não incidência, sob pena de suspensão automática; o acompanhamento das demonstrações financeiras de 2026 até </w:t>
      </w:r>
      <w:r>
        <w:rPr>
          <w:b/>
          <w:bCs/>
          <w:color w:val="222222"/>
        </w:rPr>
        <w:t xml:space="preserve">30/11/2026</w:t>
      </w:r>
      <w:r>
        <w:rPr>
          <w:color w:val="222222"/>
        </w:rPr>
        <w:t xml:space="preserve">; e as hipóteses de reavaliação imediata do parecer original, entre elas o uso de endereço não atestado.</w:t>
      </w:r>
    </w:p>
    <w:p>
      <w:pPr>
        <w:keepNext/>
        <w:spacing w:before="200" w:after="160"/>
      </w:pPr>
      <w:r>
        <w:rPr>
          <w:color w:val="222222"/>
        </w:rPr>
        <w:t xml:space="preserve">São Paulo, 15 de outubro de 2026.</w:t>
      </w:r>
    </w:p>
    <w:p>
      <w:pPr>
        <w:keepNext/>
        <w:spacing w:after="20"/>
      </w:pPr>
      <w:r>
        <w:rPr>
          <w:color w:val="5A5F6B"/>
        </w:rPr>
        <w:t xml:space="preserve">______________________________________</w:t>
      </w:r>
    </w:p>
    <w:p>
      <w:pPr>
        <w:keepNext/>
        <w:spacing w:after="10"/>
      </w:pPr>
      <w:r>
        <w:rPr>
          <w:b/>
          <w:bCs/>
          <w:color w:val="141D32"/>
          <w:sz w:val="20"/>
          <w:szCs w:val="20"/>
        </w:rPr>
        <w:t xml:space="preserve">Alexandre Ferrari</w:t>
      </w:r>
    </w:p>
    <w:p>
      <w:pPr>
        <w:keepNext/>
        <w:spacing w:after="10"/>
      </w:pPr>
      <w:r>
        <w:rPr>
          <w:color w:val="5A5F6B"/>
        </w:rPr>
        <w:t xml:space="preserve">Coordenador de Ativos Virtuais e Compliance Digital</w:t>
      </w:r>
    </w:p>
    <w:p>
      <w:pPr>
        <w:spacing w:after="0"/>
      </w:pPr>
      <w:r>
        <w:rPr>
          <w:color w:val="5A5F6B"/>
        </w:rPr>
        <w:t xml:space="preserve">Intex Bank — Banco de Câmbio S.A.</w:t>
      </w:r>
    </w:p>
    <w:sectPr w:rsidR="00DA348B">
      <w:headerReference w:type="default" r:id="rId7"/>
      <w:footerReference w:type="default" r:id="rId8"/>
      <w:pgSz w:w="11906" w:h="16838"/>
      <w:pgMar w:top="1250" w:right="850" w:bottom="1050" w:left="85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3D18" w14:textId="77777777" w:rsidR="00F66346" w:rsidRDefault="00F66346">
      <w:r>
        <w:separator/>
      </w:r>
    </w:p>
  </w:endnote>
  <w:endnote w:type="continuationSeparator" w:id="0">
    <w:p w14:paraId="1F71E588" w14:textId="77777777" w:rsidR="00F66346" w:rsidRDefault="00F66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BF1CB" w14:textId="77777777" w:rsidR="00DA348B" w:rsidRDefault="00F66346">
    <w:pPr>
      <w:pBdr>
        <w:top w:val="single" w:sz="4" w:space="4" w:color="C9CCD3"/>
      </w:pBdr>
      <w:tabs>
        <w:tab w:val="right" w:pos="10206"/>
      </w:tabs>
    </w:pPr>
    <w:r>
      <w:rPr>
        <w:color w:val="5A5F6B"/>
        <w:sz w:val="14"/>
        <w:szCs w:val="14"/>
      </w:rPr>
      <w:t>PAR-AVD-KYCC-20261015-002 · CONFIDENCIAL — USO INTERNO</w:t>
    </w:r>
    <w:r>
      <w:rPr>
        <w:color w:val="5A5F6B"/>
        <w:sz w:val="14"/>
        <w:szCs w:val="14"/>
      </w:rPr>
      <w:tab/>
      <w:t xml:space="preserve">Página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PAGE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1</w:t>
    </w:r>
    <w:r>
      <w:rPr>
        <w:color w:val="5A5F6B"/>
        <w:sz w:val="14"/>
        <w:szCs w:val="14"/>
      </w:rPr>
      <w:fldChar w:fldCharType="end"/>
    </w:r>
    <w:r>
      <w:rPr>
        <w:color w:val="5A5F6B"/>
        <w:sz w:val="14"/>
        <w:szCs w:val="14"/>
      </w:rPr>
      <w:t xml:space="preserve"> de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NUMPAGES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2</w:t>
    </w:r>
    <w:r>
      <w:rPr>
        <w:color w:val="5A5F6B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6125" w14:textId="77777777" w:rsidR="00F66346" w:rsidRDefault="00F66346">
      <w:r>
        <w:separator/>
      </w:r>
    </w:p>
  </w:footnote>
  <w:footnote w:type="continuationSeparator" w:id="0">
    <w:p w14:paraId="57EA3AAF" w14:textId="77777777" w:rsidR="00F66346" w:rsidRDefault="00F66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6" w:space="4" w:color="92C024"/>
      </w:pBdr>
      <w:tabs>
        <w:tab w:val="right" w:pos="10206"/>
      </w:tabs>
    </w:pPr>
    <w:r>
      <w:rPr>
        <w:noProof/>
      </w:rPr>
      <w:drawing>
        <wp:inline distT="0" distB="0" distL="0" distR="0">
          <wp:extent cx="1440000" cy="179368"/>
          <wp:effectExtent l="0" t="0" r="0" b="0"/>
          <wp:docPr id="101" name="Logo Intex" descr="Intex Ban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intex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40000" cy="179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92C024"/>
        <w:sz w:val="15"/>
        <w:szCs w:val="15"/>
      </w:rPr>
      <w:tab/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8543A8"/>
    <w:multiLevelType w:val="hybridMultilevel"/>
    <w:tmpl w:val="946C9CA0"/>
    <w:lvl w:ilvl="0" w:tplc="4058CA56">
      <w:start w:val="1"/>
      <w:numFmt w:val="bullet"/>
      <w:lvlText w:val="▪"/>
      <w:lvlJc w:val="left"/>
      <w:pPr>
        <w:ind w:left="300" w:hanging="220"/>
      </w:pPr>
      <w:rPr>
        <w:color w:val="92C024"/>
      </w:rPr>
    </w:lvl>
    <w:lvl w:ilvl="1" w:tplc="C1B01976">
      <w:numFmt w:val="decimal"/>
      <w:lvlText w:val=""/>
      <w:lvlJc w:val="left"/>
    </w:lvl>
    <w:lvl w:ilvl="2" w:tplc="429EF4E4">
      <w:numFmt w:val="decimal"/>
      <w:lvlText w:val=""/>
      <w:lvlJc w:val="left"/>
    </w:lvl>
    <w:lvl w:ilvl="3" w:tplc="6922A1C4">
      <w:numFmt w:val="decimal"/>
      <w:lvlText w:val=""/>
      <w:lvlJc w:val="left"/>
    </w:lvl>
    <w:lvl w:ilvl="4" w:tplc="5B9846EC">
      <w:numFmt w:val="decimal"/>
      <w:lvlText w:val=""/>
      <w:lvlJc w:val="left"/>
    </w:lvl>
    <w:lvl w:ilvl="5" w:tplc="439E6F98">
      <w:numFmt w:val="decimal"/>
      <w:lvlText w:val=""/>
      <w:lvlJc w:val="left"/>
    </w:lvl>
    <w:lvl w:ilvl="6" w:tplc="BCB4E006">
      <w:numFmt w:val="decimal"/>
      <w:lvlText w:val=""/>
      <w:lvlJc w:val="left"/>
    </w:lvl>
    <w:lvl w:ilvl="7" w:tplc="DBA84740">
      <w:numFmt w:val="decimal"/>
      <w:lvlText w:val=""/>
      <w:lvlJc w:val="left"/>
    </w:lvl>
    <w:lvl w:ilvl="8" w:tplc="EE70E49A">
      <w:numFmt w:val="decimal"/>
      <w:lvlText w:val=""/>
      <w:lvlJc w:val="left"/>
    </w:lvl>
  </w:abstractNum>
  <w:abstractNum w:abstractNumId="1" w15:restartNumberingAfterBreak="0">
    <w:nsid w:val="7FF6567F"/>
    <w:multiLevelType w:val="hybridMultilevel"/>
    <w:tmpl w:val="D9BCADF6"/>
    <w:lvl w:ilvl="0" w:tplc="47E203CE">
      <w:start w:val="1"/>
      <w:numFmt w:val="bullet"/>
      <w:lvlText w:val="●"/>
      <w:lvlJc w:val="left"/>
      <w:pPr>
        <w:ind w:left="720" w:hanging="360"/>
      </w:pPr>
    </w:lvl>
    <w:lvl w:ilvl="1" w:tplc="4C06F020">
      <w:start w:val="1"/>
      <w:numFmt w:val="bullet"/>
      <w:lvlText w:val="○"/>
      <w:lvlJc w:val="left"/>
      <w:pPr>
        <w:ind w:left="1440" w:hanging="360"/>
      </w:pPr>
    </w:lvl>
    <w:lvl w:ilvl="2" w:tplc="7A22C972">
      <w:start w:val="1"/>
      <w:numFmt w:val="bullet"/>
      <w:lvlText w:val="■"/>
      <w:lvlJc w:val="left"/>
      <w:pPr>
        <w:ind w:left="2160" w:hanging="360"/>
      </w:pPr>
    </w:lvl>
    <w:lvl w:ilvl="3" w:tplc="8D3E28CE">
      <w:start w:val="1"/>
      <w:numFmt w:val="bullet"/>
      <w:lvlText w:val="●"/>
      <w:lvlJc w:val="left"/>
      <w:pPr>
        <w:ind w:left="2880" w:hanging="360"/>
      </w:pPr>
    </w:lvl>
    <w:lvl w:ilvl="4" w:tplc="EF6A5490">
      <w:start w:val="1"/>
      <w:numFmt w:val="bullet"/>
      <w:lvlText w:val="○"/>
      <w:lvlJc w:val="left"/>
      <w:pPr>
        <w:ind w:left="3600" w:hanging="360"/>
      </w:pPr>
    </w:lvl>
    <w:lvl w:ilvl="5" w:tplc="8B5842C4">
      <w:start w:val="1"/>
      <w:numFmt w:val="bullet"/>
      <w:lvlText w:val="■"/>
      <w:lvlJc w:val="left"/>
      <w:pPr>
        <w:ind w:left="4320" w:hanging="360"/>
      </w:pPr>
    </w:lvl>
    <w:lvl w:ilvl="6" w:tplc="D988C90A">
      <w:start w:val="1"/>
      <w:numFmt w:val="bullet"/>
      <w:lvlText w:val="●"/>
      <w:lvlJc w:val="left"/>
      <w:pPr>
        <w:ind w:left="5040" w:hanging="360"/>
      </w:pPr>
    </w:lvl>
    <w:lvl w:ilvl="7" w:tplc="0F1AD3B2">
      <w:start w:val="1"/>
      <w:numFmt w:val="bullet"/>
      <w:lvlText w:val="●"/>
      <w:lvlJc w:val="left"/>
      <w:pPr>
        <w:ind w:left="5760" w:hanging="360"/>
      </w:pPr>
    </w:lvl>
    <w:lvl w:ilvl="8" w:tplc="D9123DB2">
      <w:start w:val="1"/>
      <w:numFmt w:val="bullet"/>
      <w:lvlText w:val="●"/>
      <w:lvlJc w:val="left"/>
      <w:pPr>
        <w:ind w:left="6480" w:hanging="360"/>
      </w:pPr>
    </w:lvl>
  </w:abstractNum>
  <w:num w:numId="1" w16cid:durableId="192616861">
    <w:abstractNumId w:val="1"/>
    <w:lvlOverride w:ilvl="0">
      <w:startOverride w:val="1"/>
    </w:lvlOverride>
  </w:num>
  <w:num w:numId="2" w16cid:durableId="184443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48B"/>
    <w:rsid w:val="001545B2"/>
    <w:rsid w:val="008C3F0A"/>
    <w:rsid w:val="00C54574"/>
    <w:rsid w:val="00DA348B"/>
    <w:rsid w:val="00F6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4FFE"/>
  <w15:docId w15:val="{6B2C1B1F-6F25-4F4F-99BE-305CCD1D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intex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2838</Words>
  <Characters>15328</Characters>
  <Application>Microsoft Office Word</Application>
  <DocSecurity>0</DocSecurity>
  <Lines>127</Lines>
  <Paragraphs>36</Paragraphs>
  <ScaleCrop>false</ScaleCrop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Intex Bank</dc:creator>
  <cp:lastModifiedBy>Intex Bank</cp:lastModifiedBy>
  <cp:revision>2</cp:revision>
  <dcterms:created xsi:type="dcterms:W3CDTF">2026-09-24T20:10:00Z</dcterms:created>
  <dcterms:modified xsi:type="dcterms:W3CDTF">2026-09-24T20:10:00Z</dcterms:modified>
</cp:coreProperties>
</file>