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b/>
          <w:bCs/>
          <w:color w:val="141D32"/>
          <w:sz w:val="30"/>
          <w:szCs w:val="30"/>
        </w:rPr>
        <w:t xml:space="preserve">COMPLEMENTAÇÃO AO PARECER DE DILIGÊNCIA COMPLEMENTAR (KYCC)</w:t>
      </w:r>
    </w:p>
    <w:p>
      <w:pPr>
        <w:pBdr>
          <w:bottom w:val="single" w:sz="12" w:space="4" w:color="92C024"/>
        </w:pBdr>
        <w:spacing w:after="120"/>
      </w:pPr>
      <w:r>
        <w:rPr>
          <w:color w:val="5A5F6B"/>
          <w:sz w:val="19"/>
          <w:szCs w:val="19"/>
        </w:rPr>
        <w:t xml:space="preserve">Foxbit OTC Intermediação e Custódia Ltda. — continuidade do Parecer KYCC-20260827-01 rev. 1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906"/>
      </w:tblGrid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Objeto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FOXBIT OTC INTERMEDIAÇÃO E CUSTÓDIA LTDA., CNPJ 18.997.925/0002-03 e 18.997.925/0001-14 —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cliente da Trace Finance, não do Intex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Nº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PAR-AVD-KYCC-20261014-002 — complementa o Parecer KYCC-20260827-01 rev. 1, de 27/08/2026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Data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14/10/2026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Classificação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ALTO</w:t>
            </w:r>
            <w:r>
              <w:rPr>
                <w:color w:val="222222"/>
                <w:sz w:val="16"/>
                <w:szCs w:val="16"/>
              </w:rPr>
              <w:t xml:space="preserve"> (mantida)</w:t>
            </w:r>
          </w:p>
        </w:tc>
      </w:tr>
    </w:tbl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1. Objeto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Esta complementação dá continuidade ao Parecer KYCC-20260827-01 rev. 1 e registra a avaliação da resposta da Trace Finance, de </w:t>
      </w:r>
      <w:r>
        <w:rPr>
          <w:b/>
          <w:bCs/>
          <w:color w:val="222222"/>
        </w:rPr>
        <w:t xml:space="preserve">01/10/2026</w:t>
      </w:r>
      <w:r>
        <w:rPr>
          <w:color w:val="222222"/>
        </w:rPr>
        <w:t xml:space="preserve">, às solicitações S1 a S5, com prazo em 30/09/2026. Permanecem o enquadramento, os achados e os limites do parecer original, que deve ser lido em conjunto com este documento.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2. Atendimento das solicitações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300"/>
        <w:gridCol w:w="3906"/>
        <w:gridCol w:w="1300"/>
      </w:tblGrid>
      <w:tr>
        <w:trPr>
          <w:cantSplit/>
          <w:tblHeader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Apresentado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Avaliação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S1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Declaração do Pinheiro Neto Advogados, de 29/09/2026, identificando a Foxbit OTC (CNPJ 18.997.925/0002-03) como requerente do pedido de autorização como PSAV.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Requerente identificada. Modalidades e data serão aferidas no comprovante de protocolo.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S2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DF de 2025 em consolidação, para compor o pedido de autorização.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Solicitação renovada após o protocolo.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APÓS O PROTOCOLO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S3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Nova política de KYC e PLD/FT em aprovação, para compor o pedido de autorização.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Solicitação renovada após o protocolo.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APÓS O PROTOCOLO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S4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E-mail da Trace de 01/10/2026, com o registro do acompanhamento direto da Foxbit OTC.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Suprida pelo próprio e-mail.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S5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E-mail da Trace de 01/10/2026, com o registro de conforto quanto ao modelo de negócio e ao volume operado.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Suprida pelo próprio e-mail.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3. Decisão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Mantém-se a continuidade do fluxo indireto atribuível à Foxbit OTC, </w:t>
      </w:r>
      <w:r>
        <w:rPr>
          <w:b/>
          <w:bCs/>
          <w:color w:val="222222"/>
        </w:rPr>
        <w:t xml:space="preserve">sem efeito suspensivo</w:t>
      </w:r>
      <w:r>
        <w:rPr>
          <w:color w:val="222222"/>
        </w:rPr>
        <w:t xml:space="preserve">. A classificação </w:t>
      </w:r>
      <w:r>
        <w:rPr>
          <w:b/>
          <w:bCs/>
          <w:color w:val="222222"/>
        </w:rPr>
        <w:t xml:space="preserve">ALTO</w:t>
      </w:r>
      <w:r>
        <w:rPr>
          <w:color w:val="222222"/>
        </w:rPr>
        <w:t xml:space="preserve"> permanece. Seguem em vigor a condicionante temporal </w:t>
      </w:r>
      <w:r>
        <w:rPr>
          <w:b/>
          <w:bCs/>
          <w:color w:val="222222"/>
        </w:rPr>
        <w:t xml:space="preserve">C1</w:t>
      </w:r>
      <w:r>
        <w:rPr>
          <w:color w:val="222222"/>
        </w:rPr>
        <w:t xml:space="preserve"> (comprovante de protocolo do pedido de autorização a partir de </w:t>
      </w:r>
      <w:r>
        <w:rPr>
          <w:b/>
          <w:bCs/>
          <w:color w:val="222222"/>
        </w:rPr>
        <w:t xml:space="preserve">31/10/2026</w:t>
      </w:r>
      <w:r>
        <w:rPr>
          <w:color w:val="222222"/>
        </w:rPr>
        <w:t xml:space="preserve">, sob pena de suspensão automática), o acompanhamento A1 e os gatilhos do parecer original.</w:t>
      </w:r>
    </w:p>
    <w:p>
      <w:pPr>
        <w:keepNext/>
        <w:spacing w:before="200" w:after="160"/>
      </w:pPr>
      <w:r>
        <w:rPr>
          <w:color w:val="222222"/>
        </w:rPr>
        <w:t xml:space="preserve">São Paulo, 14 de outubro de 2026.</w:t>
      </w:r>
    </w:p>
    <w:p>
      <w:pPr>
        <w:keepNext/>
        <w:spacing w:after="20"/>
      </w:pPr>
      <w:r>
        <w:rPr>
          <w:color w:val="5A5F6B"/>
        </w:rPr>
        <w:t xml:space="preserve">______________________________________</w:t>
      </w:r>
    </w:p>
    <w:p>
      <w:pPr>
        <w:keepNext/>
        <w:spacing w:after="10"/>
      </w:pPr>
      <w:r>
        <w:rPr>
          <w:b/>
          <w:bCs/>
          <w:color w:val="141D32"/>
          <w:sz w:val="20"/>
          <w:szCs w:val="20"/>
        </w:rPr>
        <w:t xml:space="preserve">Alexandre Ferrari</w:t>
      </w:r>
    </w:p>
    <w:p>
      <w:pPr>
        <w:keepNext/>
        <w:spacing w:after="10"/>
      </w:pPr>
      <w:r>
        <w:rPr>
          <w:color w:val="5A5F6B"/>
        </w:rPr>
        <w:t xml:space="preserve">Coordenador de Ativos Virtuais e Compliance Digital</w:t>
      </w:r>
    </w:p>
    <w:p>
      <w:pPr>
        <w:spacing w:after="0"/>
      </w:pPr>
      <w:r>
        <w:rPr>
          <w:color w:val="5A5F6B"/>
        </w:rPr>
        <w:t xml:space="preserve">Intex Bank — Banco de Câmbio S.A.</w:t>
      </w:r>
    </w:p>
    <w:sectPr w:rsidR="00DA348B">
      <w:headerReference w:type="default" r:id="rId7"/>
      <w:footerReference w:type="default" r:id="rId8"/>
      <w:pgSz w:w="11906" w:h="16838"/>
      <w:pgMar w:top="1250" w:right="850" w:bottom="1050" w:left="85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53D18" w14:textId="77777777" w:rsidR="00F66346" w:rsidRDefault="00F66346">
      <w:r>
        <w:separator/>
      </w:r>
    </w:p>
  </w:endnote>
  <w:endnote w:type="continuationSeparator" w:id="0">
    <w:p w14:paraId="1F71E588" w14:textId="77777777" w:rsidR="00F66346" w:rsidRDefault="00F66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BF1CB" w14:textId="77777777" w:rsidR="00DA348B" w:rsidRDefault="00F66346">
    <w:pPr>
      <w:pBdr>
        <w:top w:val="single" w:sz="4" w:space="4" w:color="C9CCD3"/>
      </w:pBdr>
      <w:tabs>
        <w:tab w:val="right" w:pos="10206"/>
      </w:tabs>
    </w:pPr>
    <w:r>
      <w:rPr>
        <w:color w:val="5A5F6B"/>
        <w:sz w:val="14"/>
        <w:szCs w:val="14"/>
      </w:rPr>
      <w:t>PAR-AVD-KYCC-20261014-002 · CONFIDENCIAL — USO INTERNO</w:t>
    </w:r>
    <w:r>
      <w:rPr>
        <w:color w:val="5A5F6B"/>
        <w:sz w:val="14"/>
        <w:szCs w:val="14"/>
      </w:rPr>
      <w:tab/>
      <w:t xml:space="preserve">Página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PAGE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1</w:t>
    </w:r>
    <w:r>
      <w:rPr>
        <w:color w:val="5A5F6B"/>
        <w:sz w:val="14"/>
        <w:szCs w:val="14"/>
      </w:rPr>
      <w:fldChar w:fldCharType="end"/>
    </w:r>
    <w:r>
      <w:rPr>
        <w:color w:val="5A5F6B"/>
        <w:sz w:val="14"/>
        <w:szCs w:val="14"/>
      </w:rPr>
      <w:t xml:space="preserve"> de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NUMPAGES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2</w:t>
    </w:r>
    <w:r>
      <w:rPr>
        <w:color w:val="5A5F6B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06125" w14:textId="77777777" w:rsidR="00F66346" w:rsidRDefault="00F66346">
      <w:r>
        <w:separator/>
      </w:r>
    </w:p>
  </w:footnote>
  <w:footnote w:type="continuationSeparator" w:id="0">
    <w:p w14:paraId="57EA3AAF" w14:textId="77777777" w:rsidR="00F66346" w:rsidRDefault="00F66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6" w:space="4" w:color="92C024"/>
      </w:pBdr>
      <w:tabs>
        <w:tab w:val="right" w:pos="10206"/>
      </w:tabs>
    </w:pPr>
    <w:r>
      <w:rPr>
        <w:noProof/>
      </w:rPr>
      <w:drawing>
        <wp:inline distT="0" distB="0" distL="0" distR="0">
          <wp:extent cx="1440000" cy="179368"/>
          <wp:effectExtent l="0" t="0" r="0" b="0"/>
          <wp:docPr id="101" name="Logo Intex" descr="Intex Ban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intex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440000" cy="179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92C024"/>
        <w:sz w:val="15"/>
        <w:szCs w:val="15"/>
      </w:rPr>
      <w:tab/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8543A8"/>
    <w:multiLevelType w:val="hybridMultilevel"/>
    <w:tmpl w:val="946C9CA0"/>
    <w:lvl w:ilvl="0" w:tplc="4058CA56">
      <w:start w:val="1"/>
      <w:numFmt w:val="bullet"/>
      <w:lvlText w:val="▪"/>
      <w:lvlJc w:val="left"/>
      <w:pPr>
        <w:ind w:left="300" w:hanging="220"/>
      </w:pPr>
      <w:rPr>
        <w:color w:val="92C024"/>
      </w:rPr>
    </w:lvl>
    <w:lvl w:ilvl="1" w:tplc="C1B01976">
      <w:numFmt w:val="decimal"/>
      <w:lvlText w:val=""/>
      <w:lvlJc w:val="left"/>
    </w:lvl>
    <w:lvl w:ilvl="2" w:tplc="429EF4E4">
      <w:numFmt w:val="decimal"/>
      <w:lvlText w:val=""/>
      <w:lvlJc w:val="left"/>
    </w:lvl>
    <w:lvl w:ilvl="3" w:tplc="6922A1C4">
      <w:numFmt w:val="decimal"/>
      <w:lvlText w:val=""/>
      <w:lvlJc w:val="left"/>
    </w:lvl>
    <w:lvl w:ilvl="4" w:tplc="5B9846EC">
      <w:numFmt w:val="decimal"/>
      <w:lvlText w:val=""/>
      <w:lvlJc w:val="left"/>
    </w:lvl>
    <w:lvl w:ilvl="5" w:tplc="439E6F98">
      <w:numFmt w:val="decimal"/>
      <w:lvlText w:val=""/>
      <w:lvlJc w:val="left"/>
    </w:lvl>
    <w:lvl w:ilvl="6" w:tplc="BCB4E006">
      <w:numFmt w:val="decimal"/>
      <w:lvlText w:val=""/>
      <w:lvlJc w:val="left"/>
    </w:lvl>
    <w:lvl w:ilvl="7" w:tplc="DBA84740">
      <w:numFmt w:val="decimal"/>
      <w:lvlText w:val=""/>
      <w:lvlJc w:val="left"/>
    </w:lvl>
    <w:lvl w:ilvl="8" w:tplc="EE70E49A">
      <w:numFmt w:val="decimal"/>
      <w:lvlText w:val=""/>
      <w:lvlJc w:val="left"/>
    </w:lvl>
  </w:abstractNum>
  <w:abstractNum w:abstractNumId="1" w15:restartNumberingAfterBreak="0">
    <w:nsid w:val="7FF6567F"/>
    <w:multiLevelType w:val="hybridMultilevel"/>
    <w:tmpl w:val="D9BCADF6"/>
    <w:lvl w:ilvl="0" w:tplc="47E203CE">
      <w:start w:val="1"/>
      <w:numFmt w:val="bullet"/>
      <w:lvlText w:val="●"/>
      <w:lvlJc w:val="left"/>
      <w:pPr>
        <w:ind w:left="720" w:hanging="360"/>
      </w:pPr>
    </w:lvl>
    <w:lvl w:ilvl="1" w:tplc="4C06F020">
      <w:start w:val="1"/>
      <w:numFmt w:val="bullet"/>
      <w:lvlText w:val="○"/>
      <w:lvlJc w:val="left"/>
      <w:pPr>
        <w:ind w:left="1440" w:hanging="360"/>
      </w:pPr>
    </w:lvl>
    <w:lvl w:ilvl="2" w:tplc="7A22C972">
      <w:start w:val="1"/>
      <w:numFmt w:val="bullet"/>
      <w:lvlText w:val="■"/>
      <w:lvlJc w:val="left"/>
      <w:pPr>
        <w:ind w:left="2160" w:hanging="360"/>
      </w:pPr>
    </w:lvl>
    <w:lvl w:ilvl="3" w:tplc="8D3E28CE">
      <w:start w:val="1"/>
      <w:numFmt w:val="bullet"/>
      <w:lvlText w:val="●"/>
      <w:lvlJc w:val="left"/>
      <w:pPr>
        <w:ind w:left="2880" w:hanging="360"/>
      </w:pPr>
    </w:lvl>
    <w:lvl w:ilvl="4" w:tplc="EF6A5490">
      <w:start w:val="1"/>
      <w:numFmt w:val="bullet"/>
      <w:lvlText w:val="○"/>
      <w:lvlJc w:val="left"/>
      <w:pPr>
        <w:ind w:left="3600" w:hanging="360"/>
      </w:pPr>
    </w:lvl>
    <w:lvl w:ilvl="5" w:tplc="8B5842C4">
      <w:start w:val="1"/>
      <w:numFmt w:val="bullet"/>
      <w:lvlText w:val="■"/>
      <w:lvlJc w:val="left"/>
      <w:pPr>
        <w:ind w:left="4320" w:hanging="360"/>
      </w:pPr>
    </w:lvl>
    <w:lvl w:ilvl="6" w:tplc="D988C90A">
      <w:start w:val="1"/>
      <w:numFmt w:val="bullet"/>
      <w:lvlText w:val="●"/>
      <w:lvlJc w:val="left"/>
      <w:pPr>
        <w:ind w:left="5040" w:hanging="360"/>
      </w:pPr>
    </w:lvl>
    <w:lvl w:ilvl="7" w:tplc="0F1AD3B2">
      <w:start w:val="1"/>
      <w:numFmt w:val="bullet"/>
      <w:lvlText w:val="●"/>
      <w:lvlJc w:val="left"/>
      <w:pPr>
        <w:ind w:left="5760" w:hanging="360"/>
      </w:pPr>
    </w:lvl>
    <w:lvl w:ilvl="8" w:tplc="D9123DB2">
      <w:start w:val="1"/>
      <w:numFmt w:val="bullet"/>
      <w:lvlText w:val="●"/>
      <w:lvlJc w:val="left"/>
      <w:pPr>
        <w:ind w:left="6480" w:hanging="360"/>
      </w:pPr>
    </w:lvl>
  </w:abstractNum>
  <w:num w:numId="1" w16cid:durableId="192616861">
    <w:abstractNumId w:val="1"/>
    <w:lvlOverride w:ilvl="0">
      <w:startOverride w:val="1"/>
    </w:lvlOverride>
  </w:num>
  <w:num w:numId="2" w16cid:durableId="184443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48B"/>
    <w:rsid w:val="001545B2"/>
    <w:rsid w:val="008C3F0A"/>
    <w:rsid w:val="00C54574"/>
    <w:rsid w:val="00DA348B"/>
    <w:rsid w:val="00F6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84FFE"/>
  <w15:docId w15:val="{6B2C1B1F-6F25-4F4F-99BE-305CCD1D3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intex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2838</Words>
  <Characters>15328</Characters>
  <Application>Microsoft Office Word</Application>
  <DocSecurity>0</DocSecurity>
  <Lines>127</Lines>
  <Paragraphs>36</Paragraphs>
  <ScaleCrop>false</ScaleCrop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Intex Bank</dc:creator>
  <cp:lastModifiedBy>Intex Bank</cp:lastModifiedBy>
  <cp:revision>2</cp:revision>
  <dcterms:created xsi:type="dcterms:W3CDTF">2026-09-24T20:10:00Z</dcterms:created>
  <dcterms:modified xsi:type="dcterms:W3CDTF">2026-09-24T20:10:00Z</dcterms:modified>
</cp:coreProperties>
</file>