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b/>
          <w:bCs/>
          <w:color w:val="141D32"/>
          <w:sz w:val="30"/>
          <w:szCs w:val="30"/>
        </w:rPr>
        <w:t xml:space="preserve">PARECER DE DILIGÊNCIA COMPLEMENTAR (KYCC)</w:t>
      </w:r>
    </w:p>
    <w:p>
      <w:pPr>
        <w:pBdr>
          <w:bottom w:val="single" w:sz="12" w:space="4" w:color="92C024"/>
        </w:pBdr>
        <w:spacing w:after="120"/>
      </w:pPr>
      <w:r>
        <w:rPr>
          <w:color w:val="5A5F6B"/>
          <w:sz w:val="19"/>
          <w:szCs w:val="19"/>
        </w:rPr>
        <w:t xml:space="preserve">MEZAPRO Comércio, Serviços Digitais Ltda. (OTC Mercado Bitcoin) — revisão com a avaliação da resposta da Trace às condicionantes de 31/08/2026</w:t>
      </w:r>
    </w:p>
    <w:tbl>
      <w:tblPr>
        <w:tblW w:w="1020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906"/>
      </w:tblGrid>
      <w:tr>
        <w:trPr>
          <w:cantSplit/>
        </w:trPr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141D32"/>
                <w:sz w:val="16"/>
                <w:szCs w:val="16"/>
              </w:rPr>
              <w:t xml:space="preserve">Cliente do Intex</w:t>
            </w:r>
          </w:p>
        </w:tc>
        <w:tc>
          <w:tcPr>
            <w:tcW w:w="7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Trace Finance — PSAV contratante do provimento de liquidez (análise principal em processo próprio)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141D32"/>
                <w:sz w:val="16"/>
                <w:szCs w:val="16"/>
              </w:rPr>
              <w:t xml:space="preserve">Objeto</w:t>
            </w:r>
          </w:p>
        </w:tc>
        <w:tc>
          <w:tcPr>
            <w:tcW w:w="7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MEZAPRO COMÉRCIO, SERVIÇOS DIGITAIS LTDA. (nome fantasia MB Private), CNPJ 30.294.907/0001-71 — </w:t>
            </w:r>
            <w:r>
              <w:rPr>
                <w:b/>
                <w:bCs/>
                <w:color w:val="222222"/>
                <w:sz w:val="16"/>
                <w:szCs w:val="16"/>
              </w:rPr>
              <w:t xml:space="preserve">cliente da Trace, não do Intex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141D32"/>
                <w:sz w:val="16"/>
                <w:szCs w:val="16"/>
              </w:rPr>
              <w:t xml:space="preserve">Natureza</w:t>
            </w:r>
          </w:p>
        </w:tc>
        <w:tc>
          <w:tcPr>
            <w:tcW w:w="7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Diligência complementar de segundo grau (KYCC). Não é onboarding.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141D32"/>
                <w:sz w:val="16"/>
                <w:szCs w:val="16"/>
              </w:rPr>
              <w:t xml:space="preserve">Nº do parecer</w:t>
            </w:r>
          </w:p>
        </w:tc>
        <w:tc>
          <w:tcPr>
            <w:tcW w:w="7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PAR-AVD-KYCC-20261015-002 — consolida e substitui o PAR-AVD-KYCC-20260831-001 (versão 4, comunicada à Trace em 31/08/2026, e versão 5, de 01/09/2026)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141D32"/>
                <w:sz w:val="16"/>
                <w:szCs w:val="16"/>
              </w:rPr>
              <w:t xml:space="preserve">Data</w:t>
            </w:r>
          </w:p>
        </w:tc>
        <w:tc>
          <w:tcPr>
            <w:tcW w:w="7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15/10/2026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141D32"/>
                <w:sz w:val="16"/>
                <w:szCs w:val="16"/>
              </w:rPr>
              <w:t xml:space="preserve">Classificação</w:t>
            </w:r>
          </w:p>
        </w:tc>
        <w:tc>
          <w:tcPr>
            <w:tcW w:w="79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ALTO</w:t>
            </w:r>
            <w:r>
              <w:rPr>
                <w:color w:val="222222"/>
                <w:sz w:val="16"/>
                <w:szCs w:val="16"/>
              </w:rPr>
              <w:t xml:space="preserve"> (Intex)  |  origem Trace: ALTO (Dossiê de Compliance de 31/08/2026); Pipefy: "Risco Médio"; Parecer KYB-20260824-004 (MÉDIO 41/100) não compartilhado</w:t>
            </w:r>
          </w:p>
        </w:tc>
      </w:tr>
    </w:tbl>
    <w:p>
      <w:pPr>
        <w:keepNext/>
        <w:pBdr>
          <w:bottom w:val="single" w:sz="8" w:space="2" w:color="92C024"/>
        </w:pBdr>
        <w:spacing w:before="200" w:after="90"/>
      </w:pPr>
      <w:r>
        <w:rPr>
          <w:b/>
          <w:bCs/>
          <w:color w:val="141D32"/>
          <w:sz w:val="23"/>
          <w:szCs w:val="23"/>
        </w:rPr>
        <w:t xml:space="preserve">1. Enquadramento</w:t>
      </w:r>
    </w:p>
    <w:p>
      <w:pPr>
        <w:spacing w:after="80" w:line="252" w:lineRule="auto"/>
        <w:jc w:val="both"/>
      </w:pPr>
      <w:r>
        <w:rPr>
          <w:color w:val="222222"/>
        </w:rPr>
        <w:t xml:space="preserve">A cadeia examinada tem três elos. O </w:t>
      </w:r>
      <w:r>
        <w:rPr>
          <w:b/>
          <w:bCs/>
          <w:color w:val="222222"/>
        </w:rPr>
        <w:t xml:space="preserve">Intex Bank</w:t>
      </w:r>
      <w:r>
        <w:rPr>
          <w:color w:val="222222"/>
        </w:rPr>
        <w:t xml:space="preserve"> atua como provedor de liquidez, por conta própria (art. 2º, XIV, e art. 38 da Res. BCB 520/2025). A </w:t>
      </w:r>
      <w:r>
        <w:rPr>
          <w:b/>
          <w:bCs/>
          <w:color w:val="222222"/>
        </w:rPr>
        <w:t xml:space="preserve">Trace Finance</w:t>
      </w:r>
      <w:r>
        <w:rPr>
          <w:color w:val="222222"/>
        </w:rPr>
        <w:t xml:space="preserve"> é a PSAV que contrata esse provimento: é o cliente do Intex, e sobre ela recai a análise principal, em processo próprio. A </w:t>
      </w:r>
      <w:r>
        <w:rPr>
          <w:b/>
          <w:bCs/>
          <w:color w:val="222222"/>
        </w:rPr>
        <w:t xml:space="preserve">MEZAPRO</w:t>
      </w:r>
      <w:r>
        <w:rPr>
          <w:color w:val="222222"/>
        </w:rPr>
        <w:t xml:space="preserve"> é cliente da Trace e </w:t>
      </w:r>
      <w:r>
        <w:rPr>
          <w:b/>
          <w:bCs/>
          <w:color w:val="222222"/>
        </w:rPr>
        <w:t xml:space="preserve">não é cliente do Intex</w:t>
      </w:r>
      <w:r>
        <w:rPr>
          <w:color w:val="222222"/>
        </w:rPr>
        <w:t xml:space="preserve">.</w:t>
      </w:r>
    </w:p>
    <w:p>
      <w:pPr>
        <w:spacing w:after="80" w:line="252" w:lineRule="auto"/>
        <w:jc w:val="both"/>
      </w:pPr>
      <w:r>
        <w:rPr>
          <w:color w:val="222222"/>
        </w:rPr>
        <w:t xml:space="preserve">Este parecer é camada adicional de verificação sobre a carteira de clientes da contraparte. Não cria relação com a MEZAPRO, não substitui nem convalida o KYB da Trace, não transfere ao Intex o monitoramento daquele relacionamento e não é onboarding. Seus efeitos se limitam a decidir se, e em que condições, a liquidez do Intex pode servir ao fluxo da MEZAPRO.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Marco temporal.</w:t>
      </w:r>
      <w:r>
        <w:rPr>
          <w:color w:val="222222"/>
        </w:rPr>
        <w:t xml:space="preserve"> Prestadoras em atividade em 02/02/2026 têm até </w:t>
      </w:r>
      <w:r>
        <w:rPr>
          <w:b/>
          <w:bCs/>
          <w:color w:val="222222"/>
        </w:rPr>
        <w:t xml:space="preserve">30/10/2026</w:t>
      </w:r>
      <w:r>
        <w:rPr>
          <w:color w:val="222222"/>
        </w:rPr>
        <w:t xml:space="preserve"> para protocolar o pedido de autorização (art. 88, I, da Res. BCB 520/2025). Desde a Res. BCB 589/2026, a vedação do art. 91 alcança, a partir de </w:t>
      </w:r>
      <w:r>
        <w:rPr>
          <w:b/>
          <w:bCs/>
          <w:color w:val="222222"/>
        </w:rPr>
        <w:t xml:space="preserve">06/11/2026</w:t>
      </w:r>
      <w:r>
        <w:rPr>
          <w:color w:val="222222"/>
        </w:rPr>
        <w:t xml:space="preserve">, contrapartes que não estejam autorizadas a funcionar no país. Da data deste parecer restam </w:t>
      </w:r>
      <w:r>
        <w:rPr>
          <w:b/>
          <w:bCs/>
          <w:color w:val="222222"/>
        </w:rPr>
        <w:t xml:space="preserve">15 dias</w:t>
      </w:r>
      <w:r>
        <w:rPr>
          <w:color w:val="222222"/>
        </w:rPr>
        <w:t xml:space="preserve"> até o primeiro marco e </w:t>
      </w:r>
      <w:r>
        <w:rPr>
          <w:b/>
          <w:bCs/>
          <w:color w:val="222222"/>
        </w:rPr>
        <w:t xml:space="preserve">22 dias</w:t>
      </w:r>
      <w:r>
        <w:rPr>
          <w:color w:val="222222"/>
        </w:rPr>
        <w:t xml:space="preserve"> até o segundo.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O que esta versão incorpora.</w:t>
      </w:r>
      <w:r>
        <w:rPr>
          <w:color w:val="222222"/>
        </w:rPr>
        <w:t xml:space="preserve"> Em 31/08/2026, às 18h32, o Intex comunicou à Trace a não objeção condicionada, com efeito suspensivo, e as condicionantes S1, S2, S3, S5 e S6. Às 19h20, a Trace respondeu que os pontos "já estavam endereçados no drive compartilhado" e enviou a pasta completa (34 arquivos). Esta revisão examina a pasta inteira, peça por peça, e diz o que ela atende de cada condicionante (3.1). A numeração das condicionantes comunicadas é preservada; não há S4.</w:t>
      </w:r>
    </w:p>
    <w:p>
      <w:pPr>
        <w:keepNext/>
        <w:pBdr>
          <w:bottom w:val="single" w:sz="8" w:space="2" w:color="92C024"/>
        </w:pBdr>
        <w:spacing w:before="200" w:after="90"/>
      </w:pPr>
      <w:r>
        <w:rPr>
          <w:b/>
          <w:bCs/>
          <w:color w:val="141D32"/>
          <w:sz w:val="23"/>
          <w:szCs w:val="23"/>
        </w:rPr>
        <w:t xml:space="preserve">2. Resumo das conclusões</w:t>
      </w:r>
    </w:p>
    <w:tbl>
      <w:tblPr>
        <w:tblW w:w="1020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>
        <w:tc>
          <w:tcPr>
            <w:tcW w:w="10206" w:type="dxa"/>
            <w:tcBorders>
              <w:top w:val="single" w:sz="18" w:space="0" w:color="92C024"/>
              <w:left w:val="single" w:sz="18" w:space="0" w:color="92C024"/>
              <w:bottom w:val="single" w:sz="4" w:space="0" w:color="C9CCD3"/>
              <w:right w:val="single" w:sz="4" w:space="0" w:color="C9CCD3"/>
            </w:tcBorders>
            <w:shd w:val="clear" w:color="auto" w:fill="F2F8E6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50"/>
            </w:pPr>
            <w:r>
              <w:rPr>
                <w:b/>
                <w:bCs/>
                <w:color w:val="141D32"/>
                <w:sz w:val="21"/>
                <w:szCs w:val="21"/>
              </w:rPr>
              <w:t xml:space="preserve">VEREDITO: NÃO OBJEÇÃO CONDICIONADA — S1 PARCIAL; S2, S3, S5 E S7 PENDENTES; FLUXO NÃO LIBERADO</w:t>
            </w:r>
          </w:p>
          <w:p>
            <w:pPr>
              <w:spacing w:after="30"/>
              <w:jc w:val="both"/>
            </w:pPr>
            <w:r>
              <w:rPr>
                <w:color w:val="222222"/>
              </w:rPr>
              <w:t xml:space="preserve">A pasta enviada em 31/08/2026 </w:t>
            </w:r>
            <w:r>
              <w:rPr>
                <w:b/>
                <w:bCs/>
                <w:color w:val="222222"/>
              </w:rPr>
              <w:t xml:space="preserve">não atende</w:t>
            </w:r>
            <w:r>
              <w:rPr>
                <w:color w:val="222222"/>
              </w:rPr>
              <w:t xml:space="preserve"> às condicionantes suspensivas. A única evidência nova relevante é o relatório de transações da Fireblocks, que corrobora o volume, mas revela que </w:t>
            </w:r>
            <w:r>
              <w:rPr>
                <w:b/>
                <w:bCs/>
                <w:color w:val="222222"/>
              </w:rPr>
              <w:t xml:space="preserve">a triagem de PLD foi contornada em 976 de 976 transações</w:t>
            </w:r>
            <w:r>
              <w:rPr>
                <w:color w:val="222222"/>
              </w:rPr>
              <w:t xml:space="preserve">. O fluxo com origem ou destino final na MEZAPRO </w:t>
            </w:r>
            <w:r>
              <w:rPr>
                <w:b/>
                <w:bCs/>
                <w:color w:val="222222"/>
              </w:rPr>
              <w:t xml:space="preserve">não deve ser executado</w:t>
            </w:r>
            <w:r>
              <w:rPr>
                <w:color w:val="222222"/>
              </w:rPr>
              <w:t xml:space="preserve"> até o cumprimento de S1, S2, S3, S5 e S7.</w:t>
            </w:r>
          </w:p>
          <w:p>
            <w:pPr>
              <w:spacing w:after="30"/>
              <w:jc w:val="both"/>
            </w:pPr>
            <w:r>
              <w:rPr>
                <w:color w:val="222222"/>
              </w:rPr>
              <w:t xml:space="preserve">Risco residual </w:t>
            </w:r>
            <w:r>
              <w:rPr>
                <w:b/>
                <w:bCs/>
                <w:color w:val="222222"/>
              </w:rPr>
              <w:t xml:space="preserve">ALTO</w:t>
            </w:r>
            <w:r>
              <w:rPr>
                <w:color w:val="222222"/>
              </w:rPr>
              <w:t xml:space="preserve">, igual ao nível do dossiê da Trace, mas com leitura oposta à dela sobre a mitigação. Marcos: </w:t>
            </w:r>
            <w:r>
              <w:rPr>
                <w:b/>
                <w:bCs/>
                <w:color w:val="222222"/>
              </w:rPr>
              <w:t xml:space="preserve">30/10/2026</w:t>
            </w:r>
            <w:r>
              <w:rPr>
                <w:color w:val="222222"/>
              </w:rPr>
              <w:t xml:space="preserve"> (S6) e </w:t>
            </w:r>
            <w:r>
              <w:rPr>
                <w:b/>
                <w:bCs/>
                <w:color w:val="222222"/>
              </w:rPr>
              <w:t xml:space="preserve">06/11/2026</w:t>
            </w:r>
            <w:r>
              <w:rPr>
                <w:color w:val="222222"/>
              </w:rPr>
              <w:t xml:space="preserve"> (T1). Pelo horizonte, uma eventual liberação pode durar poucos dias.</w:t>
            </w:r>
          </w:p>
        </w:tc>
      </w:tr>
    </w:tbl>
    <w:p>
      <w:pPr>
        <w:spacing w:after="40" w:line="252" w:lineRule="auto"/>
      </w:pPr>
    </w:p>
    <w:p>
      <w:pPr>
        <w:pStyle w:val="PargrafodaLista"/>
        <w:numPr>
          <w:ilvl w:val="0"/>
          <w:numId w:val="2"/>
        </w:numPr>
        <w:spacing w:after="50" w:line="246" w:lineRule="auto"/>
        <w:jc w:val="both"/>
      </w:pPr>
      <w:r>
        <w:rPr>
          <w:b/>
          <w:bCs/>
          <w:color w:val="222222"/>
        </w:rPr>
        <w:t xml:space="preserve">A resposta "já está tudo na pasta" procede só em parte.</w:t>
      </w:r>
      <w:r>
        <w:rPr>
          <w:color w:val="222222"/>
        </w:rPr>
        <w:t xml:space="preserve"> A pasta trouxe o relatório Fireblocks e uma tela do e-Guardian de 11/07/2026, que a versão 4 não considerou. Não trouxe a declaração de beneficiário final, a cap table da holding, os documentos de dois diretores, a confirmação de exaustividade das carteiras nem qualquer das três vias da S6 (3.1).</w:t>
      </w:r>
    </w:p>
    <w:p>
      <w:pPr>
        <w:pStyle w:val="PargrafodaLista"/>
        <w:numPr>
          <w:ilvl w:val="0"/>
          <w:numId w:val="2"/>
        </w:numPr>
        <w:spacing w:after="50" w:line="246" w:lineRule="auto"/>
        <w:jc w:val="both"/>
      </w:pPr>
      <w:r>
        <w:rPr>
          <w:b/>
          <w:bCs/>
          <w:color w:val="222222"/>
        </w:rPr>
        <w:t xml:space="preserve">A triagem em cadeia não operou.</w:t>
      </w:r>
      <w:r>
        <w:rPr>
          <w:color w:val="222222"/>
        </w:rPr>
        <w:t xml:space="preserve"> Os 976 recebimentos de 01/07 a 28/08/2026 (US$ 1,098 bi) têm a Chainalysis como provedor, sem pontuação nem categoria, e a mesma razão: falha de triagem contornada. O dossiê afirma monitoramento com bloqueio de fluxo ilícito (A7 · S2).</w:t>
      </w:r>
    </w:p>
    <w:p>
      <w:pPr>
        <w:pStyle w:val="PargrafodaLista"/>
        <w:numPr>
          <w:ilvl w:val="0"/>
          <w:numId w:val="2"/>
        </w:numPr>
        <w:spacing w:after="50" w:line="246" w:lineRule="auto"/>
        <w:jc w:val="both"/>
      </w:pPr>
      <w:r>
        <w:rPr>
          <w:b/>
          <w:bCs/>
          <w:color w:val="222222"/>
        </w:rPr>
        <w:t xml:space="preserve">98,65% do volume vem de um único endereço, que ninguém identificou.</w:t>
      </w:r>
      <w:r>
        <w:rPr>
          <w:color w:val="222222"/>
        </w:rPr>
        <w:t xml:space="preserve"> O endereço 0xc62f…aa03 enviou US$ 1,084 bi em 278 transações. Ele pode ser carteira operacional da própria Trace, ou do Intex, entregando USDC; essa hipótese precisa ser confirmada, não presumida (A10 · S7).</w:t>
      </w:r>
    </w:p>
    <w:p>
      <w:pPr>
        <w:pStyle w:val="PargrafodaLista"/>
        <w:numPr>
          <w:ilvl w:val="0"/>
          <w:numId w:val="2"/>
        </w:numPr>
        <w:spacing w:after="50" w:line="246" w:lineRule="auto"/>
        <w:jc w:val="both"/>
      </w:pPr>
      <w:r>
        <w:rPr>
          <w:b/>
          <w:bCs/>
          <w:color w:val="222222"/>
        </w:rPr>
        <w:t xml:space="preserve">A tese de atuação só por conta própria não se sustenta nos documentos da companhia.</w:t>
      </w:r>
      <w:r>
        <w:rPr>
          <w:color w:val="222222"/>
        </w:rPr>
        <w:t xml:space="preserve"> O objeto social inclui "corretagem e custódia de criptoativos", e o próprio grupo descreve balcão para alta renda e institucionais, transacionado com a Trace. A intermediação migraria para a Mercado Bitcoin Serviços Digitais, sem protocolo (A6 · S6).</w:t>
      </w:r>
    </w:p>
    <w:p>
      <w:pPr>
        <w:pStyle w:val="PargrafodaLista"/>
        <w:numPr>
          <w:ilvl w:val="0"/>
          <w:numId w:val="2"/>
        </w:numPr>
        <w:spacing w:after="50" w:line="246" w:lineRule="auto"/>
        <w:jc w:val="both"/>
      </w:pPr>
      <w:r>
        <w:rPr>
          <w:b/>
          <w:bCs/>
          <w:color w:val="222222"/>
        </w:rPr>
        <w:t xml:space="preserve">O beneficiário final segue não identificado.</w:t>
      </w:r>
      <w:r>
        <w:rPr>
          <w:color w:val="222222"/>
        </w:rPr>
        <w:t xml:space="preserve"> Há só o organograma de 26/06/2026, assinado pelo CEO do grupo, que afere participação e controle individual. A Mezapro confirmou por e-mail que não há PEP, mas um dos diretores é PEP por relação (A5 · S3).</w:t>
      </w:r>
    </w:p>
    <w:p>
      <w:pPr>
        <w:pStyle w:val="PargrafodaLista"/>
        <w:numPr>
          <w:ilvl w:val="0"/>
          <w:numId w:val="2"/>
        </w:numPr>
        <w:spacing w:after="50" w:line="246" w:lineRule="auto"/>
        <w:jc w:val="both"/>
      </w:pPr>
      <w:r>
        <w:rPr>
          <w:b/>
          <w:bCs/>
          <w:color w:val="222222"/>
        </w:rPr>
        <w:t xml:space="preserve">A capacidade financeira depende do grupo.</w:t>
      </w:r>
      <w:r>
        <w:rPr>
          <w:color w:val="222222"/>
        </w:rPr>
        <w:t xml:space="preserve"> O PL é de </w:t>
      </w:r>
      <w:r>
        <w:rPr>
          <w:b/>
          <w:bCs/>
          <w:color w:val="222222"/>
        </w:rPr>
        <w:t xml:space="preserve">−R$ 65,1 mi</w:t>
      </w:r>
      <w:r>
        <w:rPr>
          <w:color w:val="222222"/>
        </w:rPr>
        <w:t xml:space="preserve">, o prejuízo de 2025 foi de R$ 59,9 mi e o caixa é de R$ 723,7 mil. O dossiê da Trace registra o PL com sinal positivo e conclui pela "saúde financeira formal" (A1 · AC1).</w:t>
      </w:r>
    </w:p>
    <w:p>
      <w:pPr>
        <w:pStyle w:val="PargrafodaLista"/>
        <w:numPr>
          <w:ilvl w:val="0"/>
          <w:numId w:val="2"/>
        </w:numPr>
        <w:spacing w:after="50" w:line="246" w:lineRule="auto"/>
        <w:jc w:val="both"/>
      </w:pPr>
      <w:r>
        <w:rPr>
          <w:b/>
          <w:bCs/>
          <w:color w:val="222222"/>
        </w:rPr>
        <w:t xml:space="preserve">Risco de perfil ALTO; risco de conduta MÉDIO-ALTO.</w:t>
      </w:r>
      <w:r>
        <w:rPr>
          <w:color w:val="222222"/>
        </w:rPr>
        <w:t xml:space="preserve"> O perfil é o de mesa de balcão de alto volume, em transição regulatória e sem intenção de autorização. A conduta reflete afirmações contrariadas pela própria evidência juntada. </w:t>
      </w:r>
      <w:r>
        <w:rPr>
          <w:b/>
          <w:bCs/>
          <w:color w:val="222222"/>
        </w:rPr>
        <w:t xml:space="preserve">Não há indício de ilicitude</w:t>
      </w:r>
      <w:r>
        <w:rPr>
          <w:color w:val="222222"/>
        </w:rPr>
        <w:t xml:space="preserve">, sanção aplicada ou matéria penal.</w:t>
      </w:r>
    </w:p>
    <w:p>
      <w:pPr>
        <w:keepNext/>
        <w:pBdr>
          <w:bottom w:val="single" w:sz="8" w:space="2" w:color="92C024"/>
        </w:pBdr>
        <w:spacing w:before="200" w:after="90"/>
      </w:pPr>
      <w:r>
        <w:rPr>
          <w:b/>
          <w:bCs/>
          <w:color w:val="141D32"/>
          <w:sz w:val="23"/>
          <w:szCs w:val="23"/>
        </w:rPr>
        <w:t xml:space="preserve">3. Achados relevantes</w:t>
      </w:r>
    </w:p>
    <w:p>
      <w:pPr>
        <w:keepNext/>
        <w:spacing w:after="40"/>
      </w:pPr>
      <w:r>
        <w:rPr>
          <w:color w:val="5A5F6B"/>
          <w:sz w:val="15"/>
          <w:szCs w:val="15"/>
        </w:rPr>
        <w:t xml:space="preserve">Legenda: [D] indica dado extraído de documento; [E] indica estimativa deste parecer. Os números dos achados seguem a versão 5.</w:t>
      </w:r>
    </w:p>
    <w:tbl>
      <w:tblPr>
        <w:tblW w:w="1020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900"/>
        <w:gridCol w:w="6126"/>
        <w:gridCol w:w="1700"/>
      </w:tblGrid>
      <w:tr>
        <w:trPr>
          <w:cantSplit/>
          <w:tblHeader/>
        </w:trPr>
        <w:tc>
          <w:tcPr>
            <w:tcW w:w="48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141D3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w="1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141D3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Achado</w:t>
            </w:r>
          </w:p>
        </w:tc>
        <w:tc>
          <w:tcPr>
            <w:tcW w:w="61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141D3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Leitura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141D3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Encaminhamento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A7</w:t>
            </w:r>
          </w:p>
        </w:tc>
        <w:tc>
          <w:tcPr>
            <w:tcW w:w="1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Triagem de PLD contornada em 976 de 976 transações. [D]</w:t>
            </w:r>
          </w:p>
        </w:tc>
        <w:tc>
          <w:tcPr>
            <w:tcW w:w="61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Relatório Fireblocks (CSV), 01/07 a 28/08/2026: provedor CHAINALYSIS_V2, campos de pontuação e categoria vazios e razão BYPASSED_FAILURE em todos os registros. Nenhuma transação foi triada antes da liquidação. Os campos de assinatura e criação também estão vazios.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S2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A10</w:t>
            </w:r>
          </w:p>
        </w:tc>
        <w:tc>
          <w:tcPr>
            <w:tcW w:w="1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Contraparte dominante não identificada. [D]/[E]</w:t>
            </w:r>
          </w:p>
        </w:tc>
        <w:tc>
          <w:tcPr>
            <w:tcW w:w="61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0xc62f9dc1bcFB49586DD2DcD83DDF7c719d35aa03 responde por </w:t>
            </w:r>
            <w:r>
              <w:rPr>
                <w:b/>
                <w:bCs/>
                <w:color w:val="222222"/>
                <w:sz w:val="16"/>
                <w:szCs w:val="16"/>
              </w:rPr>
              <w:t xml:space="preserve">98,65%</w:t>
            </w:r>
            <w:r>
              <w:rPr>
                <w:color w:val="222222"/>
                <w:sz w:val="16"/>
                <w:szCs w:val="16"/>
              </w:rPr>
              <w:t xml:space="preserve"> do volume: 278 transações, ticket médio de US$ 3,9 mi, máximo de US$ 18,0 mi. Outras 2 origens somam 1,35%. Os demais 42 endereços enviaram 690 transações que somam US$ 0,33, padrão de poeira compatível com envenenamento de endereço [E]. O endereço dominante não foi triado nem identificado em nenhuma peça.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S7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A6</w:t>
            </w:r>
          </w:p>
        </w:tc>
        <w:tc>
          <w:tcPr>
            <w:tcW w:w="1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Perímetro regulatório: balcão para terceiros, sem intenção de autorização. [D]</w:t>
            </w:r>
          </w:p>
        </w:tc>
        <w:tc>
          <w:tcPr>
            <w:tcW w:w="61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O dossiê e o Pipefy registram que a companhia não tem nem pretende pedir autorização, por atuar só por conta própria. O objeto social (18ª alteração, Jucesp 2.116.695/26-0) inclui "corretagem e custódia de criptoativos". O e-mail de 23/08/2026 descreve balcão para HNWI e institucionais e a migração para a Mercado Bitcoin Serviços Digitais (CNPJ 18.213.434/0001-35), sem protocolo. CNAE 66.19-3-99, sem atividade de ativos virtuais.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S6 · T1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A5</w:t>
            </w:r>
          </w:p>
        </w:tc>
        <w:tc>
          <w:tcPr>
            <w:tcW w:w="1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Beneficiário final não identificado; PEP negado em resposta. [D]</w:t>
            </w:r>
          </w:p>
        </w:tc>
        <w:tc>
          <w:tcPr>
            <w:tcW w:w="61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Organograma de 26/06/2026, assinado por Roberto Dagnoni (CEO do grupo): "não há pessoa física que detenha mais de 25% ou que controle individualmente" a 2TM Holding Company Ltd. (Cayman). Não há cap table nem acordo de acionistas. Só há documento de Lucas Lopes, dos três diretores. Em 28/08/2026 a Mezapro "confirmou" que nenhum controlador é PEP; Daniel Benzecry Carneiro da Cunha, diretor, é PEP por relação, de nível 2.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S3 · G3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A8</w:t>
            </w:r>
          </w:p>
        </w:tc>
        <w:tc>
          <w:tcPr>
            <w:tcW w:w="1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Atestação de carteiras incompleta e sem evidência. [D]</w:t>
            </w:r>
          </w:p>
        </w:tc>
        <w:tc>
          <w:tcPr>
            <w:tcW w:w="61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 Wallet Control Attestation (datada de 26/05/2026, assinada em 27/08/2026 por André Gouvinhas, qualificado no Docusign como CFO da Mercado Bitcoin Serviços Digitais) lista 3 endereços (2 Ethereum, 1 Solana). O anexo de evidências está vazio. Um segundo atestado de 03/06/2026, "incluindo Tron e outro endereço Ethereum", é citado em e-mail de 31/08 e não veio. O destino dos 976 recebimentos (0xD9D7…2381, "Mezapro - Bot") é classificado pela Chainalysis como exchange, sem dados de exposição.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S5 · G1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A2</w:t>
            </w:r>
          </w:p>
        </w:tc>
        <w:tc>
          <w:tcPr>
            <w:tcW w:w="1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Monitoramento em ambiente de outra pessoa jurídica. [D]</w:t>
            </w:r>
          </w:p>
        </w:tc>
        <w:tc>
          <w:tcPr>
            <w:tcW w:w="61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 tela do e-Guardian (último acesso em 11/07/2026) é da instância MBPAGAMENTOS, da Mercado Bitcoin Instituição de Pagamento (CNPJ 11.351.086/0001-13), com regras de instituição de pagamento e duas com SLA estourado. A tela da Chainalysis é o painel KYT da exchange do grupo (463 mil usuários), sem recorte da Mezapro.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S2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A3</w:t>
            </w:r>
          </w:p>
        </w:tc>
        <w:tc>
          <w:tcPr>
            <w:tcW w:w="1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Volume corroborado, cadastro não recalibrado. [D]/[E]</w:t>
            </w:r>
          </w:p>
        </w:tc>
        <w:tc>
          <w:tcPr>
            <w:tcW w:w="61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Fireblocks: US$ 643,1 mi em jul e US$ 455,3 mi em ago (até o dia 28). O Pipefy registra ao mesmo tempo TPV de US$ 600 mi/mês e volume de R$ 3,6 mi/mês com ticket de R$ 54 mil, herdado do dossiê de 16/05/2025 (USD 3,6 mi/mês). Ver 3.3.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S1 · G2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A11</w:t>
            </w:r>
          </w:p>
        </w:tc>
        <w:tc>
          <w:tcPr>
            <w:tcW w:w="1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Desenho do fluxo não documentado. [D]</w:t>
            </w:r>
          </w:p>
        </w:tc>
        <w:tc>
          <w:tcPr>
            <w:tcW w:w="61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O único contrato juntado é de </w:t>
            </w:r>
            <w:r>
              <w:rPr>
                <w:b/>
                <w:bCs/>
                <w:color w:val="222222"/>
                <w:sz w:val="16"/>
                <w:szCs w:val="16"/>
              </w:rPr>
              <w:t xml:space="preserve">facilitação de pagamentos internacionais</w:t>
            </w:r>
            <w:r>
              <w:rPr>
                <w:color w:val="222222"/>
                <w:sz w:val="16"/>
                <w:szCs w:val="16"/>
              </w:rPr>
              <w:t xml:space="preserve"> (PIX Inc., Trace como correspondente cambial e a Mezapro), assinado em 22 a 27/07/2026, com conta em moeda estrangeira em nome da PIX Inc. Não trata de ativos virtuais. Nenhuma peça descreve como a liquidez do Intex se insere no fluxo da Mezapro.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S7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A12</w:t>
            </w:r>
          </w:p>
        </w:tc>
        <w:tc>
          <w:tcPr>
            <w:tcW w:w="1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Operação anterior à conclusão desta diligência. [D]</w:t>
            </w:r>
          </w:p>
        </w:tc>
        <w:tc>
          <w:tcPr>
            <w:tcW w:w="61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Em 26/05/2026 a Trace pediu atestado de carteiras para reportes ao regulador de "operações da Mezapro" em maio/2026; em 24/07/2026 fala em "retomarmos as operações". O relatório Fireblocks mostra US$ 1,098 bi recebidos em jul–ago/2026. Não se sabe se esse fluxo se apoiou na liquidez do Intex.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S7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A1</w:t>
            </w:r>
          </w:p>
        </w:tc>
        <w:tc>
          <w:tcPr>
            <w:tcW w:w="1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Capacidade financeira dependente do grupo. [D]</w:t>
            </w:r>
          </w:p>
        </w:tc>
        <w:tc>
          <w:tcPr>
            <w:tcW w:w="61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DF de 2025 não auditadas: ativo de R$ 38,8 mi, passivo circulante de R$ 52,5 mi, PL de </w:t>
            </w:r>
            <w:r>
              <w:rPr>
                <w:b/>
                <w:bCs/>
                <w:color w:val="222222"/>
                <w:sz w:val="16"/>
                <w:szCs w:val="16"/>
              </w:rPr>
              <w:t xml:space="preserve">−R$ 65,1 mi</w:t>
            </w:r>
            <w:r>
              <w:rPr>
                <w:color w:val="222222"/>
                <w:sz w:val="16"/>
                <w:szCs w:val="16"/>
              </w:rPr>
              <w:t xml:space="preserve"> (−R$ 17,6 mi em 2024), prejuízo de R$ 59,9 mi, caixa de R$ 723,7 mil e 45,6% do ativo em conta a receber de parte relacionada. A reserva de capital de R$ 212,9 mi (+R$ 12,4 mi em 2025) indica aportes do grupo [E]. CRC sem UF.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AC1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A13</w:t>
            </w:r>
          </w:p>
        </w:tc>
        <w:tc>
          <w:tcPr>
            <w:tcW w:w="1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Entidade de destino da migração com histórico regulatório. [D]</w:t>
            </w:r>
          </w:p>
        </w:tc>
        <w:tc>
          <w:tcPr>
            <w:tcW w:w="61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 Mercado Bitcoin Serviços Digitais teve a Deliberação CVM 896/2025 (suspensão de intermediação irregular de contratos de investimento coletivo), revogada pela 897/2025 em 28/03/2025, e figura no pedido de quebra de sigilo da CPI das Pirâmides (2023). Sem condenação conhecida.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Registro · G4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A9</w:t>
            </w:r>
          </w:p>
        </w:tc>
        <w:tc>
          <w:tcPr>
            <w:tcW w:w="1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Travel Rule ausente. [D]</w:t>
            </w:r>
          </w:p>
        </w:tc>
        <w:tc>
          <w:tcPr>
            <w:tcW w:w="61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Campos de Travel Rule vazios nos 976 registros; o Pipefy registra "Travel Rule capability: No". A obrigação está em implantação gradual (art. 89 da Res. BCB 520/2025); a ausência hoje não é descumprimento.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Registro</w:t>
            </w:r>
          </w:p>
        </w:tc>
      </w:tr>
      <w:tr>
        <w:trPr>
          <w:cantSplit/>
        </w:trPr>
        <w:tc>
          <w:tcPr>
            <w:tcW w:w="48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A4</w:t>
            </w:r>
          </w:p>
        </w:tc>
        <w:tc>
          <w:tcPr>
            <w:tcW w:w="1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Processo de origem com afirmações não conferidas. [D]</w:t>
            </w:r>
          </w:p>
        </w:tc>
        <w:tc>
          <w:tcPr>
            <w:tcW w:w="612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O dossiê da Trace registra o PL como positivo, afirma evidência de propriedade das carteiras (anexo vazio) e monitoramento com bloqueio (contornado), e conclui que os riscos estão "amplamente mitigados". A pergunta sobre PEP não alcançou administradores.</w:t>
            </w:r>
          </w:p>
        </w:tc>
        <w:tc>
          <w:tcPr>
            <w:tcW w:w="17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Registro (processo principal)</w:t>
            </w:r>
          </w:p>
        </w:tc>
      </w:tr>
    </w:tbl>
    <w:p>
      <w:pPr>
        <w:spacing w:after="40"/>
      </w:pPr>
    </w:p>
    <w:p>
      <w:pPr>
        <w:keepNext/>
        <w:spacing w:before="120" w:after="50"/>
      </w:pPr>
      <w:r>
        <w:rPr>
          <w:b/>
          <w:bCs/>
          <w:color w:val="141D32"/>
          <w:sz w:val="19"/>
          <w:szCs w:val="19"/>
        </w:rPr>
        <w:t xml:space="preserve">3.1 A resposta de 31/08/2026: o que a pasta atende</w:t>
      </w:r>
    </w:p>
    <w:tbl>
      <w:tblPr>
        <w:tblW w:w="1020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"/>
        <w:gridCol w:w="3440"/>
        <w:gridCol w:w="4357"/>
        <w:gridCol w:w="1607"/>
      </w:tblGrid>
      <w:tr>
        <w:trPr>
          <w:cantSplit/>
          <w:tblHeader/>
        </w:trPr>
        <w:tc>
          <w:tcPr>
            <w:tcW w:w="802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141D3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Cond.</w:t>
            </w:r>
          </w:p>
        </w:tc>
        <w:tc>
          <w:tcPr>
            <w:tcW w:w="344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141D3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Pedido de 31/08/2026</w:t>
            </w:r>
          </w:p>
        </w:tc>
        <w:tc>
          <w:tcPr>
            <w:tcW w:w="4357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141D3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 que a pasta traz</w:t>
            </w:r>
          </w:p>
        </w:tc>
        <w:tc>
          <w:tcPr>
            <w:tcW w:w="1607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141D3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802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S1</w:t>
            </w:r>
          </w:p>
        </w:tc>
        <w:tc>
          <w:tcPr>
            <w:tcW w:w="344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Volume em grandeza e moeda únicas, justificativa do aumento, relatório Fireblocks ou equivalente de 3 meses e recalibragem de limites e alertas.</w:t>
            </w:r>
          </w:p>
        </w:tc>
        <w:tc>
          <w:tcPr>
            <w:tcW w:w="4357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Relatório Fireblocks de 01/07 a 28/08/2026 (59 dias, não 3 meses) e e-mail de 27/08 ("20–25M USD/dia"). O cadastro segue com grandezas contraditórias; não há justificativa nem recalibragem.</w:t>
            </w:r>
          </w:p>
        </w:tc>
        <w:tc>
          <w:tcPr>
            <w:tcW w:w="1607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w="802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S2</w:t>
            </w:r>
          </w:p>
        </w:tc>
        <w:tc>
          <w:tcPr>
            <w:tcW w:w="344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Capturas dos últimos 90 dias, atribuíveis à Mezapro, com regras para ativos virtuais, fila e SLA.</w:t>
            </w:r>
          </w:p>
        </w:tc>
        <w:tc>
          <w:tcPr>
            <w:tcW w:w="4357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e-Guardian de 11/07/2026 da MBPAGAMENTOS (outra PJ), regras de IP; painel KYT da exchange do grupo. O relatório Fireblocks mostra a triagem contornada em todas as transações.</w:t>
            </w:r>
          </w:p>
        </w:tc>
        <w:tc>
          <w:tcPr>
            <w:tcW w:w="1607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NÃO ATENDIDA</w:t>
            </w:r>
          </w:p>
        </w:tc>
      </w:tr>
      <w:tr>
        <w:trPr>
          <w:cantSplit/>
        </w:trPr>
        <w:tc>
          <w:tcPr>
            <w:tcW w:w="802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S3</w:t>
            </w:r>
          </w:p>
        </w:tc>
        <w:tc>
          <w:tcPr>
            <w:tcW w:w="344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Declaração de beneficiário final oponível, critério de controle, cap table da holding, acordo de acionistas e documentos de dois diretores.</w:t>
            </w:r>
          </w:p>
        </w:tc>
        <w:tc>
          <w:tcPr>
            <w:tcW w:w="4357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Só o organograma de 26/06/2026 e a CNH de Lucas Lopes. A declaração de beneficiários ("DetailsofUBOs.pdf", listada no Pipefy) não veio.</w:t>
            </w:r>
          </w:p>
        </w:tc>
        <w:tc>
          <w:tcPr>
            <w:tcW w:w="1607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NÃO ATENDIDA</w:t>
            </w:r>
          </w:p>
        </w:tc>
      </w:tr>
      <w:tr>
        <w:trPr>
          <w:cantSplit/>
        </w:trPr>
        <w:tc>
          <w:tcPr>
            <w:tcW w:w="802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S5</w:t>
            </w:r>
          </w:p>
        </w:tc>
        <w:tc>
          <w:tcPr>
            <w:tcW w:w="344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Confirmação de exaustividade dos 5 endereços, compromisso de comunicação prévia e endereço a criar na Trace.</w:t>
            </w:r>
          </w:p>
        </w:tc>
        <w:tc>
          <w:tcPr>
            <w:tcW w:w="4357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Atestação de 3 endereços, com anexo vazio. O atestado com os outros 2 (Tron e Ethereum) não veio. Sem confirmação, compromisso ou novo endereço.</w:t>
            </w:r>
          </w:p>
        </w:tc>
        <w:tc>
          <w:tcPr>
            <w:tcW w:w="1607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NÃO ATENDIDA</w:t>
            </w:r>
          </w:p>
        </w:tc>
      </w:tr>
      <w:tr>
        <w:trPr>
          <w:cantSplit/>
        </w:trPr>
        <w:tc>
          <w:tcPr>
            <w:tcW w:w="802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S6</w:t>
            </w:r>
          </w:p>
        </w:tc>
        <w:tc>
          <w:tcPr>
            <w:tcW w:w="344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Uma de três vias: protocolo, descontinuação do balcão para terceiros ou parecer jurídico.</w:t>
            </w:r>
          </w:p>
        </w:tc>
        <w:tc>
          <w:tcPr>
            <w:tcW w:w="4357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Nenhuma. Só a declaração de que a intermediação migrará para a Mercado Bitcoin Serviços Digitais, "em auditoria externa".</w:t>
            </w:r>
          </w:p>
        </w:tc>
        <w:tc>
          <w:tcPr>
            <w:tcW w:w="1607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PENDENTE</w:t>
            </w:r>
            <w:r>
              <w:rPr>
                <w:color w:val="222222"/>
                <w:sz w:val="16"/>
                <w:szCs w:val="16"/>
              </w:rPr>
              <w:t xml:space="preserve"> (30/10)</w:t>
            </w:r>
          </w:p>
        </w:tc>
      </w:tr>
      <w:tr>
        <w:trPr>
          <w:cantSplit/>
        </w:trPr>
        <w:tc>
          <w:tcPr>
            <w:tcW w:w="802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AC1</w:t>
            </w:r>
          </w:p>
        </w:tc>
        <w:tc>
          <w:tcPr>
            <w:tcW w:w="344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DF de 2026 e eventual auditoria, com acompanhamento trimestral.</w:t>
            </w:r>
          </w:p>
        </w:tc>
        <w:tc>
          <w:tcPr>
            <w:tcW w:w="4357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Não exigível ainda.</w:t>
            </w:r>
          </w:p>
        </w:tc>
        <w:tc>
          <w:tcPr>
            <w:tcW w:w="1607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Prazo 30/11</w:t>
            </w:r>
          </w:p>
        </w:tc>
      </w:tr>
    </w:tbl>
    <w:p>
      <w:pPr>
        <w:spacing w:after="40"/>
      </w:pPr>
    </w:p>
    <w:p>
      <w:pPr>
        <w:keepNext/>
        <w:spacing w:before="120" w:after="50"/>
      </w:pPr>
      <w:r>
        <w:rPr>
          <w:b/>
          <w:bCs/>
          <w:color w:val="141D32"/>
          <w:sz w:val="19"/>
          <w:szCs w:val="19"/>
        </w:rPr>
        <w:t xml:space="preserve">3.2 Triagem contornada e contraparte dominante (A7, A10 e A12)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Fatos.</w:t>
      </w:r>
      <w:r>
        <w:rPr>
          <w:color w:val="222222"/>
        </w:rPr>
        <w:t xml:space="preserve"> Os 976 registros são entradas de USDC, todas concluídas, para um único cofre ("Mezapro - Bot", 0xD9D7…2381), sem nenhuma saída. Em todos, o provedor de AML é a Chainalysis e a triagem falhou e foi contornada. Das 45 origens, uma enviou 98,65% do volume; 42 enviaram poeira.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Atenuação.</w:t>
      </w:r>
      <w:r>
        <w:rPr>
          <w:color w:val="222222"/>
        </w:rPr>
        <w:t xml:space="preserve"> O relatório não foi preparado para o pedido, o que lhe dá valor probatório. O endereço dominante, com tickets de milhões e cadência diária, tem perfil de contraparte institucional. Se for carteira da própria Trace ou do Intex, a concentração é natural ao trilho, e a contraparte é conhecida.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Agravamento.</w:t>
      </w:r>
      <w:r>
        <w:rPr>
          <w:color w:val="222222"/>
        </w:rPr>
        <w:t xml:space="preserve"> A triagem contornada contradiz a afirmação de bloqueio proativo, que sustentou a conclusão favorável da origem. Se o endereço dominante for da Trace ou do Intex, o fluxo de US$ 1,1 bi em jul–ago/2026 correu antes da conclusão desta diligência. Se não for, a contraparte de quase todo o volume é desconhecida. As duas leituras exigem resposta antes da liberação.</w:t>
      </w:r>
    </w:p>
    <w:p>
      <w:pPr>
        <w:keepNext/>
        <w:spacing w:before="120" w:after="50"/>
      </w:pPr>
      <w:r>
        <w:rPr>
          <w:b/>
          <w:bCs/>
          <w:color w:val="141D32"/>
          <w:sz w:val="19"/>
          <w:szCs w:val="19"/>
        </w:rPr>
        <w:t xml:space="preserve">3.3 Volume declarado x observado (A3)</w:t>
      </w:r>
    </w:p>
    <w:tbl>
      <w:tblPr>
        <w:tblW w:w="1020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3100"/>
        <w:gridCol w:w="3206"/>
      </w:tblGrid>
      <w:tr>
        <w:trPr>
          <w:cantSplit/>
          <w:tblHeader/>
        </w:trPr>
        <w:tc>
          <w:tcPr>
            <w:tcW w:w="3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141D3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Fonte</w:t>
            </w:r>
          </w:p>
        </w:tc>
        <w:tc>
          <w:tcPr>
            <w:tcW w:w="31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141D3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  <w:tc>
          <w:tcPr>
            <w:tcW w:w="32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shd w:val="clear" w:color="auto" w:fill="141D32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Leitura</w:t>
            </w:r>
          </w:p>
        </w:tc>
      </w:tr>
      <w:tr>
        <w:trPr>
          <w:cantSplit/>
        </w:trPr>
        <w:tc>
          <w:tcPr>
            <w:tcW w:w="3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Dossiê da Trace de 16/05/2025</w:t>
            </w:r>
          </w:p>
        </w:tc>
        <w:tc>
          <w:tcPr>
            <w:tcW w:w="31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USD 3,6 mi/mês; ticket USD 54 mil [D]</w:t>
            </w:r>
          </w:p>
        </w:tc>
        <w:tc>
          <w:tcPr>
            <w:tcW w:w="32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Base ainda usada no cadastro</w:t>
            </w:r>
          </w:p>
        </w:tc>
      </w:tr>
      <w:tr>
        <w:trPr>
          <w:cantSplit/>
        </w:trPr>
        <w:tc>
          <w:tcPr>
            <w:tcW w:w="3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Pipefy (31/08/2026)</w:t>
            </w:r>
          </w:p>
        </w:tc>
        <w:tc>
          <w:tcPr>
            <w:tcW w:w="31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TPV US$ 600 mi/mês e, no mesmo formulário, R$ 3,6 mi/mês; ticket US$ / R$ 54 mil [D]</w:t>
            </w:r>
          </w:p>
        </w:tc>
        <w:tc>
          <w:tcPr>
            <w:tcW w:w="32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Grandezas e moedas contraditórias</w:t>
            </w:r>
          </w:p>
        </w:tc>
      </w:tr>
      <w:tr>
        <w:trPr>
          <w:cantSplit/>
        </w:trPr>
        <w:tc>
          <w:tcPr>
            <w:tcW w:w="3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E-mail da Mezapro de 27/08/2026</w:t>
            </w:r>
          </w:p>
        </w:tc>
        <w:tc>
          <w:tcPr>
            <w:tcW w:w="31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US$ 20–25 mi/dia [D]</w:t>
            </w:r>
          </w:p>
        </w:tc>
        <w:tc>
          <w:tcPr>
            <w:tcW w:w="32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Declaração aprovada pela Trace</w:t>
            </w:r>
          </w:p>
        </w:tc>
      </w:tr>
      <w:tr>
        <w:trPr>
          <w:cantSplit/>
        </w:trPr>
        <w:tc>
          <w:tcPr>
            <w:tcW w:w="3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Fireblocks, 01/07–28/08/2026</w:t>
            </w:r>
          </w:p>
        </w:tc>
        <w:tc>
          <w:tcPr>
            <w:tcW w:w="31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US$ 1,098 bi; jul US$ 643,1 mi; ago US$ 455,3 mi [D]</w:t>
            </w:r>
          </w:p>
        </w:tc>
        <w:tc>
          <w:tcPr>
            <w:tcW w:w="32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Média de US$ 22,4 mi nos 49 dias com movimento</w:t>
            </w:r>
          </w:p>
        </w:tc>
      </w:tr>
      <w:tr>
        <w:trPr>
          <w:cantSplit/>
        </w:trPr>
        <w:tc>
          <w:tcPr>
            <w:tcW w:w="3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Projeção mensal</w:t>
            </w:r>
          </w:p>
        </w:tc>
        <w:tc>
          <w:tcPr>
            <w:tcW w:w="31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≈ US$ 558 mi/mês (1.098,4 ÷ 59 × 30) [E]</w:t>
            </w:r>
          </w:p>
        </w:tc>
        <w:tc>
          <w:tcPr>
            <w:tcW w:w="32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155 a 187 vezes o cadastro, conforme a base de dias [E]</w:t>
            </w:r>
          </w:p>
        </w:tc>
      </w:tr>
      <w:tr>
        <w:trPr>
          <w:cantSplit/>
        </w:trPr>
        <w:tc>
          <w:tcPr>
            <w:tcW w:w="39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DRE de 2025</w:t>
            </w:r>
          </w:p>
        </w:tc>
        <w:tc>
          <w:tcPr>
            <w:tcW w:w="3100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Receita bruta de serviços de R$ 89,8 mi [D]</w:t>
            </w:r>
          </w:p>
        </w:tc>
        <w:tc>
          <w:tcPr>
            <w:tcW w:w="3206" w:type="dxa"/>
            <w:tcBorders>
              <w:top w:val="single" w:sz="4" w:space="0" w:color="C9CCD3"/>
              <w:left w:val="single" w:sz="4" w:space="0" w:color="C9CCD3"/>
              <w:bottom w:val="single" w:sz="4" w:space="0" w:color="C9CCD3"/>
              <w:right w:val="single" w:sz="4" w:space="0" w:color="C9CCD3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30" w:line="236" w:lineRule="auto"/>
            </w:pPr>
            <w:r>
              <w:rPr>
                <w:color w:val="222222"/>
                <w:sz w:val="16"/>
                <w:szCs w:val="16"/>
              </w:rPr>
              <w:t xml:space="preserve">Referência de porte</w:t>
            </w:r>
          </w:p>
        </w:tc>
      </w:tr>
    </w:tbl>
    <w:p>
      <w:pPr>
        <w:spacing w:after="40"/>
      </w:pP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Leitura.</w:t>
      </w:r>
      <w:r>
        <w:rPr>
          <w:color w:val="222222"/>
        </w:rPr>
        <w:t xml:space="preserve"> O volume observado sustenta a ordem de grandeza declarada em agosto de 2026. O relatório, porém, só tem entradas, de um ativo, para um endereço: demonstra depósito recebido, não volume processado. E um trilho calibrado para US$ 3,6 mi/mês não gera alerta útil para este fluxo.</w:t>
      </w:r>
    </w:p>
    <w:p>
      <w:pPr>
        <w:keepNext/>
        <w:pBdr>
          <w:bottom w:val="single" w:sz="8" w:space="2" w:color="92C024"/>
        </w:pBdr>
        <w:spacing w:before="200" w:after="90"/>
      </w:pPr>
      <w:r>
        <w:rPr>
          <w:b/>
          <w:bCs/>
          <w:color w:val="141D32"/>
          <w:sz w:val="23"/>
          <w:szCs w:val="23"/>
        </w:rPr>
        <w:t xml:space="preserve">4. Condicionantes</w:t>
      </w:r>
    </w:p>
    <w:p>
      <w:pPr>
        <w:spacing w:after="80" w:line="252" w:lineRule="auto"/>
        <w:jc w:val="both"/>
      </w:pPr>
      <w:r>
        <w:rPr>
          <w:color w:val="222222"/>
        </w:rPr>
        <w:t xml:space="preserve">Dirigidas à Trace, na qualidade de cliente do Intex, e não à MEZAPRO. S1 a S6 repetem a comunicação de 31/08/2026; S7 decorre do relatório Fireblocks, examinado nesta revisão. Pelo horizonte até 30/10/2026, o prazo das suspensivas é </w:t>
      </w:r>
      <w:r>
        <w:rPr>
          <w:b/>
          <w:bCs/>
          <w:color w:val="222222"/>
        </w:rPr>
        <w:t xml:space="preserve">23/10/2026</w:t>
      </w:r>
      <w:r>
        <w:rPr>
          <w:color w:val="222222"/>
        </w:rPr>
        <w:t xml:space="preserve">.</w:t>
      </w:r>
    </w:p>
    <w:p>
      <w:pPr>
        <w:keepNext/>
        <w:spacing w:before="120" w:after="50"/>
      </w:pPr>
      <w:r>
        <w:rPr>
          <w:b/>
          <w:bCs/>
          <w:color w:val="141D32"/>
          <w:sz w:val="19"/>
          <w:szCs w:val="19"/>
        </w:rPr>
        <w:t xml:space="preserve">4.1 Suspensivas (antes da liberação, até 23/10/2026)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S1 — Volume.</w:t>
      </w:r>
      <w:r>
        <w:rPr>
          <w:color w:val="222222"/>
        </w:rPr>
        <w:t xml:space="preserve"> Atualização cadastral em grandeza única, mensal e em moeda única, com justificativa do aumento, e recalibragem formal dos limites e gatilhos de alerta do trilho. O relatório Fireblocks já recebido supre a parte documental.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S2 — Execução dos controles.</w:t>
      </w:r>
      <w:r>
        <w:rPr>
          <w:color w:val="222222"/>
        </w:rPr>
        <w:t xml:space="preserve"> (i) Explicação formal do contorno da triagem em 976 de 976 transações e evidência de que as transações de jul–ago/2026 foram triadas em revisão posterior, com resultado; (ii) evidência de que a triagem opera antes da liquidação; (iii) capturas dos últimos 90 dias, atribuíveis à MEZAPRO, do ambiente com regras para ativos virtuais, fila e SLA.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S3 — Beneficiário final.</w:t>
      </w:r>
      <w:r>
        <w:rPr>
          <w:color w:val="222222"/>
        </w:rPr>
        <w:t xml:space="preserve"> Declaração oponível (razão social, CNPJ, data, cargo e assinatura de representante legal), aferida também por controle; cap table ou registro societário da 2TM Holding Company Ltd.; confirmação sobre acordo de acionistas, voto plural ou controle sem capital; documentos de André Dinis Gouvinhas e Daniel Benzecry Carneiro da Cunha; e retificação da resposta de 28/08/2026 sobre PEP.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S5 — Carteiras.</w:t>
      </w:r>
      <w:r>
        <w:rPr>
          <w:color w:val="222222"/>
        </w:rPr>
        <w:t xml:space="preserve"> Atestação única e completa de todos os endereços usados no trilho, com o atestado de 03/06/2026 (Tron e Ethereum), evidência de controle em anexo, confirmação de exaustividade, compromisso de comunicação prévia de novos endereços e o endereço a ser criado na Trace.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S7 — Contraparte e desenho do fluxo.</w:t>
      </w:r>
      <w:r>
        <w:rPr>
          <w:color w:val="222222"/>
        </w:rPr>
        <w:t xml:space="preserve"> (i) Identificação do titular de 0xc62f9dc1bcFB49586DD2DcD83DDF7c719d35aa03 e resultado da triagem aplicada; (ii) descrição do fluxo operacional que liga a liquidez do Intex à MEZAPRO, com os endereços e contas envolvidos; (iii) confirmação de se houve fluxo da MEZAPRO apoiado na liquidez do Intex antes de 31/08/2026, com período e volume.</w:t>
      </w:r>
    </w:p>
    <w:p>
      <w:pPr>
        <w:keepNext/>
        <w:spacing w:before="120" w:after="50"/>
      </w:pPr>
      <w:r>
        <w:rPr>
          <w:b/>
          <w:bCs/>
          <w:color w:val="141D32"/>
          <w:sz w:val="19"/>
          <w:szCs w:val="19"/>
        </w:rPr>
        <w:t xml:space="preserve">4.2 Temporais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S6 — Enquadramento no art. 4º da Res. BCB 520/2025.</w:t>
      </w:r>
      <w:r>
        <w:rPr>
          <w:color w:val="222222"/>
        </w:rPr>
        <w:t xml:space="preserve"> Uma de três vias, à escolha da Trace: (i) número e data do protocolo do pedido de autorização, com a requerente; (ii) cronograma e evidência da descontinuação do balcão para terceiros; ou (iii) parecer jurídico que sustente a não incidência e enfrente o objeto social e a operação de balcão descrita. Ausente uma delas em </w:t>
      </w:r>
      <w:r>
        <w:rPr>
          <w:b/>
          <w:bCs/>
          <w:color w:val="222222"/>
        </w:rPr>
        <w:t xml:space="preserve">30/10/2026</w:t>
      </w:r>
      <w:r>
        <w:rPr>
          <w:color w:val="222222"/>
        </w:rPr>
        <w:t xml:space="preserve">, suspensão automática, independentemente das demais. Se o BCB prorrogar o prazo, a data se desloca junto.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T1 — Art. 91 (Res. BCB 589/2026).</w:t>
      </w:r>
      <w:r>
        <w:rPr>
          <w:color w:val="222222"/>
        </w:rPr>
        <w:t xml:space="preserve"> Suspensão automática em </w:t>
      </w:r>
      <w:r>
        <w:rPr>
          <w:b/>
          <w:bCs/>
          <w:color w:val="222222"/>
        </w:rPr>
        <w:t xml:space="preserve">06/11/2026</w:t>
      </w:r>
      <w:r>
        <w:rPr>
          <w:color w:val="222222"/>
        </w:rPr>
        <w:t xml:space="preserve">, salvo autorização da entidade que operar o fluxo ou manifestação escrita do Intex admitindo a continuidade com o pedido em análise. Depende de </w:t>
      </w:r>
      <w:r>
        <w:rPr>
          <w:b/>
          <w:bCs/>
          <w:color w:val="222222"/>
        </w:rPr>
        <w:t xml:space="preserve">decisão interna do Intex</w:t>
      </w:r>
      <w:r>
        <w:rPr>
          <w:color w:val="222222"/>
        </w:rPr>
        <w:t xml:space="preserve"> sobre a leitura do art. 91, e não de entrega da Trace.</w:t>
      </w:r>
    </w:p>
    <w:p>
      <w:pPr>
        <w:keepNext/>
        <w:spacing w:before="120" w:after="50"/>
      </w:pPr>
      <w:r>
        <w:rPr>
          <w:b/>
          <w:bCs/>
          <w:color w:val="141D32"/>
          <w:sz w:val="19"/>
          <w:szCs w:val="19"/>
        </w:rPr>
        <w:t xml:space="preserve">4.3 Acompanhamento (sem efeito suspensivo, até 30/11/2026)</w:t>
      </w:r>
    </w:p>
    <w:p>
      <w:pPr>
        <w:pStyle w:val="PargrafodaLista"/>
        <w:numPr>
          <w:ilvl w:val="0"/>
          <w:numId w:val="2"/>
        </w:numPr>
        <w:spacing w:after="50" w:line="246" w:lineRule="auto"/>
        <w:jc w:val="both"/>
      </w:pPr>
      <w:r>
        <w:rPr>
          <w:b/>
          <w:bCs/>
          <w:color w:val="222222"/>
        </w:rPr>
        <w:t xml:space="preserve">AC1.</w:t>
      </w:r>
      <w:r>
        <w:rPr>
          <w:color w:val="222222"/>
        </w:rPr>
        <w:t xml:space="preserve"> DF de 2026 e eventual parecer de auditoria independente, com acompanhamento trimestral do PL e do caixa e evidência do suporte financeiro do grupo.</w:t>
      </w:r>
    </w:p>
    <w:p>
      <w:pPr>
        <w:keepNext/>
        <w:spacing w:before="120" w:after="50"/>
      </w:pPr>
      <w:r>
        <w:rPr>
          <w:b/>
          <w:bCs/>
          <w:color w:val="141D32"/>
          <w:sz w:val="19"/>
          <w:szCs w:val="19"/>
        </w:rPr>
        <w:t xml:space="preserve">4.4 Gatilhos de reavaliação imediata e revisão</w:t>
      </w:r>
    </w:p>
    <w:p>
      <w:pPr>
        <w:spacing w:after="80" w:line="252" w:lineRule="auto"/>
        <w:jc w:val="both"/>
      </w:pPr>
      <w:r>
        <w:rPr>
          <w:b/>
          <w:bCs/>
          <w:color w:val="222222"/>
        </w:rPr>
        <w:t xml:space="preserve">G1.</w:t>
      </w:r>
      <w:r>
        <w:rPr>
          <w:color w:val="222222"/>
        </w:rPr>
        <w:t xml:space="preserve"> Transação com endereço não constante da atestação de S5. </w:t>
      </w:r>
      <w:r>
        <w:rPr>
          <w:b/>
          <w:bCs/>
          <w:color w:val="222222"/>
        </w:rPr>
        <w:t xml:space="preserve">G2.</w:t>
      </w:r>
      <w:r>
        <w:rPr>
          <w:color w:val="222222"/>
        </w:rPr>
        <w:t xml:space="preserve"> Movimentação mensal acima do dobro da grandeza reconciliada em S1. </w:t>
      </w:r>
      <w:r>
        <w:rPr>
          <w:b/>
          <w:bCs/>
          <w:color w:val="222222"/>
        </w:rPr>
        <w:t xml:space="preserve">G3.</w:t>
      </w:r>
      <w:r>
        <w:rPr>
          <w:color w:val="222222"/>
        </w:rPr>
        <w:t xml:space="preserve"> Correspondência confirmada em listas de sanções sobre a companhia, a cadeia de controle ou os administradores. </w:t>
      </w:r>
      <w:r>
        <w:rPr>
          <w:b/>
          <w:bCs/>
          <w:color w:val="222222"/>
        </w:rPr>
        <w:t xml:space="preserve">G4.</w:t>
      </w:r>
      <w:r>
        <w:rPr>
          <w:color w:val="222222"/>
        </w:rPr>
        <w:t xml:space="preserve"> Mudança de controle, de administração ou do arranjo de custódia, inclusive a saída ou substituição da Mercado Bitcoin Serviços Digitais; indeferimento, arquivamento ou desistência do pedido da entidade que receber a carteira. Revisão integral em até </w:t>
      </w:r>
      <w:r>
        <w:rPr>
          <w:b/>
          <w:bCs/>
          <w:color w:val="222222"/>
        </w:rPr>
        <w:t xml:space="preserve">15/04/2027</w:t>
      </w:r>
      <w:r>
        <w:rPr>
          <w:color w:val="222222"/>
        </w:rPr>
        <w:t xml:space="preserve">.</w:t>
      </w:r>
    </w:p>
    <w:p>
      <w:pPr>
        <w:keepNext/>
        <w:pBdr>
          <w:bottom w:val="single" w:sz="8" w:space="2" w:color="92C024"/>
        </w:pBdr>
        <w:spacing w:before="200" w:after="90"/>
      </w:pPr>
      <w:r>
        <w:rPr>
          <w:b/>
          <w:bCs/>
          <w:color w:val="141D32"/>
          <w:sz w:val="23"/>
          <w:szCs w:val="23"/>
        </w:rPr>
        <w:t xml:space="preserve">5. Limitações</w:t>
      </w:r>
    </w:p>
    <w:p>
      <w:pPr>
        <w:spacing w:after="80" w:line="252" w:lineRule="auto"/>
        <w:jc w:val="both"/>
      </w:pPr>
      <w:r>
        <w:rPr>
          <w:color w:val="222222"/>
        </w:rPr>
        <w:t xml:space="preserve">Base: o dossiê original do drive, examinado na versão 4, e a pasta de 34 arquivos enviada pela Trace em 31/08/2026. </w:t>
      </w:r>
      <w:r>
        <w:rPr>
          <w:b/>
          <w:bCs/>
          <w:color w:val="222222"/>
        </w:rPr>
        <w:t xml:space="preserve">Não foram disponibilizados</w:t>
      </w:r>
      <w:r>
        <w:rPr>
          <w:color w:val="222222"/>
        </w:rPr>
        <w:t xml:space="preserve">: o Parecer KYB-20260824-004; a declaração de beneficiários finais e o organograma de 28/01/2025, listados no Pipefy; a declaração de faturamento; o atestado de carteiras de 03/06/2026; a AIR e os manuais; os relatórios de screening de pessoas físicas (os do Dow Jones cobrem só pessoas jurídicas); extratos bancários; e as entregas da DeCripto a partir de jul/2026. A série da IN RFB 1.888 cobre jan, mar, mai, jul e set/2025 e mai e jun/2026. O cartão CNPJ é de 30/01/2025. A versão 4 referiu a classificação de origem como MÉDIO ALTO; a versão do dossiê recebida registra ALTO. A hipótese de o endereço dominante pertencer à Trace ou ao Intex não foi verificada [E]. Não houve contato com a MEZAPRO. Este parecer não é opinião sobre a regularidade da MEZAPRO perante o BCB nem substitui a análise principal da Trace.</w:t>
      </w:r>
    </w:p>
    <w:p>
      <w:pPr>
        <w:keepNext/>
        <w:spacing w:before="200" w:after="160"/>
      </w:pPr>
      <w:r>
        <w:rPr>
          <w:color w:val="222222"/>
        </w:rPr>
        <w:t xml:space="preserve">São Paulo, 15 de outubro de 2026.</w:t>
      </w:r>
    </w:p>
    <w:p>
      <w:pPr>
        <w:keepNext/>
        <w:spacing w:after="20"/>
      </w:pPr>
      <w:r>
        <w:rPr>
          <w:color w:val="5A5F6B"/>
        </w:rPr>
        <w:t xml:space="preserve">______________________________________</w:t>
      </w:r>
    </w:p>
    <w:p>
      <w:pPr>
        <w:keepNext/>
        <w:spacing w:after="10"/>
      </w:pPr>
      <w:r>
        <w:rPr>
          <w:b/>
          <w:bCs/>
          <w:color w:val="141D32"/>
          <w:sz w:val="20"/>
          <w:szCs w:val="20"/>
        </w:rPr>
        <w:t xml:space="preserve">Alexandre Ferrari</w:t>
      </w:r>
    </w:p>
    <w:p>
      <w:pPr>
        <w:keepNext/>
        <w:spacing w:after="10"/>
      </w:pPr>
      <w:r>
        <w:rPr>
          <w:color w:val="5A5F6B"/>
        </w:rPr>
        <w:t xml:space="preserve">Coordenador de Ativos Virtuais e Compliance Digital</w:t>
      </w:r>
    </w:p>
    <w:p>
      <w:pPr>
        <w:spacing w:after="0"/>
      </w:pPr>
      <w:r>
        <w:rPr>
          <w:color w:val="5A5F6B"/>
        </w:rPr>
        <w:t xml:space="preserve">Intex Bank — Banco de Câmbio S.A.</w:t>
      </w:r>
    </w:p>
    <w:sectPr w:rsidR="00DA348B">
      <w:headerReference w:type="default" r:id="rId7"/>
      <w:footerReference w:type="default" r:id="rId8"/>
      <w:pgSz w:w="11906" w:h="16838"/>
      <w:pgMar w:top="1250" w:right="850" w:bottom="1050" w:left="850" w:header="50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53D18" w14:textId="77777777" w:rsidR="00F66346" w:rsidRDefault="00F66346">
      <w:r>
        <w:separator/>
      </w:r>
    </w:p>
  </w:endnote>
  <w:endnote w:type="continuationSeparator" w:id="0">
    <w:p w14:paraId="1F71E588" w14:textId="77777777" w:rsidR="00F66346" w:rsidRDefault="00F66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06125" w14:textId="77777777" w:rsidR="00F66346" w:rsidRDefault="00F66346">
      <w:r>
        <w:separator/>
      </w:r>
    </w:p>
  </w:footnote>
  <w:footnote w:type="continuationSeparator" w:id="0">
    <w:p w14:paraId="57EA3AAF" w14:textId="77777777" w:rsidR="00F66346" w:rsidRDefault="00F663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Bdr>
        <w:bottom w:val="single" w:sz="6" w:space="4" w:color="92C024"/>
      </w:pBdr>
      <w:tabs>
        <w:tab w:val="right" w:pos="10206"/>
      </w:tabs>
    </w:pPr>
    <w:r>
      <w:rPr>
        <w:noProof/>
      </w:rPr>
      <w:drawing>
        <wp:inline distT="0" distB="0" distL="0" distR="0">
          <wp:extent cx="1440000" cy="179368"/>
          <wp:effectExtent l="0" t="0" r="0" b="0"/>
          <wp:docPr id="101" name="Logo Intex" descr="Intex Ban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intex.png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1440000" cy="179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92C024"/>
        <w:sz w:val="15"/>
        <w:szCs w:val="15"/>
      </w:rPr>
      <w:tab/>
      <w:t>CONFIDENCIAL —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543A8"/>
    <w:multiLevelType w:val="hybridMultilevel"/>
    <w:tmpl w:val="946C9CA0"/>
    <w:lvl w:ilvl="0" w:tplc="4058CA56">
      <w:start w:val="1"/>
      <w:numFmt w:val="bullet"/>
      <w:lvlText w:val="▪"/>
      <w:lvlJc w:val="left"/>
      <w:pPr>
        <w:ind w:left="300" w:hanging="220"/>
      </w:pPr>
      <w:rPr>
        <w:color w:val="92C024"/>
      </w:rPr>
    </w:lvl>
    <w:lvl w:ilvl="1" w:tplc="C1B01976">
      <w:numFmt w:val="decimal"/>
      <w:lvlText w:val=""/>
      <w:lvlJc w:val="left"/>
    </w:lvl>
    <w:lvl w:ilvl="2" w:tplc="429EF4E4">
      <w:numFmt w:val="decimal"/>
      <w:lvlText w:val=""/>
      <w:lvlJc w:val="left"/>
    </w:lvl>
    <w:lvl w:ilvl="3" w:tplc="6922A1C4">
      <w:numFmt w:val="decimal"/>
      <w:lvlText w:val=""/>
      <w:lvlJc w:val="left"/>
    </w:lvl>
    <w:lvl w:ilvl="4" w:tplc="5B9846EC">
      <w:numFmt w:val="decimal"/>
      <w:lvlText w:val=""/>
      <w:lvlJc w:val="left"/>
    </w:lvl>
    <w:lvl w:ilvl="5" w:tplc="439E6F98">
      <w:numFmt w:val="decimal"/>
      <w:lvlText w:val=""/>
      <w:lvlJc w:val="left"/>
    </w:lvl>
    <w:lvl w:ilvl="6" w:tplc="BCB4E006">
      <w:numFmt w:val="decimal"/>
      <w:lvlText w:val=""/>
      <w:lvlJc w:val="left"/>
    </w:lvl>
    <w:lvl w:ilvl="7" w:tplc="DBA84740">
      <w:numFmt w:val="decimal"/>
      <w:lvlText w:val=""/>
      <w:lvlJc w:val="left"/>
    </w:lvl>
    <w:lvl w:ilvl="8" w:tplc="EE70E49A">
      <w:numFmt w:val="decimal"/>
      <w:lvlText w:val=""/>
      <w:lvlJc w:val="left"/>
    </w:lvl>
  </w:abstractNum>
  <w:abstractNum w:abstractNumId="1" w15:restartNumberingAfterBreak="0">
    <w:nsid w:val="7FF6567F"/>
    <w:multiLevelType w:val="hybridMultilevel"/>
    <w:tmpl w:val="D9BCADF6"/>
    <w:lvl w:ilvl="0" w:tplc="47E203CE">
      <w:start w:val="1"/>
      <w:numFmt w:val="bullet"/>
      <w:lvlText w:val="●"/>
      <w:lvlJc w:val="left"/>
      <w:pPr>
        <w:ind w:left="720" w:hanging="360"/>
      </w:pPr>
    </w:lvl>
    <w:lvl w:ilvl="1" w:tplc="4C06F020">
      <w:start w:val="1"/>
      <w:numFmt w:val="bullet"/>
      <w:lvlText w:val="○"/>
      <w:lvlJc w:val="left"/>
      <w:pPr>
        <w:ind w:left="1440" w:hanging="360"/>
      </w:pPr>
    </w:lvl>
    <w:lvl w:ilvl="2" w:tplc="7A22C972">
      <w:start w:val="1"/>
      <w:numFmt w:val="bullet"/>
      <w:lvlText w:val="■"/>
      <w:lvlJc w:val="left"/>
      <w:pPr>
        <w:ind w:left="2160" w:hanging="360"/>
      </w:pPr>
    </w:lvl>
    <w:lvl w:ilvl="3" w:tplc="8D3E28CE">
      <w:start w:val="1"/>
      <w:numFmt w:val="bullet"/>
      <w:lvlText w:val="●"/>
      <w:lvlJc w:val="left"/>
      <w:pPr>
        <w:ind w:left="2880" w:hanging="360"/>
      </w:pPr>
    </w:lvl>
    <w:lvl w:ilvl="4" w:tplc="EF6A5490">
      <w:start w:val="1"/>
      <w:numFmt w:val="bullet"/>
      <w:lvlText w:val="○"/>
      <w:lvlJc w:val="left"/>
      <w:pPr>
        <w:ind w:left="3600" w:hanging="360"/>
      </w:pPr>
    </w:lvl>
    <w:lvl w:ilvl="5" w:tplc="8B5842C4">
      <w:start w:val="1"/>
      <w:numFmt w:val="bullet"/>
      <w:lvlText w:val="■"/>
      <w:lvlJc w:val="left"/>
      <w:pPr>
        <w:ind w:left="4320" w:hanging="360"/>
      </w:pPr>
    </w:lvl>
    <w:lvl w:ilvl="6" w:tplc="D988C90A">
      <w:start w:val="1"/>
      <w:numFmt w:val="bullet"/>
      <w:lvlText w:val="●"/>
      <w:lvlJc w:val="left"/>
      <w:pPr>
        <w:ind w:left="5040" w:hanging="360"/>
      </w:pPr>
    </w:lvl>
    <w:lvl w:ilvl="7" w:tplc="0F1AD3B2">
      <w:start w:val="1"/>
      <w:numFmt w:val="bullet"/>
      <w:lvlText w:val="●"/>
      <w:lvlJc w:val="left"/>
      <w:pPr>
        <w:ind w:left="5760" w:hanging="360"/>
      </w:pPr>
    </w:lvl>
    <w:lvl w:ilvl="8" w:tplc="D9123DB2">
      <w:start w:val="1"/>
      <w:numFmt w:val="bullet"/>
      <w:lvlText w:val="●"/>
      <w:lvlJc w:val="left"/>
      <w:pPr>
        <w:ind w:left="6480" w:hanging="360"/>
      </w:pPr>
    </w:lvl>
  </w:abstractNum>
  <w:num w:numId="1" w16cid:durableId="192616861">
    <w:abstractNumId w:val="1"/>
    <w:lvlOverride w:ilvl="0">
      <w:startOverride w:val="1"/>
    </w:lvlOverride>
  </w:num>
  <w:num w:numId="2" w16cid:durableId="1844433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48B"/>
    <w:rsid w:val="001545B2"/>
    <w:rsid w:val="008C3F0A"/>
    <w:rsid w:val="00C54574"/>
    <w:rsid w:val="00DA348B"/>
    <w:rsid w:val="00F6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84FFE"/>
  <w15:docId w15:val="{6B2C1B1F-6F25-4F4F-99BE-305CCD1D3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18"/>
        <w:szCs w:val="18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<Relationships xmlns="http://schemas.openxmlformats.org/package/2006/relationships"><Relationship Id="rIdLogo" Type="http://schemas.openxmlformats.org/officeDocument/2006/relationships/image" Target="media/logo_intex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2838</Words>
  <Characters>15328</Characters>
  <Application>Microsoft Office Word</Application>
  <DocSecurity>0</DocSecurity>
  <Lines>127</Lines>
  <Paragraphs>36</Paragraphs>
  <ScaleCrop>false</ScaleCrop>
  <Company/>
  <LinksUpToDate>false</LinksUpToDate>
  <CharactersWithSpaces>18130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Intex Bank</dc:creator>
  <cp:lastModifiedBy>Intex Bank</cp:lastModifiedBy>
  <cp:revision>2</cp:revision>
  <dcterms:created xsi:type="dcterms:W3CDTF">2026-09-24T20:10:00Z</dcterms:created>
  <dcterms:modified xsi:type="dcterms:W3CDTF">2026-09-24T20:10:00Z</dcterms:modified>
</cp:coreProperties>
</file>