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b/>
          <w:bCs/>
          <w:color w:val="141D32"/>
          <w:sz w:val="30"/>
          <w:szCs w:val="30"/>
        </w:rPr>
        <w:t xml:space="preserve">PARECER DE DILIGÊNCIA COMPLEMENTAR (KYCC)</w:t>
      </w:r>
    </w:p>
    <w:p>
      <w:pPr>
        <w:pBdr>
          <w:bottom w:val="single" w:sz="12" w:space="4" w:color="92C024"/>
        </w:pBdr>
        <w:spacing w:after="120"/>
      </w:pPr>
      <w:r>
        <w:rPr>
          <w:color w:val="5A5F6B"/>
          <w:sz w:val="19"/>
          <w:szCs w:val="19"/>
        </w:rPr>
        <w:t xml:space="preserve">Foxbit OTC — complementação ao Parecer KYCC-20260827-01 rev. 1: atendimento das condicionantes S1 a S5 e atualização do marco regulatório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906"/>
      </w:tblGrid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Cliente do Intex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Trace Finance — PSAV contratante do provimento de liquidez (análise principal em processo próprio)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Objeto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FOXBIT OTC INTERMEDIAÇÃO E CUSTÓDIA LTDA., CNPJ 18.997.925/0002-03 (sede) e 18.997.925/0001-14 (filial que opera com a Trace) —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cliente da Trace, não do Intex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Natureza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Complementação de diligência complementar de segundo grau (KYCC). Não é onboarding.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Nº do parecer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PAR-AVD-KYCC-20261014-002 — complementa o Parecer KYCC-20260827-01 rev. 1, de 27/08/2026, que permanece em vigor no que não for aqui alterado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Data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14/10/2026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Classificação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ALTO</w:t>
            </w:r>
            <w:r>
              <w:rPr>
                <w:color w:val="222222"/>
                <w:sz w:val="16"/>
                <w:szCs w:val="16"/>
              </w:rPr>
              <w:t xml:space="preserve"> (Intex), mantida  |  origem Trace: MÉDIO (Parecer KYB-20260819-001, 33/100)</w:t>
            </w:r>
          </w:p>
        </w:tc>
      </w:tr>
    </w:tbl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1. Enquadramento</w:t>
      </w:r>
    </w:p>
    <w:p>
      <w:pPr>
        <w:spacing w:after="80" w:line="252" w:lineRule="auto"/>
        <w:jc w:val="both"/>
      </w:pPr>
      <w:r>
        <w:rPr>
          <w:color w:val="222222"/>
        </w:rPr>
        <w:t xml:space="preserve">A cadeia permanece a do parecer original. O </w:t>
      </w:r>
      <w:r>
        <w:rPr>
          <w:b/>
          <w:bCs/>
          <w:color w:val="222222"/>
        </w:rPr>
        <w:t xml:space="preserve">Intex Bank</w:t>
      </w:r>
      <w:r>
        <w:rPr>
          <w:color w:val="222222"/>
        </w:rPr>
        <w:t xml:space="preserve"> atua como provedor de liquidez, por conta própria (art. 2º, XIV, e art. 38 da Res. BCB 520/2025). A </w:t>
      </w:r>
      <w:r>
        <w:rPr>
          <w:b/>
          <w:bCs/>
          <w:color w:val="222222"/>
        </w:rPr>
        <w:t xml:space="preserve">Trace Finance</w:t>
      </w:r>
      <w:r>
        <w:rPr>
          <w:color w:val="222222"/>
        </w:rPr>
        <w:t xml:space="preserve"> é a PSAV contratante desse provimento e o cliente do Intex, sobre quem recai a análise principal, em processo próprio. A </w:t>
      </w:r>
      <w:r>
        <w:rPr>
          <w:b/>
          <w:bCs/>
          <w:color w:val="222222"/>
        </w:rPr>
        <w:t xml:space="preserve">Foxbit OTC</w:t>
      </w:r>
      <w:r>
        <w:rPr>
          <w:color w:val="222222"/>
        </w:rPr>
        <w:t xml:space="preserve"> é cliente da Trace e </w:t>
      </w:r>
      <w:r>
        <w:rPr>
          <w:b/>
          <w:bCs/>
          <w:color w:val="222222"/>
        </w:rPr>
        <w:t xml:space="preserve">não é cliente do Intex</w:t>
      </w:r>
      <w:r>
        <w:rPr>
          <w:color w:val="222222"/>
        </w:rPr>
        <w:t xml:space="preserve">.</w:t>
      </w:r>
    </w:p>
    <w:p>
      <w:pPr>
        <w:spacing w:after="80" w:line="252" w:lineRule="auto"/>
        <w:jc w:val="both"/>
      </w:pPr>
      <w:r>
        <w:rPr>
          <w:color w:val="222222"/>
        </w:rPr>
        <w:t xml:space="preserve">Esta complementação não cria relação com a Foxbit OTC, não substitui nem convalida o KYB conduzido pela Trace e não transfere ao Intex o monitoramento daquele relacionamento. Seu objeto é restrito: registrar o estado das condicionantes S1 a S5 do parecer de 27/08/2026 e ajustar o marco regulatório à </w:t>
      </w:r>
      <w:r>
        <w:rPr>
          <w:b/>
          <w:bCs/>
          <w:color w:val="222222"/>
        </w:rPr>
        <w:t xml:space="preserve">Res. BCB 589/2026</w:t>
      </w:r>
      <w:r>
        <w:rPr>
          <w:color w:val="222222"/>
        </w:rPr>
        <w:t xml:space="preserve">, publicada depois dele. Os achados do parecer original não são repetidos e devem ser lidos em conjunto com este documento.</w:t>
      </w:r>
    </w:p>
    <w:p>
      <w:pPr>
        <w:spacing w:after="80" w:line="252" w:lineRule="auto"/>
        <w:jc w:val="both"/>
      </w:pPr>
      <w:r>
        <w:rPr>
          <w:color w:val="222222"/>
        </w:rPr>
        <w:t xml:space="preserve">Incorpora: (i) a apuração do Intex, em 15/09/2026, de que os créditos do grupo vinham do CNPJ </w:t>
      </w:r>
      <w:r>
        <w:rPr>
          <w:b/>
          <w:bCs/>
          <w:color w:val="222222"/>
        </w:rPr>
        <w:t xml:space="preserve">18.997.925/0001-14</w:t>
      </w:r>
      <w:r>
        <w:rPr>
          <w:color w:val="222222"/>
        </w:rPr>
        <w:t xml:space="preserve">, e a resposta da Trace de 24/09/2026; (ii) o e-mail da Trace de </w:t>
      </w:r>
      <w:r>
        <w:rPr>
          <w:b/>
          <w:bCs/>
          <w:color w:val="222222"/>
        </w:rPr>
        <w:t xml:space="preserve">01/10/2026</w:t>
      </w:r>
      <w:r>
        <w:rPr>
          <w:color w:val="222222"/>
        </w:rPr>
        <w:t xml:space="preserve">, um dia após o prazo de 30/09/2026, com a resposta às solicitações; e (iii) a </w:t>
      </w:r>
      <w:r>
        <w:rPr>
          <w:b/>
          <w:bCs/>
          <w:color w:val="222222"/>
        </w:rPr>
        <w:t xml:space="preserve">Declaração de Atividade</w:t>
      </w:r>
      <w:r>
        <w:rPr>
          <w:color w:val="222222"/>
        </w:rPr>
        <w:t xml:space="preserve"> do Pinheiro Neto Advogados, de </w:t>
      </w:r>
      <w:r>
        <w:rPr>
          <w:b/>
          <w:bCs/>
          <w:color w:val="222222"/>
        </w:rPr>
        <w:t xml:space="preserve">29/09/2026</w:t>
      </w:r>
      <w:r>
        <w:rPr>
          <w:color w:val="222222"/>
        </w:rPr>
        <w:t xml:space="preserve">, assinada por Tatiana Mello Guazzelli via Docusign.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2. Resumo das conclusões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>
        <w:tc>
          <w:tcPr>
            <w:tcW w:w="10206" w:type="dxa"/>
            <w:tcBorders>
              <w:top w:val="single" w:sz="18" w:space="0" w:color="92C024"/>
              <w:left w:val="single" w:sz="18" w:space="0" w:color="92C024"/>
              <w:bottom w:val="single" w:sz="4" w:space="0" w:color="C9CCD3"/>
              <w:right w:val="single" w:sz="4" w:space="0" w:color="C9CCD3"/>
            </w:tcBorders>
            <w:shd w:val="clear" w:color="auto" w:fill="F2F8E6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50"/>
            </w:pPr>
            <w:r>
              <w:rPr>
                <w:b/>
                <w:bCs/>
                <w:color w:val="141D32"/>
                <w:sz w:val="21"/>
                <w:szCs w:val="21"/>
              </w:rPr>
              <w:t xml:space="preserve">VEREDITO: NÃO OBJEÇÃO CONDICIONADA — S1, S4 E S5 ENCERRADAS, FLUXO MANTIDO</w:t>
            </w:r>
          </w:p>
          <w:p>
            <w:pPr>
              <w:spacing w:after="30"/>
              <w:jc w:val="both"/>
            </w:pPr>
            <w:r>
              <w:rPr>
                <w:color w:val="222222"/>
              </w:rPr>
              <w:t xml:space="preserve">A continuidade do fluxo indireto atribuível à Foxbit OTC fica </w:t>
            </w:r>
            <w:r>
              <w:rPr>
                <w:b/>
                <w:bCs/>
                <w:color w:val="222222"/>
              </w:rPr>
              <w:t xml:space="preserve">mantida, sem efeito suspensivo</w:t>
            </w:r>
            <w:r>
              <w:rPr>
                <w:color w:val="222222"/>
              </w:rPr>
              <w:t xml:space="preserve">. </w:t>
            </w:r>
            <w:r>
              <w:rPr>
                <w:b/>
                <w:bCs/>
                <w:color w:val="222222"/>
              </w:rPr>
              <w:t xml:space="preserve">S1</w:t>
            </w:r>
            <w:r>
              <w:rPr>
                <w:color w:val="222222"/>
              </w:rPr>
              <w:t xml:space="preserve"> é dada por atendida; </w:t>
            </w:r>
            <w:r>
              <w:rPr>
                <w:b/>
                <w:bCs/>
                <w:color w:val="222222"/>
              </w:rPr>
              <w:t xml:space="preserve">S4</w:t>
            </w:r>
            <w:r>
              <w:rPr>
                <w:color w:val="222222"/>
              </w:rPr>
              <w:t xml:space="preserve"> e </w:t>
            </w:r>
            <w:r>
              <w:rPr>
                <w:b/>
                <w:bCs/>
                <w:color w:val="222222"/>
              </w:rPr>
              <w:t xml:space="preserve">S5</w:t>
            </w:r>
            <w:r>
              <w:rPr>
                <w:color w:val="222222"/>
              </w:rPr>
              <w:t xml:space="preserve"> são encerradas por desnecessárias; </w:t>
            </w:r>
            <w:r>
              <w:rPr>
                <w:b/>
                <w:bCs/>
                <w:color w:val="222222"/>
              </w:rPr>
              <w:t xml:space="preserve">S2</w:t>
            </w:r>
            <w:r>
              <w:rPr>
                <w:color w:val="222222"/>
              </w:rPr>
              <w:t xml:space="preserve"> e </w:t>
            </w:r>
            <w:r>
              <w:rPr>
                <w:b/>
                <w:bCs/>
                <w:color w:val="222222"/>
              </w:rPr>
              <w:t xml:space="preserve">S3</w:t>
            </w:r>
            <w:r>
              <w:rPr>
                <w:color w:val="222222"/>
              </w:rPr>
              <w:t xml:space="preserve"> são reposicionadas como acompanhamento, a ser renovado </w:t>
            </w:r>
            <w:r>
              <w:rPr>
                <w:b/>
                <w:bCs/>
                <w:color w:val="222222"/>
              </w:rPr>
              <w:t xml:space="preserve">após a comprovação do protocolo</w:t>
            </w:r>
            <w:r>
              <w:rPr>
                <w:color w:val="222222"/>
              </w:rPr>
              <w:t xml:space="preserve">.</w:t>
            </w:r>
          </w:p>
          <w:p>
            <w:pPr>
              <w:spacing w:after="30"/>
              <w:jc w:val="both"/>
            </w:pPr>
            <w:r>
              <w:rPr>
                <w:color w:val="222222"/>
              </w:rPr>
              <w:t xml:space="preserve">Risco residual </w:t>
            </w:r>
            <w:r>
              <w:rPr>
                <w:b/>
                <w:bCs/>
                <w:color w:val="222222"/>
              </w:rPr>
              <w:t xml:space="preserve">ALTO</w:t>
            </w:r>
            <w:r>
              <w:rPr>
                <w:color w:val="222222"/>
              </w:rPr>
              <w:t xml:space="preserve">, mantido. Marcos: comprovante de protocolo a partir de </w:t>
            </w:r>
            <w:r>
              <w:rPr>
                <w:b/>
                <w:bCs/>
                <w:color w:val="222222"/>
              </w:rPr>
              <w:t xml:space="preserve">31/10/2026</w:t>
            </w:r>
            <w:r>
              <w:rPr>
                <w:color w:val="222222"/>
              </w:rPr>
              <w:t xml:space="preserve"> (C1) e vedação do art. 91 da Res. BCB 520/2025 a partir de </w:t>
            </w:r>
            <w:r>
              <w:rPr>
                <w:b/>
                <w:bCs/>
                <w:color w:val="222222"/>
              </w:rPr>
              <w:t xml:space="preserve">06/11/2026</w:t>
            </w:r>
            <w:r>
              <w:rPr>
                <w:color w:val="222222"/>
              </w:rPr>
              <w:t xml:space="preserve"> (C3).</w:t>
            </w:r>
          </w:p>
        </w:tc>
      </w:tr>
    </w:tbl>
    <w:p>
      <w:pPr>
        <w:spacing w:after="40" w:line="252" w:lineRule="auto"/>
      </w:pP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 requerente da autorização está identificada.</w:t>
      </w:r>
      <w:r>
        <w:rPr>
          <w:color w:val="222222"/>
        </w:rPr>
        <w:t xml:space="preserve"> A declaração de 29/09/2026 aponta a própria Foxbit OTC, CNPJ 18.997.925/0002-03, assessorada pelo Pinheiro Neto, com atividade anterior a 02/02/2026. Modalidades e data prevista não constam dela e serão aferidas no comprovante de protocolo (C1).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O fluxo vem da filial da mesma pessoa jurídica que pedirá a autorização.</w:t>
      </w:r>
      <w:r>
        <w:rPr>
          <w:color w:val="222222"/>
        </w:rPr>
        <w:t xml:space="preserve"> O CNPJ 0001-14 é filial do 0002-03 desde a 12ª alteração contratual. Fica sem objeto o desenho de sucessão que a S1 pedia para o caso de a requerente ser outra entidade do grupo (3.1).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DF auditadas e política de PLD dependem do pedido de autorização.</w:t>
      </w:r>
      <w:r>
        <w:rPr>
          <w:color w:val="222222"/>
        </w:rPr>
        <w:t xml:space="preserve"> A Trace informa que as DF de 2025 estão em consolidação e que a nova política está em aprovação, ambas para instruir o pedido. A exigência é renovada depois do protocolo, quando os documentos estarão na versão final (4.3).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S4 e S5 não acrescentavam informação ao juízo do Intex.</w:t>
      </w:r>
      <w:r>
        <w:rPr>
          <w:color w:val="222222"/>
        </w:rPr>
        <w:t xml:space="preserve"> O e-mail de 01/10/2026 já registra o acompanhamento direto da Trace sobre a Foxbit OTC e o compromisso de comunicar alterações relevantes. A responsabilidade da Trace pelo monitoramento decorre da própria cadeia, não de declaração (4.1).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O marco regulatório mudou depois do parecer original.</w:t>
      </w:r>
      <w:r>
        <w:rPr>
          <w:color w:val="222222"/>
        </w:rPr>
        <w:t xml:space="preserve"> A Res. BCB 589/2026 levou a vedação do art. 91 para </w:t>
      </w:r>
      <w:r>
        <w:rPr>
          <w:b/>
          <w:bCs/>
          <w:color w:val="222222"/>
        </w:rPr>
        <w:t xml:space="preserve">06/11/2026</w:t>
      </w:r>
      <w:r>
        <w:rPr>
          <w:color w:val="222222"/>
        </w:rPr>
        <w:t xml:space="preserve"> e retirou do texto a expressão "ou em processo de autorização". O protocolo deixa de bastar por si só na leitura literal. A condicionante C3 depende de decisão interna do Intex (3.2).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Os fatores que sustentaram o ALTO continuam de pé.</w:t>
      </w:r>
      <w:r>
        <w:rPr>
          <w:color w:val="222222"/>
        </w:rPr>
        <w:t xml:space="preserve"> Seguem válidos o PL negativo de R$ 11,7 mi, o Ofício BCB 18.458/2026 sem teor conhecido e o rebaixamento de alerta de carteira por recategorização. O risco de perfil é ALTO e o de conduta, MÉDIO-ALTO. </w:t>
      </w:r>
      <w:r>
        <w:rPr>
          <w:b/>
          <w:bCs/>
          <w:color w:val="222222"/>
        </w:rPr>
        <w:t xml:space="preserve">Não há indício de ilicitude.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3. Atendimento das condicionantes</w:t>
      </w:r>
    </w:p>
    <w:p>
      <w:pPr>
        <w:keepNext/>
        <w:spacing w:after="40"/>
      </w:pPr>
      <w:r>
        <w:rPr>
          <w:color w:val="5A5F6B"/>
          <w:sz w:val="15"/>
          <w:szCs w:val="15"/>
        </w:rPr>
        <w:t xml:space="preserve">Situação em 14/10/2026. Os códigos são os do parecer de 27/08/2026.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2906"/>
        <w:gridCol w:w="1300"/>
      </w:tblGrid>
      <w:tr>
        <w:trPr>
          <w:cantSplit/>
          <w:tblHeader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Cond.</w:t>
            </w:r>
          </w:p>
        </w:tc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Pedido</w:t>
            </w:r>
          </w:p>
        </w:tc>
        <w:tc>
          <w:tcPr>
            <w:tcW w:w="30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Apresentado em 01/10/2026</w:t>
            </w:r>
          </w:p>
        </w:tc>
        <w:tc>
          <w:tcPr>
            <w:tcW w:w="2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Avaliação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S1</w:t>
            </w:r>
          </w:p>
        </w:tc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Declaração indicando a entidade requerente, as modalidades e a data prevista do protocolo</w:t>
            </w:r>
          </w:p>
        </w:tc>
        <w:tc>
          <w:tcPr>
            <w:tcW w:w="30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Declaração de Atividade do Pinheiro Neto, de 29/09/2026: assessoria à Foxbit OTC (CNPJ 0002-03) no pedido de autorização como PSAV e atividade anterior a 02/02/2026.</w:t>
            </w:r>
          </w:p>
        </w:tc>
        <w:tc>
          <w:tcPr>
            <w:tcW w:w="2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Supre o núcleo do pedido: previsibilidade sobre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quem</w:t>
            </w:r>
            <w:r>
              <w:rPr>
                <w:color w:val="222222"/>
                <w:sz w:val="16"/>
                <w:szCs w:val="16"/>
              </w:rPr>
              <w:t xml:space="preserve"> protocola. Não indica modalidades nem data. O e-mail da Trace diz que indica. A lacuna é coberta pela C1, exigível em 17 dias.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ATENDIDA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S2</w:t>
            </w:r>
          </w:p>
        </w:tc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DF de 2025 auditadas</w:t>
            </w:r>
          </w:p>
        </w:tc>
        <w:tc>
          <w:tcPr>
            <w:tcW w:w="30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Não apresentadas. Em consolidação e aprovação, para compor o pedido de autorização.</w:t>
            </w:r>
          </w:p>
        </w:tc>
        <w:tc>
          <w:tcPr>
            <w:tcW w:w="2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Documento existirá em versão final com o pedido. Renova-se a solicitação após o protocolo.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REPOSICIONADA</w:t>
            </w:r>
            <w:r>
              <w:rPr>
                <w:color w:val="222222"/>
                <w:sz w:val="16"/>
                <w:szCs w:val="16"/>
              </w:rPr>
              <w:t xml:space="preserve"> (acompanhamento)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S3</w:t>
            </w:r>
          </w:p>
        </w:tc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Política de KYC e PLD/FT vigente, da entidade que opera o fluxo</w:t>
            </w:r>
          </w:p>
        </w:tc>
        <w:tc>
          <w:tcPr>
            <w:tcW w:w="30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Não apresentada. A Trace sustenta que a v1.5 "permanece formalmente vigente"; nova versão em aprovação interna.</w:t>
            </w:r>
          </w:p>
        </w:tc>
        <w:tc>
          <w:tcPr>
            <w:tcW w:w="2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Intex mantém a leitura do quadro 3.1 do parecer original: a v1.5 venceu em 03/2025, pelo prazo que ela própria fixa. A nova versão instruirá o pedido; renova-se após o protocolo.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REPOSICIONADA</w:t>
            </w:r>
            <w:r>
              <w:rPr>
                <w:color w:val="222222"/>
                <w:sz w:val="16"/>
                <w:szCs w:val="16"/>
              </w:rPr>
              <w:t xml:space="preserve"> (acompanhamento)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S4</w:t>
            </w:r>
          </w:p>
        </w:tc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Carta da Trace: cadastro em revisão e monitoramento sob sua responsabilidade exclusiva</w:t>
            </w:r>
          </w:p>
        </w:tc>
        <w:tc>
          <w:tcPr>
            <w:tcW w:w="30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próprio e-mail de 01/10/2026, que registra contato direto com a Foxbit OTC e com seus times de compliance e compromisso de comunicar alterações relevantes.</w:t>
            </w:r>
          </w:p>
        </w:tc>
        <w:tc>
          <w:tcPr>
            <w:tcW w:w="2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responsabilidade da Trace pelo monitoramento decorre da cadeia (item 1 e art. 38, § 3º, da Res. BCB 520/2025). Declaração adicional não muda o juízo.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ENCERRADA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S5</w:t>
            </w:r>
          </w:p>
        </w:tc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Dossiê atualizado com o limite pretendido</w:t>
            </w:r>
          </w:p>
        </w:tc>
        <w:tc>
          <w:tcPr>
            <w:tcW w:w="30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e-mail de 01/10/2026 registra o conforto da Trace quanto ao modelo de negócio e ao volume operado.</w:t>
            </w:r>
          </w:p>
        </w:tc>
        <w:tc>
          <w:tcPr>
            <w:tcW w:w="2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calibragem do limite do relacionamento Trace–Foxbit é atribuição da Trace. O volume declarado de R$ 100 mi/mês segue como referência do Intex.</w:t>
            </w:r>
          </w:p>
        </w:tc>
        <w:tc>
          <w:tcPr>
            <w:tcW w:w="1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ENCERRADA</w:t>
            </w:r>
          </w:p>
        </w:tc>
      </w:tr>
    </w:tbl>
    <w:p>
      <w:pPr>
        <w:spacing w:after="40"/>
      </w:pP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3.1 Identificação do estabelecimento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Fatos.</w:t>
      </w:r>
      <w:r>
        <w:rPr>
          <w:color w:val="222222"/>
        </w:rPr>
        <w:t xml:space="preserve"> O parecer original teve por objeto a Foxbit OTC nos dois estabelecimentos: 0002-03, sede desde a 12ª alteração contratual (JUCESP, 15/10/2025), e 0001-14, filial. O extrato da conta de origem dos pagamentos, de 27/08 a 14/09/2026, mostrou créditos de "FOXBIT INVEST", CNPJ </w:t>
      </w:r>
      <w:r>
        <w:rPr>
          <w:b/>
          <w:bCs/>
          <w:color w:val="222222"/>
        </w:rPr>
        <w:t xml:space="preserve">0001-14</w:t>
      </w:r>
      <w:r>
        <w:rPr>
          <w:color w:val="222222"/>
        </w:rPr>
        <w:t xml:space="preserve">. Em 24/09/2026, a Trace confirmou que o 0001-14 é o estabelecimento habilitado a operar com ela, e o registro do Intex foi ajustado. A declaração de 29/09/2026 indica como requerente o </w:t>
      </w:r>
      <w:r>
        <w:rPr>
          <w:b/>
          <w:bCs/>
          <w:color w:val="222222"/>
        </w:rPr>
        <w:t xml:space="preserve">0002-03</w:t>
      </w:r>
      <w:r>
        <w:rPr>
          <w:color w:val="222222"/>
        </w:rPr>
        <w:t xml:space="preserve"> e traz a razão social "Foxbit OTC Sociedade Prestadora de Serviços de Ativos Virtuais Ltda.".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Atenuação.</w:t>
      </w:r>
      <w:r>
        <w:rPr>
          <w:color w:val="222222"/>
        </w:rPr>
        <w:t xml:space="preserve"> Sede e filial são a </w:t>
      </w:r>
      <w:r>
        <w:rPr>
          <w:b/>
          <w:bCs/>
          <w:color w:val="222222"/>
        </w:rPr>
        <w:t xml:space="preserve">mesma pessoa jurídica</w:t>
      </w:r>
      <w:r>
        <w:rPr>
          <w:color w:val="222222"/>
        </w:rPr>
        <w:t xml:space="preserve"> (raiz 18.997.925). O pedido de autorização é da sociedade, não do estabelecimento, de modo que o fluxo da filial fica abrangido pelo processo da requerente [E].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Agravamento.</w:t>
      </w:r>
      <w:r>
        <w:rPr>
          <w:color w:val="222222"/>
        </w:rPr>
        <w:t xml:space="preserve"> A razão social da declaração difere da que consta do contrato social examinado ("Intermediação e Custódia"), o que sugere alteração contratual posterior que não está no dossiê.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3.2 Marco regulatório após a Res. BCB 589/2026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Fatos.</w:t>
      </w:r>
      <w:r>
        <w:rPr>
          <w:color w:val="222222"/>
        </w:rPr>
        <w:t xml:space="preserve"> O parecer original adotou 30/10/2026 como marco da vedação do art. 91 da Res. BCB 520/2025, alcançando contraparte "não autorizada nem em processo de autorização". A </w:t>
      </w:r>
      <w:r>
        <w:rPr>
          <w:b/>
          <w:bCs/>
          <w:color w:val="222222"/>
        </w:rPr>
        <w:t xml:space="preserve">Res. BCB 589/2026</w:t>
      </w:r>
      <w:r>
        <w:rPr>
          <w:color w:val="222222"/>
        </w:rPr>
        <w:t xml:space="preserve"> (DOU de 25/09/2026, vigente desde 01/10/2026) deu nova redação ao artigo. A vedação passa a valer </w:t>
      </w:r>
      <w:r>
        <w:rPr>
          <w:b/>
          <w:bCs/>
          <w:color w:val="222222"/>
        </w:rPr>
        <w:t xml:space="preserve">a partir de 06/11/2026</w:t>
      </w:r>
      <w:r>
        <w:rPr>
          <w:color w:val="222222"/>
        </w:rPr>
        <w:t xml:space="preserve"> e alcança contrapartes que </w:t>
      </w:r>
      <w:r>
        <w:rPr>
          <w:b/>
          <w:bCs/>
          <w:color w:val="222222"/>
        </w:rPr>
        <w:t xml:space="preserve">não estejam autorizadas a funcionar no país</w:t>
      </w:r>
      <w:r>
        <w:rPr>
          <w:color w:val="222222"/>
        </w:rPr>
        <w:t xml:space="preserve">, ressalvadas as formas expressamente autorizadas na resolução. O prazo de protocolo do art. 88, I, não mudou: </w:t>
      </w:r>
      <w:r>
        <w:rPr>
          <w:b/>
          <w:bCs/>
          <w:color w:val="222222"/>
        </w:rPr>
        <w:t xml:space="preserve">30/10/2026</w:t>
      </w:r>
      <w:r>
        <w:rPr>
          <w:color w:val="222222"/>
        </w:rPr>
        <w:t xml:space="preserve">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Atenuação.</w:t>
      </w:r>
      <w:r>
        <w:rPr>
          <w:color w:val="222222"/>
        </w:rPr>
        <w:t xml:space="preserve"> O art. 88, § 6º, continua permitindo que a prestadora que protocolou a tempo mantenha os serviços até a decisão. A nota do BCB de 23/09/2026 ainda se refere a entidades "não autorizadas ou em processo de autorização".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Agravamento.</w:t>
      </w:r>
      <w:r>
        <w:rPr>
          <w:color w:val="222222"/>
        </w:rPr>
        <w:t xml:space="preserve"> Na leitura literal do novo art. 91, a contraparte apenas protocolada não está autorizada. A vedação recai sobre a contraparte do Intex, a Trace, e alcança o fluxo da Foxbit OTC na medida em que ele se apoia na liquidez do Intex. Enquanto o Intex não fixar sua leitura, o protocolo não basta, por si só, para a continuidade depois de 06/11/2026.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4. Condicionantes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4.1 Suspensivas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S1 — atendida e encerrada em 14/10/2026.</w:t>
      </w:r>
      <w:r>
        <w:rPr>
          <w:color w:val="222222"/>
        </w:rPr>
        <w:t xml:space="preserve"> Requerente identificada pela declaração de 29/09/2026 (item 3).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S4 e S5 — encerradas em 14/10/2026, por desnecessárias.</w:t>
      </w:r>
      <w:r>
        <w:rPr>
          <w:color w:val="222222"/>
        </w:rPr>
        <w:t xml:space="preserve"> O e-mail da Trace de 01/10/2026 supre o que se pretendia com ambas (item 3).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S2 e S3 — reposicionadas.</w:t>
      </w:r>
      <w:r>
        <w:rPr>
          <w:color w:val="222222"/>
        </w:rPr>
        <w:t xml:space="preserve"> Deixam de ser exigíveis nesta etapa e passam ao item 4.3. </w:t>
      </w:r>
      <w:r>
        <w:rPr>
          <w:b/>
          <w:bCs/>
          <w:color w:val="222222"/>
        </w:rPr>
        <w:t xml:space="preserve">Não há efeito suspensivo pendente.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4.2 Temporais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C1 — mantida.</w:t>
      </w:r>
      <w:r>
        <w:rPr>
          <w:color w:val="222222"/>
        </w:rPr>
        <w:t xml:space="preserve"> A partir de </w:t>
      </w:r>
      <w:r>
        <w:rPr>
          <w:b/>
          <w:bCs/>
          <w:color w:val="222222"/>
        </w:rPr>
        <w:t xml:space="preserve">31/10/2026</w:t>
      </w:r>
      <w:r>
        <w:rPr>
          <w:color w:val="222222"/>
        </w:rPr>
        <w:t xml:space="preserve">, a manutenção do fluxo fica condicionada à apresentação do número e da data do protocolo do pedido de autorização, com identificação da requerente </w:t>
      </w:r>
      <w:r>
        <w:rPr>
          <w:b/>
          <w:bCs/>
          <w:color w:val="222222"/>
        </w:rPr>
        <w:t xml:space="preserve">e das modalidades pedidas</w:t>
      </w:r>
      <w:r>
        <w:rPr>
          <w:color w:val="222222"/>
        </w:rPr>
        <w:t xml:space="preserve">. Ausente o comprovante, a suspensão é automática, sem nova deliberação.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C2 — mantida.</w:t>
      </w:r>
      <w:r>
        <w:rPr>
          <w:color w:val="222222"/>
        </w:rPr>
        <w:t xml:space="preserve"> Se o BCB alterar o prazo do art. 88, a data da C1 se desloca junto com ele, sem reabertura das demais condicionantes.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C3 — nova (art. 91, Res. BCB 589/2026).</w:t>
      </w:r>
      <w:r>
        <w:rPr>
          <w:color w:val="222222"/>
        </w:rPr>
        <w:t xml:space="preserve"> Suspensão automática do fluxo em </w:t>
      </w:r>
      <w:r>
        <w:rPr>
          <w:b/>
          <w:bCs/>
          <w:color w:val="222222"/>
        </w:rPr>
        <w:t xml:space="preserve">06/11/2026</w:t>
      </w:r>
      <w:r>
        <w:rPr>
          <w:color w:val="222222"/>
        </w:rPr>
        <w:t xml:space="preserve">, salvo autorização da Foxbit OTC pelo BCB ou manifestação escrita do Intex admitindo a continuidade com o pedido em análise. Esta condicionante depende de </w:t>
      </w:r>
      <w:r>
        <w:rPr>
          <w:b/>
          <w:bCs/>
          <w:color w:val="222222"/>
        </w:rPr>
        <w:t xml:space="preserve">decisão interna do Intex</w:t>
      </w:r>
      <w:r>
        <w:rPr>
          <w:color w:val="222222"/>
        </w:rPr>
        <w:t xml:space="preserve"> sobre a leitura do art. 91, e não de entrega da Trace.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4.3 Acompanhamento (sem efeito suspensivo)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S2 (reposicionada).</w:t>
      </w:r>
      <w:r>
        <w:rPr>
          <w:color w:val="222222"/>
        </w:rPr>
        <w:t xml:space="preserve"> DF de 2025 auditadas. A solicitação será renovada após a comprovação do protocolo, com prazo então fixado.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S3 (reposicionada).</w:t>
      </w:r>
      <w:r>
        <w:rPr>
          <w:color w:val="222222"/>
        </w:rPr>
        <w:t xml:space="preserve"> Política de KYC e PLD/FT na versão aprovada, da entidade que opera o fluxo, com data de aprovação e alçada. A solicitação será renovada após a comprovação do protocolo, com prazo então fixado. A nova versão deve prever a comunicação ao Coaf de transferências de ou para carteiras autocustodiadas a partir de US$ 10 mil (Res. BCB 591/2026).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A1 (mantida).</w:t>
      </w:r>
      <w:r>
        <w:rPr>
          <w:color w:val="222222"/>
        </w:rPr>
        <w:t xml:space="preserve"> Inventário de endereços operacionais por rede, com screening periódico e evidência de reprocessamento após mudança de categoria. O prazo de "31/08/2026" do e-mail de 28/08/2026 decorreu de erro material e fica sem efeito; o parecer original não fixou prazo.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4.4 Gatilhos de reavaliação imediata e revisão</w:t>
      </w:r>
    </w:p>
    <w:p>
      <w:pPr>
        <w:spacing w:after="80" w:line="252" w:lineRule="auto"/>
        <w:jc w:val="both"/>
      </w:pPr>
      <w:r>
        <w:rPr>
          <w:color w:val="222222"/>
        </w:rPr>
        <w:t xml:space="preserve">Permanecem os gatilhos do item 4.4 do parecer original. Acresce-se: </w:t>
      </w:r>
      <w:r>
        <w:rPr>
          <w:b/>
          <w:bCs/>
          <w:color w:val="222222"/>
        </w:rPr>
        <w:t xml:space="preserve">G7.</w:t>
      </w:r>
      <w:r>
        <w:rPr>
          <w:color w:val="222222"/>
        </w:rPr>
        <w:t xml:space="preserve"> Uso, no fluxo, de estabelecimento ou CNPJ do grupo diverso dos dois aqui identificados. Revisão integral em até </w:t>
      </w:r>
      <w:r>
        <w:rPr>
          <w:b/>
          <w:bCs/>
          <w:color w:val="222222"/>
        </w:rPr>
        <w:t xml:space="preserve">27/02/2027</w:t>
      </w:r>
      <w:r>
        <w:rPr>
          <w:color w:val="222222"/>
        </w:rPr>
        <w:t xml:space="preserve">, seis meses do parecer original, ou antes, na ocorrência de qualquer gatilho.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5. Limitações</w:t>
      </w:r>
    </w:p>
    <w:p>
      <w:pPr>
        <w:spacing w:after="80" w:line="252" w:lineRule="auto"/>
        <w:jc w:val="both"/>
      </w:pPr>
      <w:r>
        <w:rPr>
          <w:color w:val="222222"/>
        </w:rPr>
        <w:t xml:space="preserve">Esta complementação se baseia no dossiê do parecer original e nos complementos recebidos da Trace em 24/09 e 01/10/2026. </w:t>
      </w:r>
      <w:r>
        <w:rPr>
          <w:b/>
          <w:bCs/>
          <w:color w:val="222222"/>
        </w:rPr>
        <w:t xml:space="preserve">Não foram disponibilizados</w:t>
      </w:r>
      <w:r>
        <w:rPr>
          <w:color w:val="222222"/>
        </w:rPr>
        <w:t xml:space="preserve">: as DF de 2025 auditadas; a nova política de KYC e PLD/FT; o contrato social com a razão social indicada na declaração de 29/09/2026; e o teor do </w:t>
      </w:r>
      <w:r>
        <w:rPr>
          <w:b/>
          <w:bCs/>
          <w:color w:val="222222"/>
        </w:rPr>
        <w:t xml:space="preserve">Ofício BCB 18.458/2026</w:t>
      </w:r>
      <w:r>
        <w:rPr>
          <w:color w:val="222222"/>
        </w:rPr>
        <w:t xml:space="preserve"> e da resposta apresentada ao BCB, que segue desconhecido. A declaração do Pinheiro Neto comprova assessoria jurídica e não constitui garantia de autorização, como ela própria registra. A abrangência da filial pelo pedido da sede é leitura deste parecer [E]. Não houve contato com a Foxbit OTC. Este documento não é opinião sobre a regularidade da Foxbit OTC perante o BCB nem substitui a análise principal da Trace.</w:t>
      </w:r>
    </w:p>
    <w:p>
      <w:pPr>
        <w:keepNext/>
        <w:spacing w:before="200" w:after="160"/>
      </w:pPr>
      <w:r>
        <w:rPr>
          <w:color w:val="222222"/>
        </w:rPr>
        <w:t xml:space="preserve">São Paulo, 14 de outubro de 2026.</w:t>
      </w:r>
    </w:p>
    <w:p>
      <w:pPr>
        <w:keepNext/>
        <w:spacing w:after="20"/>
      </w:pPr>
      <w:r>
        <w:rPr>
          <w:color w:val="5A5F6B"/>
        </w:rPr>
        <w:t xml:space="preserve">______________________________________</w:t>
      </w:r>
    </w:p>
    <w:p>
      <w:pPr>
        <w:keepNext/>
        <w:spacing w:after="10"/>
      </w:pPr>
      <w:r>
        <w:rPr>
          <w:b/>
          <w:bCs/>
          <w:color w:val="141D32"/>
          <w:sz w:val="20"/>
          <w:szCs w:val="20"/>
        </w:rPr>
        <w:t xml:space="preserve">Alexandre Ferrari</w:t>
      </w:r>
    </w:p>
    <w:p>
      <w:pPr>
        <w:keepNext/>
        <w:spacing w:after="10"/>
      </w:pPr>
      <w:r>
        <w:rPr>
          <w:color w:val="5A5F6B"/>
        </w:rPr>
        <w:t xml:space="preserve">Coordenador de Ativos Virtuais e Compliance Digital</w:t>
      </w:r>
    </w:p>
    <w:p>
      <w:pPr>
        <w:spacing w:after="0"/>
      </w:pPr>
      <w:r>
        <w:rPr>
          <w:color w:val="5A5F6B"/>
        </w:rPr>
        <w:t xml:space="preserve">Intex Bank — Banco de Câmbio S.A.</w:t>
      </w:r>
    </w:p>
    <w:sectPr w:rsidR="00DA348B">
      <w:headerReference w:type="default" r:id="rId7"/>
      <w:footerReference w:type="default" r:id="rId8"/>
      <w:pgSz w:w="11906" w:h="16838"/>
      <w:pgMar w:top="1250" w:right="850" w:bottom="1050" w:left="85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3D18" w14:textId="77777777" w:rsidR="00F66346" w:rsidRDefault="00F66346">
      <w:r>
        <w:separator/>
      </w:r>
    </w:p>
  </w:endnote>
  <w:endnote w:type="continuationSeparator" w:id="0">
    <w:p w14:paraId="1F71E588" w14:textId="77777777" w:rsidR="00F66346" w:rsidRDefault="00F66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6125" w14:textId="77777777" w:rsidR="00F66346" w:rsidRDefault="00F66346">
      <w:r>
        <w:separator/>
      </w:r>
    </w:p>
  </w:footnote>
  <w:footnote w:type="continuationSeparator" w:id="0">
    <w:p w14:paraId="57EA3AAF" w14:textId="77777777" w:rsidR="00F66346" w:rsidRDefault="00F66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6" w:space="4" w:color="92C024"/>
      </w:pBdr>
      <w:tabs>
        <w:tab w:val="right" w:pos="10206"/>
      </w:tabs>
    </w:pPr>
    <w:r>
      <w:rPr>
        <w:noProof/>
      </w:rPr>
      <w:drawing>
        <wp:inline distT="0" distB="0" distL="0" distR="0">
          <wp:extent cx="1440000" cy="179368"/>
          <wp:effectExtent l="0" t="0" r="0" b="0"/>
          <wp:docPr id="101" name="Logo Intex" descr="Intex Ban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tex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440000" cy="179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2C024"/>
        <w:sz w:val="15"/>
        <w:szCs w:val="15"/>
      </w:rPr>
      <w:tab/>
      <w:t>CONFIDENCIAL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543A8"/>
    <w:multiLevelType w:val="hybridMultilevel"/>
    <w:tmpl w:val="946C9CA0"/>
    <w:lvl w:ilvl="0" w:tplc="4058CA56">
      <w:start w:val="1"/>
      <w:numFmt w:val="bullet"/>
      <w:lvlText w:val="▪"/>
      <w:lvlJc w:val="left"/>
      <w:pPr>
        <w:ind w:left="300" w:hanging="220"/>
      </w:pPr>
      <w:rPr>
        <w:color w:val="92C024"/>
      </w:rPr>
    </w:lvl>
    <w:lvl w:ilvl="1" w:tplc="C1B01976">
      <w:numFmt w:val="decimal"/>
      <w:lvlText w:val=""/>
      <w:lvlJc w:val="left"/>
    </w:lvl>
    <w:lvl w:ilvl="2" w:tplc="429EF4E4">
      <w:numFmt w:val="decimal"/>
      <w:lvlText w:val=""/>
      <w:lvlJc w:val="left"/>
    </w:lvl>
    <w:lvl w:ilvl="3" w:tplc="6922A1C4">
      <w:numFmt w:val="decimal"/>
      <w:lvlText w:val=""/>
      <w:lvlJc w:val="left"/>
    </w:lvl>
    <w:lvl w:ilvl="4" w:tplc="5B9846EC">
      <w:numFmt w:val="decimal"/>
      <w:lvlText w:val=""/>
      <w:lvlJc w:val="left"/>
    </w:lvl>
    <w:lvl w:ilvl="5" w:tplc="439E6F98">
      <w:numFmt w:val="decimal"/>
      <w:lvlText w:val=""/>
      <w:lvlJc w:val="left"/>
    </w:lvl>
    <w:lvl w:ilvl="6" w:tplc="BCB4E006">
      <w:numFmt w:val="decimal"/>
      <w:lvlText w:val=""/>
      <w:lvlJc w:val="left"/>
    </w:lvl>
    <w:lvl w:ilvl="7" w:tplc="DBA84740">
      <w:numFmt w:val="decimal"/>
      <w:lvlText w:val=""/>
      <w:lvlJc w:val="left"/>
    </w:lvl>
    <w:lvl w:ilvl="8" w:tplc="EE70E49A">
      <w:numFmt w:val="decimal"/>
      <w:lvlText w:val=""/>
      <w:lvlJc w:val="left"/>
    </w:lvl>
  </w:abstractNum>
  <w:abstractNum w:abstractNumId="1" w15:restartNumberingAfterBreak="0">
    <w:nsid w:val="7FF6567F"/>
    <w:multiLevelType w:val="hybridMultilevel"/>
    <w:tmpl w:val="D9BCADF6"/>
    <w:lvl w:ilvl="0" w:tplc="47E203CE">
      <w:start w:val="1"/>
      <w:numFmt w:val="bullet"/>
      <w:lvlText w:val="●"/>
      <w:lvlJc w:val="left"/>
      <w:pPr>
        <w:ind w:left="720" w:hanging="360"/>
      </w:pPr>
    </w:lvl>
    <w:lvl w:ilvl="1" w:tplc="4C06F020">
      <w:start w:val="1"/>
      <w:numFmt w:val="bullet"/>
      <w:lvlText w:val="○"/>
      <w:lvlJc w:val="left"/>
      <w:pPr>
        <w:ind w:left="1440" w:hanging="360"/>
      </w:pPr>
    </w:lvl>
    <w:lvl w:ilvl="2" w:tplc="7A22C972">
      <w:start w:val="1"/>
      <w:numFmt w:val="bullet"/>
      <w:lvlText w:val="■"/>
      <w:lvlJc w:val="left"/>
      <w:pPr>
        <w:ind w:left="2160" w:hanging="360"/>
      </w:pPr>
    </w:lvl>
    <w:lvl w:ilvl="3" w:tplc="8D3E28CE">
      <w:start w:val="1"/>
      <w:numFmt w:val="bullet"/>
      <w:lvlText w:val="●"/>
      <w:lvlJc w:val="left"/>
      <w:pPr>
        <w:ind w:left="2880" w:hanging="360"/>
      </w:pPr>
    </w:lvl>
    <w:lvl w:ilvl="4" w:tplc="EF6A5490">
      <w:start w:val="1"/>
      <w:numFmt w:val="bullet"/>
      <w:lvlText w:val="○"/>
      <w:lvlJc w:val="left"/>
      <w:pPr>
        <w:ind w:left="3600" w:hanging="360"/>
      </w:pPr>
    </w:lvl>
    <w:lvl w:ilvl="5" w:tplc="8B5842C4">
      <w:start w:val="1"/>
      <w:numFmt w:val="bullet"/>
      <w:lvlText w:val="■"/>
      <w:lvlJc w:val="left"/>
      <w:pPr>
        <w:ind w:left="4320" w:hanging="360"/>
      </w:pPr>
    </w:lvl>
    <w:lvl w:ilvl="6" w:tplc="D988C90A">
      <w:start w:val="1"/>
      <w:numFmt w:val="bullet"/>
      <w:lvlText w:val="●"/>
      <w:lvlJc w:val="left"/>
      <w:pPr>
        <w:ind w:left="5040" w:hanging="360"/>
      </w:pPr>
    </w:lvl>
    <w:lvl w:ilvl="7" w:tplc="0F1AD3B2">
      <w:start w:val="1"/>
      <w:numFmt w:val="bullet"/>
      <w:lvlText w:val="●"/>
      <w:lvlJc w:val="left"/>
      <w:pPr>
        <w:ind w:left="5760" w:hanging="360"/>
      </w:pPr>
    </w:lvl>
    <w:lvl w:ilvl="8" w:tplc="D9123DB2">
      <w:start w:val="1"/>
      <w:numFmt w:val="bullet"/>
      <w:lvlText w:val="●"/>
      <w:lvlJc w:val="left"/>
      <w:pPr>
        <w:ind w:left="6480" w:hanging="360"/>
      </w:pPr>
    </w:lvl>
  </w:abstractNum>
  <w:num w:numId="1" w16cid:durableId="192616861">
    <w:abstractNumId w:val="1"/>
    <w:lvlOverride w:ilvl="0">
      <w:startOverride w:val="1"/>
    </w:lvlOverride>
  </w:num>
  <w:num w:numId="2" w16cid:durableId="184443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8B"/>
    <w:rsid w:val="001545B2"/>
    <w:rsid w:val="008C3F0A"/>
    <w:rsid w:val="00C54574"/>
    <w:rsid w:val="00DA348B"/>
    <w:rsid w:val="00F6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4FFE"/>
  <w15:docId w15:val="{6B2C1B1F-6F25-4F4F-99BE-305CCD1D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_intex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2838</Words>
  <Characters>15328</Characters>
  <Application>Microsoft Office Word</Application>
  <DocSecurity>0</DocSecurity>
  <Lines>127</Lines>
  <Paragraphs>36</Paragraphs>
  <ScaleCrop>false</ScaleCrop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Intex Bank</dc:creator>
  <cp:lastModifiedBy>Intex Bank</cp:lastModifiedBy>
  <cp:revision>2</cp:revision>
  <dcterms:created xsi:type="dcterms:W3CDTF">2026-09-24T20:10:00Z</dcterms:created>
  <dcterms:modified xsi:type="dcterms:W3CDTF">2026-09-24T20:10:00Z</dcterms:modified>
</cp:coreProperties>
</file>