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1B20" w14:textId="77777777" w:rsidR="00661DBD" w:rsidRDefault="00000000">
      <w:pPr>
        <w:pStyle w:val="Title"/>
      </w:pPr>
      <w:r>
        <w:t>Know Your Customer (KYC) Simplified Red Flags Checklist</w:t>
      </w:r>
    </w:p>
    <w:p w14:paraId="5EDD664D" w14:textId="77777777" w:rsidR="00661DBD" w:rsidRDefault="00661DBD">
      <w:pPr>
        <w:pStyle w:val="NoSpacing"/>
      </w:pPr>
    </w:p>
    <w:p w14:paraId="6EAA8358" w14:textId="77777777" w:rsidR="00661DBD" w:rsidRDefault="00000000">
      <w:pPr>
        <w:pStyle w:val="NoSpacing"/>
      </w:pPr>
      <w:r>
        <w:t>If any of the answers to these questions is YES, you must not proceed quoting for these trade restricted products.</w:t>
      </w:r>
    </w:p>
    <w:p w14:paraId="1E7DABF9" w14:textId="77777777" w:rsidR="00661DBD" w:rsidRDefault="00000000">
      <w:pPr>
        <w:pStyle w:val="NoSpacing"/>
        <w:numPr>
          <w:ilvl w:val="0"/>
          <w:numId w:val="2"/>
        </w:numPr>
      </w:pPr>
      <w:r>
        <w:t>Is the end customer or its parent headquartered in a D:5 location or Macau?</w:t>
      </w:r>
    </w:p>
    <w:p w14:paraId="563B439A" w14:textId="74A7430C" w:rsidR="00661DBD" w:rsidRDefault="00B97A8E">
      <w:pPr>
        <w:pStyle w:val="NoSpacing"/>
        <w:numPr>
          <w:ilvl w:val="1"/>
          <w:numId w:val="2"/>
        </w:numPr>
      </w:pPr>
      <w:r>
        <w:tab/>
      </w:r>
      <w:r>
        <w:tab/>
      </w:r>
    </w:p>
    <w:p w14:paraId="3A9D441C" w14:textId="77777777" w:rsidR="00661DBD" w:rsidRDefault="00000000">
      <w:pPr>
        <w:pStyle w:val="NoSpacing"/>
        <w:numPr>
          <w:ilvl w:val="0"/>
          <w:numId w:val="2"/>
        </w:numPr>
      </w:pPr>
      <w:r>
        <w:t>Is any partner involved in the transaction headquartered in a D:5 location or Macau and taking physical possession of products?</w:t>
      </w:r>
    </w:p>
    <w:p w14:paraId="3E4AC5DB" w14:textId="4B9C26FA" w:rsidR="00661DBD" w:rsidRDefault="00661DBD">
      <w:pPr>
        <w:pStyle w:val="NoSpacing"/>
        <w:numPr>
          <w:ilvl w:val="1"/>
          <w:numId w:val="2"/>
        </w:numPr>
      </w:pPr>
    </w:p>
    <w:p w14:paraId="55953AAC" w14:textId="77777777" w:rsidR="00661DBD" w:rsidRDefault="00000000">
      <w:pPr>
        <w:pStyle w:val="NoSpacing"/>
        <w:numPr>
          <w:ilvl w:val="0"/>
          <w:numId w:val="2"/>
        </w:numPr>
      </w:pPr>
      <w:r>
        <w:t>Does the customer’s intended end use indicate potential military or weapons-related end uses?</w:t>
      </w:r>
    </w:p>
    <w:p w14:paraId="58F8C9B3" w14:textId="366EB783" w:rsidR="00661DBD" w:rsidRDefault="00661DBD">
      <w:pPr>
        <w:pStyle w:val="NoSpacing"/>
        <w:numPr>
          <w:ilvl w:val="1"/>
          <w:numId w:val="2"/>
        </w:numPr>
      </w:pPr>
    </w:p>
    <w:p w14:paraId="5B5EC379" w14:textId="77777777" w:rsidR="00661DBD" w:rsidRDefault="00000000">
      <w:pPr>
        <w:pStyle w:val="NoSpacing"/>
        <w:numPr>
          <w:ilvl w:val="0"/>
          <w:numId w:val="2"/>
        </w:numPr>
      </w:pPr>
      <w:r>
        <w:t>Are there indications our products may be used to conduct training of AI models for or on behalf of parties headquartered in D:5 locations or Macau?</w:t>
      </w:r>
    </w:p>
    <w:p w14:paraId="5D7DE4ED" w14:textId="0400F643" w:rsidR="00661DBD" w:rsidRDefault="00661DBD">
      <w:pPr>
        <w:pStyle w:val="NoSpacing"/>
        <w:numPr>
          <w:ilvl w:val="1"/>
          <w:numId w:val="2"/>
        </w:numPr>
      </w:pPr>
    </w:p>
    <w:p w14:paraId="41C44E7C" w14:textId="77777777" w:rsidR="00661DBD" w:rsidRDefault="00661DBD">
      <w:pPr>
        <w:pStyle w:val="NoSpacing"/>
      </w:pPr>
    </w:p>
    <w:p w14:paraId="2303C497" w14:textId="77777777" w:rsidR="00661DBD" w:rsidRDefault="00661DBD">
      <w:pPr>
        <w:pStyle w:val="NoSpacing"/>
      </w:pPr>
    </w:p>
    <w:p w14:paraId="62998AA7" w14:textId="77777777" w:rsidR="00661DBD" w:rsidRDefault="00000000">
      <w:pPr>
        <w:pStyle w:val="NoSpacing"/>
        <w:rPr>
          <w:b/>
          <w:bCs/>
        </w:rPr>
      </w:pPr>
      <w:r>
        <w:t>If you answered NO to all the above questions, move on to checking the rest of KYC Checklist. If any of the answers to the questions below is YES reach out to the</w:t>
      </w:r>
      <w:r>
        <w:rPr>
          <w:i/>
          <w:iCs/>
        </w:rPr>
        <w:t> </w:t>
      </w:r>
      <w:r>
        <w:t>Trade Legal Team</w:t>
      </w:r>
      <w:r>
        <w:rPr>
          <w:i/>
          <w:iCs/>
        </w:rPr>
        <w:t>.</w:t>
      </w:r>
    </w:p>
    <w:p w14:paraId="3769128B" w14:textId="77777777" w:rsidR="00661DBD" w:rsidRDefault="00000000">
      <w:pPr>
        <w:pStyle w:val="NoSpacing"/>
        <w:numPr>
          <w:ilvl w:val="0"/>
          <w:numId w:val="4"/>
        </w:numPr>
      </w:pPr>
      <w:r>
        <w:t>Is the customer unwilling or unable to disclose complete and accurate information about their headquarters location, or the identity and headquarters location of any parent companies?</w:t>
      </w:r>
    </w:p>
    <w:p w14:paraId="54F92B39" w14:textId="333440E5" w:rsidR="00661DBD" w:rsidRDefault="00661DBD">
      <w:pPr>
        <w:pStyle w:val="NoSpacing"/>
        <w:numPr>
          <w:ilvl w:val="1"/>
          <w:numId w:val="6"/>
        </w:numPr>
      </w:pPr>
    </w:p>
    <w:p w14:paraId="75FC038B" w14:textId="77777777" w:rsidR="00661DBD" w:rsidRDefault="00000000">
      <w:pPr>
        <w:pStyle w:val="NoSpacing"/>
        <w:numPr>
          <w:ilvl w:val="0"/>
          <w:numId w:val="4"/>
        </w:numPr>
      </w:pPr>
      <w:r>
        <w:t>Are there any indications that the customer or partner is affiliated with a D:5 location or Macau, including potential financing from a D:5 source, major/predominant historical operations in D:5 locations/Macau, significant minority ownership by D:5/Macau entities, or other potential links?</w:t>
      </w:r>
    </w:p>
    <w:p w14:paraId="6020E388" w14:textId="78DD5296" w:rsidR="00661DBD" w:rsidRDefault="00B97A8E">
      <w:pPr>
        <w:pStyle w:val="NoSpacing"/>
        <w:numPr>
          <w:ilvl w:val="1"/>
          <w:numId w:val="6"/>
        </w:numPr>
      </w:pPr>
      <w:r>
        <w:t>N</w:t>
      </w:r>
      <w:r>
        <w:tab/>
      </w:r>
      <w:r>
        <w:tab/>
      </w:r>
      <w:r>
        <w:tab/>
      </w:r>
      <w:r>
        <w:tab/>
      </w:r>
      <w:r>
        <w:tab/>
      </w:r>
      <w:r>
        <w:tab/>
      </w:r>
      <w:r>
        <w:tab/>
      </w:r>
      <w:r>
        <w:tab/>
      </w:r>
      <w:r>
        <w:tab/>
      </w:r>
      <w:r>
        <w:tab/>
      </w:r>
    </w:p>
    <w:p w14:paraId="68C5B1F2" w14:textId="77777777" w:rsidR="00661DBD" w:rsidRDefault="00000000">
      <w:pPr>
        <w:pStyle w:val="NoSpacing"/>
        <w:numPr>
          <w:ilvl w:val="0"/>
          <w:numId w:val="4"/>
        </w:numPr>
      </w:pPr>
      <w:r>
        <w:t>Is a partner involved in the transaction new in the market/industry and did not go through full, standard onboarding procedures?</w:t>
      </w:r>
    </w:p>
    <w:p w14:paraId="03486D14" w14:textId="62F1CF6E" w:rsidR="00661DBD" w:rsidRDefault="00661DBD">
      <w:pPr>
        <w:pStyle w:val="NoSpacing"/>
        <w:numPr>
          <w:ilvl w:val="1"/>
          <w:numId w:val="6"/>
        </w:numPr>
      </w:pPr>
    </w:p>
    <w:p w14:paraId="0C8D5BC8" w14:textId="77777777" w:rsidR="00661DBD" w:rsidRDefault="00000000">
      <w:pPr>
        <w:pStyle w:val="NoSpacing"/>
        <w:numPr>
          <w:ilvl w:val="0"/>
          <w:numId w:val="4"/>
        </w:numPr>
      </w:pPr>
      <w:r>
        <w:t>Is the use of advanced computing products or quantity ordered inconsistent with the type of business of any party to the transaction?</w:t>
      </w:r>
    </w:p>
    <w:p w14:paraId="2606AE06" w14:textId="22FDBD7A" w:rsidR="00661DBD" w:rsidRDefault="00661DBD">
      <w:pPr>
        <w:pStyle w:val="NoSpacing"/>
        <w:numPr>
          <w:ilvl w:val="1"/>
          <w:numId w:val="6"/>
        </w:numPr>
      </w:pPr>
    </w:p>
    <w:p w14:paraId="694EE6A6" w14:textId="77777777" w:rsidR="00661DBD" w:rsidRDefault="00000000">
      <w:pPr>
        <w:pStyle w:val="NoSpacing"/>
        <w:numPr>
          <w:ilvl w:val="0"/>
          <w:numId w:val="4"/>
        </w:numPr>
      </w:pPr>
      <w:r>
        <w:t>Does the customer’s intended end use involve the provision of IaaS or cloud services to third parties? </w:t>
      </w:r>
    </w:p>
    <w:p w14:paraId="12F34E07" w14:textId="4D6A1301" w:rsidR="00661DBD" w:rsidRDefault="00661DBD">
      <w:pPr>
        <w:pStyle w:val="NoSpacing"/>
        <w:numPr>
          <w:ilvl w:val="1"/>
          <w:numId w:val="6"/>
        </w:numPr>
      </w:pPr>
    </w:p>
    <w:p w14:paraId="1B052AED" w14:textId="77777777" w:rsidR="00661DBD" w:rsidRDefault="00661DBD">
      <w:pPr>
        <w:pStyle w:val="a"/>
      </w:pPr>
    </w:p>
    <w:p w14:paraId="304C8B68" w14:textId="77777777" w:rsidR="00661DBD" w:rsidRDefault="00661DBD">
      <w:pPr>
        <w:pStyle w:val="a"/>
      </w:pPr>
    </w:p>
    <w:p w14:paraId="038CEF4C" w14:textId="77777777" w:rsidR="00661DBD" w:rsidRDefault="00661DBD">
      <w:pPr>
        <w:pStyle w:val="a"/>
        <w:jc w:val="center"/>
      </w:pPr>
    </w:p>
    <w:p w14:paraId="50C4FA45" w14:textId="77777777" w:rsidR="00661DBD" w:rsidRDefault="00000000">
      <w:pPr>
        <w:pStyle w:val="NoSpacing"/>
        <w:numPr>
          <w:ilvl w:val="0"/>
          <w:numId w:val="4"/>
        </w:numPr>
      </w:pPr>
      <w:r>
        <w:t>Is the Billing, Ship-To, or Install address a residential address or other location inconsistent with the type or quantity of products ordered (including a location that lacks sufficient infrastructure for the products)?</w:t>
      </w:r>
    </w:p>
    <w:p w14:paraId="2FC203BB" w14:textId="134B8EE7" w:rsidR="00661DBD" w:rsidRDefault="00B97A8E">
      <w:pPr>
        <w:pStyle w:val="NoSpacing"/>
        <w:numPr>
          <w:ilvl w:val="1"/>
          <w:numId w:val="6"/>
        </w:numPr>
      </w:pPr>
      <w:r>
        <w:t>No</w:t>
      </w:r>
    </w:p>
    <w:p w14:paraId="4115EE88" w14:textId="77777777" w:rsidR="00661DBD" w:rsidRDefault="00000000">
      <w:pPr>
        <w:pStyle w:val="NoSpacing"/>
        <w:numPr>
          <w:ilvl w:val="0"/>
          <w:numId w:val="4"/>
        </w:numPr>
      </w:pPr>
      <w:r>
        <w:t>Does the customer not have a legal entity in the country where the servers will be installed?</w:t>
      </w:r>
    </w:p>
    <w:p w14:paraId="016CA9D5" w14:textId="63D3A455" w:rsidR="00661DBD" w:rsidRDefault="00B97A8E">
      <w:pPr>
        <w:pStyle w:val="NoSpacing"/>
        <w:numPr>
          <w:ilvl w:val="1"/>
          <w:numId w:val="6"/>
        </w:numPr>
      </w:pPr>
      <w:r>
        <w:t>No</w:t>
      </w:r>
    </w:p>
    <w:p w14:paraId="40BBFC5D" w14:textId="77777777" w:rsidR="00661DBD" w:rsidRDefault="00000000">
      <w:pPr>
        <w:pStyle w:val="NoSpacing"/>
        <w:numPr>
          <w:ilvl w:val="0"/>
          <w:numId w:val="4"/>
        </w:numPr>
      </w:pPr>
      <w:r>
        <w:t>Is the Ship-To address a third-party who is not the stated end customer (E.g. freight-forwarder, warehouse, or a site belonging to or managed by an unrelated party)?</w:t>
      </w:r>
    </w:p>
    <w:p w14:paraId="06CD472B" w14:textId="400E22F4" w:rsidR="00661DBD" w:rsidRDefault="00B97A8E">
      <w:pPr>
        <w:pStyle w:val="NoSpacing"/>
        <w:numPr>
          <w:ilvl w:val="1"/>
          <w:numId w:val="6"/>
        </w:numPr>
      </w:pPr>
      <w:r>
        <w:t>No</w:t>
      </w:r>
    </w:p>
    <w:sectPr w:rsidR="00661DBD">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DEB67" w14:textId="77777777" w:rsidR="002F7D93" w:rsidRDefault="002F7D93">
      <w:r>
        <w:separator/>
      </w:r>
    </w:p>
  </w:endnote>
  <w:endnote w:type="continuationSeparator" w:id="0">
    <w:p w14:paraId="6F2E8AB9" w14:textId="77777777" w:rsidR="002F7D93" w:rsidRDefault="002F7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PingFang SC Regular">
    <w:altName w:val="Cambria"/>
    <w:charset w:val="00"/>
    <w:family w:val="roman"/>
    <w:pitch w:val="default"/>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ingFang SC Semi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3598" w14:textId="77777777" w:rsidR="00661DBD" w:rsidRDefault="00661DBD">
    <w:pPr>
      <w:pStyle w:val="a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7C8C7" w14:textId="77777777" w:rsidR="002F7D93" w:rsidRDefault="002F7D93">
      <w:r>
        <w:separator/>
      </w:r>
    </w:p>
  </w:footnote>
  <w:footnote w:type="continuationSeparator" w:id="0">
    <w:p w14:paraId="53B97120" w14:textId="77777777" w:rsidR="002F7D93" w:rsidRDefault="002F7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6404" w14:textId="77777777" w:rsidR="00661DBD" w:rsidRDefault="00000000">
    <w:pPr>
      <w:pStyle w:val="Header"/>
      <w:tabs>
        <w:tab w:val="clear" w:pos="9360"/>
        <w:tab w:val="right" w:pos="9340"/>
      </w:tabs>
    </w:pPr>
    <w:r>
      <w:rPr>
        <w:noProof/>
      </w:rPr>
      <mc:AlternateContent>
        <mc:Choice Requires="wps">
          <w:drawing>
            <wp:anchor distT="152400" distB="152400" distL="152400" distR="152400" simplePos="0" relativeHeight="251658240" behindDoc="1" locked="0" layoutInCell="1" allowOverlap="1" wp14:anchorId="720026F6" wp14:editId="0AE39B77">
              <wp:simplePos x="0" y="0"/>
              <wp:positionH relativeFrom="page">
                <wp:posOffset>255405</wp:posOffset>
              </wp:positionH>
              <wp:positionV relativeFrom="page">
                <wp:posOffset>145304</wp:posOffset>
              </wp:positionV>
              <wp:extent cx="2306948" cy="137071"/>
              <wp:effectExtent l="0" t="0" r="0" b="0"/>
              <wp:wrapNone/>
              <wp:docPr id="1073741825" name="officeArt object" descr="Dell Customer Communication - Confidential"/>
              <wp:cNvGraphicFramePr/>
              <a:graphic xmlns:a="http://schemas.openxmlformats.org/drawingml/2006/main">
                <a:graphicData uri="http://schemas.microsoft.com/office/word/2010/wordprocessingShape">
                  <wps:wsp>
                    <wps:cNvSpPr txBox="1"/>
                    <wps:spPr>
                      <a:xfrm>
                        <a:off x="0" y="0"/>
                        <a:ext cx="2306948" cy="137071"/>
                      </a:xfrm>
                      <a:prstGeom prst="rect">
                        <a:avLst/>
                      </a:prstGeom>
                      <a:noFill/>
                      <a:ln w="12700" cap="flat">
                        <a:noFill/>
                        <a:miter lim="400000"/>
                      </a:ln>
                      <a:effectLst/>
                    </wps:spPr>
                    <wps:txbx>
                      <w:txbxContent>
                        <w:p w14:paraId="58CFCD84" w14:textId="77777777" w:rsidR="00661DBD" w:rsidRDefault="00000000">
                          <w:pPr>
                            <w:pStyle w:val="a"/>
                            <w:spacing w:after="0"/>
                          </w:pPr>
                          <w:proofErr w:type="spellStart"/>
                          <w:r>
                            <w:rPr>
                              <w:rFonts w:ascii="Calibri" w:hAnsi="Calibri"/>
                              <w:color w:val="737373"/>
                              <w:sz w:val="20"/>
                              <w:szCs w:val="20"/>
                              <w:u w:color="737373"/>
                            </w:rPr>
                            <w:t>Nexacore</w:t>
                          </w:r>
                          <w:proofErr w:type="spellEnd"/>
                          <w:r>
                            <w:rPr>
                              <w:rFonts w:ascii="Calibri" w:hAnsi="Calibri"/>
                              <w:color w:val="737373"/>
                              <w:sz w:val="20"/>
                              <w:szCs w:val="20"/>
                              <w:u w:color="737373"/>
                            </w:rPr>
                            <w:t xml:space="preserve"> Customer Communication - Confidential</w:t>
                          </w:r>
                        </w:p>
                      </w:txbxContent>
                    </wps:txbx>
                    <wps:bodyPr wrap="square" lIns="0" tIns="0" rIns="0" bIns="0" numCol="1" anchor="t">
                      <a:noAutofit/>
                    </wps:bodyPr>
                  </wps:wsp>
                </a:graphicData>
              </a:graphic>
            </wp:anchor>
          </w:drawing>
        </mc:Choice>
        <mc:Fallback>
          <w:pict>
            <v:shapetype w14:anchorId="720026F6" id="_x0000_t202" coordsize="21600,21600" o:spt="202" path="m,l,21600r21600,l21600,xe">
              <v:stroke joinstyle="miter"/>
              <v:path gradientshapeok="t" o:connecttype="rect"/>
            </v:shapetype>
            <v:shape id="officeArt object" o:spid="_x0000_s1026" type="#_x0000_t202" alt="Dell Customer Communication - Confidential" style="position:absolute;margin-left:20.1pt;margin-top:11.45pt;width:181.65pt;height:10.8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" filled="f" stroked="f" strokeweight="1pt">
              <v:stroke miterlimit="4"/>
              <v:textbox inset="0,0,0,0">
                <w:txbxContent>
                  <w:p w14:paraId="58CFCD84" w14:textId="77777777" w:rsidR="00661DBD" w:rsidRDefault="00000000">
                    <w:pPr>
                      <w:pStyle w:val="a"/>
                      <w:spacing w:after="0"/>
                    </w:pPr>
                    <w:proofErr w:type="spellStart"/>
                    <w:r>
                      <w:rPr>
                        <w:rFonts w:ascii="Calibri" w:hAnsi="Calibri"/>
                        <w:color w:val="737373"/>
                        <w:sz w:val="20"/>
                        <w:szCs w:val="20"/>
                        <w:u w:color="737373"/>
                      </w:rPr>
                      <w:t>Nexacore</w:t>
                    </w:r>
                    <w:proofErr w:type="spellEnd"/>
                    <w:r>
                      <w:rPr>
                        <w:rFonts w:ascii="Calibri" w:hAnsi="Calibri"/>
                        <w:color w:val="737373"/>
                        <w:sz w:val="20"/>
                        <w:szCs w:val="20"/>
                        <w:u w:color="737373"/>
                      </w:rPr>
                      <w:t xml:space="preserve"> Customer Communication -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FCE"/>
    <w:multiLevelType w:val="hybridMultilevel"/>
    <w:tmpl w:val="0596CE46"/>
    <w:styleLink w:val="1"/>
    <w:lvl w:ilvl="0" w:tplc="DC5403E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DD07066">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F685752">
      <w:start w:val="1"/>
      <w:numFmt w:val="bullet"/>
      <w:lvlText w:val="·"/>
      <w:lvlJc w:val="left"/>
      <w:pPr>
        <w:tabs>
          <w:tab w:val="left" w:pos="1440"/>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4E2BC0A">
      <w:start w:val="1"/>
      <w:numFmt w:val="bullet"/>
      <w:lvlText w:val="·"/>
      <w:lvlJc w:val="left"/>
      <w:pPr>
        <w:tabs>
          <w:tab w:val="left" w:pos="144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42AC3D6">
      <w:start w:val="1"/>
      <w:numFmt w:val="bullet"/>
      <w:lvlText w:val="·"/>
      <w:lvlJc w:val="left"/>
      <w:pPr>
        <w:tabs>
          <w:tab w:val="left" w:pos="1440"/>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A12BB00">
      <w:start w:val="1"/>
      <w:numFmt w:val="bullet"/>
      <w:lvlText w:val="·"/>
      <w:lvlJc w:val="left"/>
      <w:pPr>
        <w:tabs>
          <w:tab w:val="left" w:pos="1440"/>
        </w:tabs>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DA2C45C">
      <w:start w:val="1"/>
      <w:numFmt w:val="bullet"/>
      <w:lvlText w:val="·"/>
      <w:lvlJc w:val="left"/>
      <w:pPr>
        <w:tabs>
          <w:tab w:val="left" w:pos="144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44401BE">
      <w:start w:val="1"/>
      <w:numFmt w:val="bullet"/>
      <w:lvlText w:val="·"/>
      <w:lvlJc w:val="left"/>
      <w:pPr>
        <w:tabs>
          <w:tab w:val="left" w:pos="1440"/>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84045A8">
      <w:start w:val="1"/>
      <w:numFmt w:val="bullet"/>
      <w:lvlText w:val="·"/>
      <w:lvlJc w:val="left"/>
      <w:pPr>
        <w:tabs>
          <w:tab w:val="left" w:pos="1440"/>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20FA48BF"/>
    <w:multiLevelType w:val="hybridMultilevel"/>
    <w:tmpl w:val="0596CE46"/>
    <w:numStyleLink w:val="1"/>
  </w:abstractNum>
  <w:abstractNum w:abstractNumId="2" w15:restartNumberingAfterBreak="0">
    <w:nsid w:val="39CE4E22"/>
    <w:multiLevelType w:val="hybridMultilevel"/>
    <w:tmpl w:val="9F8095B8"/>
    <w:numStyleLink w:val="2"/>
  </w:abstractNum>
  <w:abstractNum w:abstractNumId="3" w15:restartNumberingAfterBreak="0">
    <w:nsid w:val="4B344E7E"/>
    <w:multiLevelType w:val="hybridMultilevel"/>
    <w:tmpl w:val="F920F8F6"/>
    <w:styleLink w:val="20"/>
    <w:lvl w:ilvl="0" w:tplc="BF00EBC6">
      <w:start w:val="1"/>
      <w:numFmt w:val="bullet"/>
      <w:lvlText w:val="o"/>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22E6290">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85DCAC8C">
      <w:start w:val="1"/>
      <w:numFmt w:val="bullet"/>
      <w:lvlText w:val="o"/>
      <w:lvlJc w:val="left"/>
      <w:pPr>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0B262998">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26748B60">
      <w:start w:val="1"/>
      <w:numFmt w:val="bullet"/>
      <w:lvlText w:val="o"/>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8AD8E65E">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2EE6B5AE">
      <w:start w:val="1"/>
      <w:numFmt w:val="bullet"/>
      <w:lvlText w:val="o"/>
      <w:lvlJc w:val="left"/>
      <w:pPr>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68FAAF1A">
      <w:start w:val="1"/>
      <w:numFmt w:val="bullet"/>
      <w:lvlText w:val="o"/>
      <w:lvlJc w:val="left"/>
      <w:pPr>
        <w:ind w:left="79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24FAF780">
      <w:start w:val="1"/>
      <w:numFmt w:val="bullet"/>
      <w:lvlText w:val="o"/>
      <w:lvlJc w:val="left"/>
      <w:pPr>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0C21EAF"/>
    <w:multiLevelType w:val="hybridMultilevel"/>
    <w:tmpl w:val="9F8095B8"/>
    <w:styleLink w:val="2"/>
    <w:lvl w:ilvl="0" w:tplc="596886A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4F0DF98">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5BC778A">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946431C">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26E2F4">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54E02C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B6322532">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0127E20">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516A118">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4234007"/>
    <w:multiLevelType w:val="hybridMultilevel"/>
    <w:tmpl w:val="F920F8F6"/>
    <w:numStyleLink w:val="20"/>
  </w:abstractNum>
  <w:num w:numId="1" w16cid:durableId="1794909950">
    <w:abstractNumId w:val="0"/>
  </w:num>
  <w:num w:numId="2" w16cid:durableId="331103002">
    <w:abstractNumId w:val="1"/>
  </w:num>
  <w:num w:numId="3" w16cid:durableId="1365323207">
    <w:abstractNumId w:val="4"/>
  </w:num>
  <w:num w:numId="4" w16cid:durableId="1403941809">
    <w:abstractNumId w:val="2"/>
  </w:num>
  <w:num w:numId="5" w16cid:durableId="1594437295">
    <w:abstractNumId w:val="3"/>
  </w:num>
  <w:num w:numId="6" w16cid:durableId="1014041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DBD"/>
    <w:rsid w:val="002F7D93"/>
    <w:rsid w:val="00661DBD"/>
    <w:rsid w:val="006E3623"/>
    <w:rsid w:val="007C7E74"/>
    <w:rsid w:val="00990754"/>
    <w:rsid w:val="00B01695"/>
    <w:rsid w:val="00B97A8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AD24A"/>
  <w15:docId w15:val="{73383C63-9F26-439F-B6A5-978BE33E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Aptos" w:eastAsia="Aptos" w:hAnsi="Aptos" w:cs="Aptos"/>
      <w:color w:val="000000"/>
      <w:kern w:val="2"/>
      <w:sz w:val="24"/>
      <w:szCs w:val="24"/>
      <w:u w:color="000000"/>
      <w:lang w:val="en-US"/>
    </w:rPr>
  </w:style>
  <w:style w:type="paragraph" w:customStyle="1" w:styleId="a">
    <w:name w:val="正文"/>
    <w:pPr>
      <w:spacing w:after="160" w:line="278" w:lineRule="auto"/>
    </w:pPr>
    <w:rPr>
      <w:rFonts w:ascii="Aptos" w:eastAsia="Aptos" w:hAnsi="Aptos" w:cs="Aptos"/>
      <w:color w:val="000000"/>
      <w:kern w:val="2"/>
      <w:sz w:val="24"/>
      <w:szCs w:val="24"/>
      <w:u w:color="000000"/>
      <w:lang w:val="en-US"/>
      <w14:textOutline w14:w="0" w14:cap="flat" w14:cmpd="sng" w14:algn="ctr">
        <w14:noFill/>
        <w14:prstDash w14:val="solid"/>
        <w14:bevel/>
      </w14:textOutline>
    </w:rPr>
  </w:style>
  <w:style w:type="paragraph" w:customStyle="1" w:styleId="a0">
    <w:name w:val="页眉与页脚"/>
    <w:pPr>
      <w:tabs>
        <w:tab w:val="right" w:pos="9020"/>
      </w:tabs>
    </w:pPr>
    <w:rPr>
      <w:rFonts w:ascii="PingFang SC Regular" w:eastAsia="PingFang SC Regular" w:hAnsi="PingFang SC Regular" w:cs="PingFang SC Regular"/>
      <w:color w:val="000000"/>
      <w:sz w:val="24"/>
      <w:szCs w:val="24"/>
      <w14:textOutline w14:w="0" w14:cap="flat" w14:cmpd="sng" w14:algn="ctr">
        <w14:noFill/>
        <w14:prstDash w14:val="solid"/>
        <w14:bevel/>
      </w14:textOutline>
    </w:rPr>
  </w:style>
  <w:style w:type="paragraph" w:styleId="Title">
    <w:name w:val="Title"/>
    <w:next w:val="a"/>
    <w:uiPriority w:val="10"/>
    <w:qFormat/>
    <w:pPr>
      <w:spacing w:after="80"/>
    </w:pPr>
    <w:rPr>
      <w:rFonts w:ascii="Aptos Display" w:eastAsia="Aptos Display" w:hAnsi="Aptos Display" w:cs="Aptos Display"/>
      <w:color w:val="000000"/>
      <w:spacing w:val="-10"/>
      <w:kern w:val="28"/>
      <w:sz w:val="56"/>
      <w:szCs w:val="56"/>
      <w:u w:color="000000"/>
      <w:lang w:val="en-US"/>
    </w:rPr>
  </w:style>
  <w:style w:type="paragraph" w:styleId="NoSpacing">
    <w:name w:val="No Spacing"/>
    <w:rPr>
      <w:rFonts w:ascii="Aptos" w:eastAsia="Aptos" w:hAnsi="Aptos" w:cs="Aptos"/>
      <w:color w:val="000000"/>
      <w:kern w:val="2"/>
      <w:sz w:val="24"/>
      <w:szCs w:val="24"/>
      <w:u w:color="000000"/>
      <w:lang w:val="en-US"/>
    </w:rPr>
  </w:style>
  <w:style w:type="numbering" w:customStyle="1" w:styleId="1">
    <w:name w:val="已导入的样式“1”"/>
    <w:pPr>
      <w:numPr>
        <w:numId w:val="1"/>
      </w:numPr>
    </w:pPr>
  </w:style>
  <w:style w:type="numbering" w:customStyle="1" w:styleId="2">
    <w:name w:val="已导入的样式“2”"/>
    <w:pPr>
      <w:numPr>
        <w:numId w:val="3"/>
      </w:numPr>
    </w:pPr>
  </w:style>
  <w:style w:type="numbering" w:customStyle="1" w:styleId="20">
    <w:name w:val="已导入的样式“2”.0"/>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1823</Characters>
  <Application>Microsoft Office Word</Application>
  <DocSecurity>0</DocSecurity>
  <Lines>52</Lines>
  <Paragraphs>27</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Option One</dc:creator>
  <cp:lastModifiedBy>Mike Myers</cp:lastModifiedBy>
  <cp:revision>2</cp:revision>
  <dcterms:created xsi:type="dcterms:W3CDTF">2026-05-20T22:29:00Z</dcterms:created>
  <dcterms:modified xsi:type="dcterms:W3CDTF">2026-05-20T22:29:00Z</dcterms:modified>
</cp:coreProperties>
</file>