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0" w:after="0"/>
        <w:rPr/>
      </w:pPr>
      <w:r>
        <w:rPr/>
      </w:r>
    </w:p>
    <w:p>
      <w:pPr>
        <w:pStyle w:val="Normal"/>
        <w:jc w:val="center"/>
        <w:rPr>
          <w:rFonts w:eastAsia="Calibri" w:cs="Calibri"/>
          <w:b/>
          <w:b/>
          <w:bCs/>
          <w:color w:val="16263F"/>
          <w:sz w:val="72"/>
          <w:szCs w:val="72"/>
        </w:rPr>
      </w:pPr>
      <w:r>
        <w:rPr/>
      </w:r>
    </w:p>
    <w:p>
      <w:pPr>
        <w:pStyle w:val="Normal"/>
        <w:jc w:val="center"/>
        <w:rPr>
          <w:rFonts w:eastAsia="Calibri" w:cs="Calibri"/>
          <w:b/>
          <w:b/>
          <w:bCs/>
          <w:color w:val="16263F"/>
          <w:sz w:val="72"/>
          <w:szCs w:val="72"/>
        </w:rPr>
      </w:pPr>
      <w:r>
        <w:rPr/>
      </w:r>
    </w:p>
    <w:p>
      <w:pPr>
        <w:pStyle w:val="Normal"/>
        <w:jc w:val="center"/>
        <w:rPr>
          <w:rFonts w:eastAsia="Calibri" w:cs="Calibri"/>
          <w:b/>
          <w:b/>
          <w:bCs/>
          <w:color w:val="16263F"/>
          <w:sz w:val="72"/>
          <w:szCs w:val="72"/>
        </w:rPr>
      </w:pPr>
      <w:r>
        <w:rPr/>
      </w:r>
    </w:p>
    <w:p>
      <w:pPr>
        <w:pStyle w:val="Normal"/>
        <w:jc w:val="center"/>
        <w:rPr>
          <w:rFonts w:eastAsia="Calibri" w:cs="Calibri"/>
          <w:b/>
          <w:b/>
          <w:bCs/>
          <w:color w:val="16263F"/>
          <w:sz w:val="72"/>
          <w:szCs w:val="72"/>
        </w:rPr>
      </w:pPr>
      <w:r>
        <w:rPr/>
      </w:r>
    </w:p>
    <w:p>
      <w:pPr>
        <w:pStyle w:val="Normal"/>
        <w:jc w:val="center"/>
        <w:rPr/>
      </w:pPr>
      <w:r>
        <w:rPr>
          <w:rFonts w:eastAsia="Calibri" w:cs="Calibri"/>
          <w:b/>
          <w:bCs/>
          <w:color w:val="16263F"/>
          <w:sz w:val="72"/>
          <w:szCs w:val="72"/>
        </w:rPr>
        <w:t>TUSMEC</w:t>
      </w:r>
    </w:p>
    <w:p>
      <w:pPr>
        <w:pStyle w:val="Normal"/>
        <w:spacing w:before="0" w:after="200"/>
        <w:jc w:val="center"/>
        <w:rPr>
          <w:b/>
          <w:b/>
          <w:bCs/>
          <w:color w:val="000000"/>
        </w:rPr>
      </w:pPr>
      <w:r>
        <w:rPr>
          <w:rFonts w:eastAsia="Calibri" w:cs="Calibri"/>
          <w:b/>
          <w:bCs/>
          <w:color w:val="000000"/>
          <w:sz w:val="32"/>
          <w:szCs w:val="32"/>
          <w:shd w:fill="auto" w:val="clear"/>
        </w:rPr>
        <w:t>Heterojen Sürü Simülasyon ve ROI Demo Platformu</w:t>
      </w:r>
    </w:p>
    <w:p>
      <w:pPr>
        <w:pStyle w:val="Normal"/>
        <w:spacing w:before="0" w:after="2400"/>
        <w:jc w:val="center"/>
        <w:rPr/>
      </w:pPr>
      <w:r>
        <w:rPr>
          <w:rFonts w:eastAsia="Calibri" w:cs="Calibri"/>
          <w:b/>
          <w:bCs/>
          <w:color w:val="16263F"/>
          <w:sz w:val="44"/>
          <w:szCs w:val="44"/>
        </w:rPr>
        <w:t>KULLANIM KILAVUZU</w:t>
      </w:r>
    </w:p>
    <w:p>
      <w:pPr>
        <w:pStyle w:val="Normal"/>
        <w:jc w:val="center"/>
        <w:rPr/>
      </w:pPr>
      <w:r>
        <w:rPr>
          <w:rFonts w:eastAsia="Calibri" w:cs="Calibri"/>
          <w:color w:val="5A6B84"/>
          <w:sz w:val="22"/>
          <w:szCs w:val="22"/>
        </w:rPr>
        <w:t>Tusmec Karma Robot Teknolojileri A.Ş.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>
          <w:b/>
          <w:bCs/>
          <w:color w:val="16263F"/>
        </w:rPr>
        <w:t>İçindekiler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1. Giriş .............................…............................................................. 3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2. WEB Paneli Kullanımı ………………..……………………………………………..... 3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3. Simülasyon Konsolu …………………................................................... 4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4. ROI Hesaplama Sayfası.................................................................. 4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5. Sık Sorulan Sorular ve Sorun Giderme ……………..........................…..5</w:t>
      </w:r>
    </w:p>
    <w:p>
      <w:pPr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rPr>
          <w:b/>
          <w:b/>
          <w:bCs/>
        </w:rPr>
      </w:pPr>
      <w:r>
        <w:rPr>
          <w:b/>
          <w:bCs/>
        </w:rPr>
        <w:t>6. API Referansı ………….……………..................................................…...6</w:t>
      </w:r>
    </w:p>
    <w:p>
      <w:pPr>
        <w:pStyle w:val="Heading1"/>
        <w:spacing w:before="360" w:after="160"/>
        <w:rPr/>
      </w:pPr>
      <w:r>
        <w:rPr>
          <w:b/>
          <w:bCs/>
          <w:color w:val="16263F"/>
        </w:rPr>
        <w:t>1. Giriş</w:t>
      </w:r>
    </w:p>
    <w:p>
      <w:pPr>
        <w:pStyle w:val="Normal"/>
        <w:spacing w:before="0" w:after="120"/>
        <w:rPr/>
      </w:pPr>
      <w:r>
        <w:rPr>
          <w:rFonts w:eastAsia="Calibri" w:cs="Calibri"/>
        </w:rPr>
        <w:t>Bu kılavuz, Tusmec heterojen sürü simülasyon ve ROI demo platformunun son kullanıcı (satış ekibi, demo sunucusu) tarafından nasıl kullanılacağını anlatır. Platform iki sayfadan oluşur:</w:t>
      </w:r>
    </w:p>
    <w:p>
      <w:pPr>
        <w:pStyle w:val="ListParagraph"/>
        <w:numPr>
          <w:ilvl w:val="0"/>
          <w:numId w:val="4"/>
        </w:numPr>
        <w:spacing w:before="0" w:after="80"/>
        <w:rPr/>
      </w:pPr>
      <w:r>
        <w:rPr>
          <w:rFonts w:eastAsia="Calibri" w:cs="Calibri"/>
          <w:b/>
          <w:bCs/>
        </w:rPr>
        <w:t xml:space="preserve">Simülasyon Konsolu (/): </w:t>
      </w:r>
      <w:r>
        <w:rPr>
          <w:rFonts w:eastAsia="Calibri" w:cs="Calibri"/>
        </w:rPr>
        <w:t>müşteri parametreleriyle heterojen sürüyü (UAV, UGV, AMR) tarayıcıda gerçek zamanlı çalıştırır.</w:t>
      </w:r>
    </w:p>
    <w:p>
      <w:pPr>
        <w:pStyle w:val="ListParagraph"/>
        <w:numPr>
          <w:ilvl w:val="0"/>
          <w:numId w:val="5"/>
        </w:numPr>
        <w:spacing w:before="0" w:after="80"/>
        <w:rPr/>
      </w:pPr>
      <w:r>
        <w:rPr>
          <w:rFonts w:eastAsia="Calibri" w:cs="Calibri"/>
          <w:b/>
          <w:bCs/>
        </w:rPr>
        <w:t xml:space="preserve">ROI Hesaplama (/roi): </w:t>
      </w:r>
      <w:r>
        <w:rPr>
          <w:rFonts w:eastAsia="Calibri" w:cs="Calibri"/>
        </w:rPr>
        <w:t>Tusmec çözümünün müşteriye sağlayacağı tasarrufu hesaplar, grafikle karşılaştırır ve PDF rapor üretir.</w:t>
      </w:r>
    </w:p>
    <w:p>
      <w:pPr>
        <w:pStyle w:val="Normal"/>
        <w:spacing w:before="0" w:after="120"/>
        <w:rPr/>
      </w:pPr>
      <w:r>
        <w:rPr>
          <w:rFonts w:eastAsia="Calibri" w:cs="Calibri"/>
        </w:rPr>
        <w:t>Platformun amacı satış toplantılarında canlı demo yapmaktır: müşteri kendi sahasının parametrelerini verir, sürüyü ekranda izler ve yatırım getirisini sayılarla görür.</w:t>
      </w:r>
    </w:p>
    <w:p>
      <w:pPr>
        <w:pStyle w:val="Normal"/>
        <w:spacing w:before="0" w:after="120"/>
        <w:rPr/>
      </w:pPr>
      <w:r>
        <w:rPr>
          <w:rFonts w:eastAsia="Calibri" w:cs="Calibri"/>
          <w:i/>
          <w:iCs/>
        </w:rPr>
        <w:t xml:space="preserve">Kurulum bu kılavuzun kapsamı dışındadır; geliştirici kurulumu için proje kökündeki </w:t>
      </w:r>
      <w:r>
        <w:rPr>
          <w:rFonts w:eastAsia="Consolas" w:cs="Consolas" w:ascii="Consolas" w:hAnsi="Consolas"/>
          <w:sz w:val="20"/>
          <w:szCs w:val="20"/>
          <w:shd w:fill="EEF2F7" w:val="clear"/>
        </w:rPr>
        <w:t>DEPLOYMENT.md</w:t>
      </w:r>
      <w:r>
        <w:rPr>
          <w:rFonts w:eastAsia="Calibri" w:cs="Calibri"/>
          <w:i/>
          <w:iCs/>
        </w:rPr>
        <w:t xml:space="preserve"> belgesine bakınız.</w:t>
      </w:r>
    </w:p>
    <w:p>
      <w:pPr>
        <w:pStyle w:val="Heading1"/>
        <w:spacing w:before="360" w:after="160"/>
        <w:rPr/>
      </w:pPr>
      <w:r>
        <w:rPr>
          <w:b/>
          <w:bCs/>
          <w:color w:val="16263F"/>
        </w:rPr>
        <w:t xml:space="preserve">2. WEB Paneli Kullanımı </w:t>
      </w:r>
    </w:p>
    <w:p>
      <w:pPr>
        <w:pStyle w:val="Heading1"/>
        <w:spacing w:before="360" w:after="160"/>
        <w:rPr>
          <w:b/>
          <w:b/>
          <w:bCs/>
          <w:sz w:val="28"/>
          <w:szCs w:val="28"/>
          <w:u w:val="none"/>
        </w:rPr>
      </w:pPr>
      <w:r>
        <w:rPr>
          <w:b/>
          <w:bCs/>
          <w:color w:val="16263F"/>
          <w:sz w:val="28"/>
          <w:szCs w:val="28"/>
          <w:u w:val="none"/>
        </w:rPr>
        <w:t>Sürü Demo Konsolu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1. </w:t>
      </w:r>
      <w:r>
        <w:rPr>
          <w:rFonts w:eastAsia="Calibri" w:cs="Calibri"/>
        </w:rPr>
        <w:t xml:space="preserve">Tarayıcıda </w:t>
      </w:r>
      <w:r>
        <w:rPr>
          <w:rFonts w:eastAsia="Consolas" w:cs="Consolas" w:ascii="Consolas" w:hAnsi="Consolas"/>
          <w:sz w:val="20"/>
          <w:szCs w:val="20"/>
          <w:shd w:fill="EEF2F7" w:val="clear"/>
        </w:rPr>
        <w:t>http://127.0.0.1:8000</w:t>
      </w:r>
      <w:r>
        <w:rPr>
          <w:rFonts w:eastAsia="Calibri" w:cs="Calibri"/>
        </w:rPr>
        <w:t xml:space="preserve"> adresini açın.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2. </w:t>
      </w:r>
      <w:r>
        <w:rPr>
          <w:rFonts w:eastAsia="Calibri" w:cs="Calibri"/>
        </w:rPr>
        <w:t>Görev tipini seçin (Depo lojistiği / Tarım / Güvenlik devriyesi)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3. </w:t>
      </w:r>
      <w:r>
        <w:rPr>
          <w:rFonts w:eastAsia="Calibri" w:cs="Calibri"/>
          <w:b w:val="false"/>
          <w:bCs w:val="false"/>
        </w:rPr>
        <w:t>Alan büyüklüğünü girin.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4. </w:t>
      </w:r>
      <w:r>
        <w:rPr>
          <w:rFonts w:eastAsia="Calibri" w:cs="Calibri"/>
          <w:b w:val="false"/>
          <w:bCs w:val="false"/>
        </w:rPr>
        <w:t>Hedef filo durumunu girin (kaç UAV/UGV/AMR).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5. </w:t>
      </w:r>
      <w:r>
        <w:rPr>
          <w:rFonts w:eastAsia="Calibri" w:cs="Calibri"/>
          <w:b w:val="false"/>
          <w:bCs w:val="false"/>
        </w:rPr>
        <w:t>Alanda kaç engel olacağını ve engellerin yükseklik aralığını girin.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6. </w:t>
      </w:r>
      <w:r>
        <w:rPr>
          <w:rFonts w:eastAsia="Calibri" w:cs="Calibri"/>
        </w:rPr>
        <w:t>“Simülasyonu başlat” butonuna basın, ajanlar hedeflerine ilerlemeye başlar.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7. </w:t>
      </w:r>
      <w:r>
        <w:rPr>
          <w:rFonts w:eastAsia="Calibri" w:cs="Calibri"/>
          <w:b w:val="false"/>
          <w:bCs w:val="false"/>
        </w:rPr>
        <w:t>“Durdur” butonuna tıklayınca simülasyon durur.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8. </w:t>
      </w:r>
      <w:r>
        <w:rPr>
          <w:rFonts w:eastAsia="Calibri" w:cs="Calibri"/>
          <w:b w:val="false"/>
          <w:bCs w:val="false"/>
        </w:rPr>
        <w:t>“Devam et” butonuna tıklayınca simülasyon devam eder.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9. </w:t>
      </w:r>
      <w:r>
        <w:rPr>
          <w:rFonts w:eastAsia="Calibri" w:cs="Calibri"/>
          <w:b w:val="false"/>
          <w:bCs w:val="false"/>
        </w:rPr>
        <w:t>Simülasyon devam ederken veya dururken engellerin üstüne çift tıklayınca engellerin yeri değiştirilebilir.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10. </w:t>
      </w:r>
      <w:r>
        <w:rPr>
          <w:rFonts w:eastAsia="Calibri" w:cs="Calibri"/>
        </w:rPr>
        <w:t>“ROI Hesaplama →” düğmesine basınca yeni bir sekme açılacaktır.</w:t>
      </w:r>
    </w:p>
    <w:p>
      <w:pPr>
        <w:pStyle w:val="Heading1"/>
        <w:spacing w:before="360" w:after="160"/>
        <w:rPr>
          <w:b/>
          <w:b/>
          <w:bCs/>
          <w:sz w:val="24"/>
          <w:szCs w:val="24"/>
          <w:u w:val="none"/>
        </w:rPr>
      </w:pPr>
      <w:r>
        <w:rPr>
          <w:rFonts w:eastAsia="Calibri" w:cs="Calibri" w:ascii="Calibri" w:hAnsi="Calibri"/>
          <w:b/>
          <w:bCs/>
          <w:color w:val="16263F"/>
          <w:sz w:val="24"/>
          <w:szCs w:val="24"/>
          <w:u w:val="none"/>
        </w:rPr>
        <w:t>ROI Hesaplama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3. </w:t>
      </w:r>
      <w:r>
        <w:rPr>
          <w:rFonts w:eastAsia="Calibri" w:cs="Calibri"/>
          <w:b w:val="false"/>
          <w:bCs w:val="false"/>
        </w:rPr>
        <w:t>Mevcut operasyon maliyetini girin (işçilik + yakıt + bakım / ay).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3. </w:t>
      </w:r>
      <w:r>
        <w:rPr>
          <w:rFonts w:eastAsia="Calibri" w:cs="Calibri"/>
          <w:b w:val="false"/>
          <w:bCs w:val="false"/>
        </w:rPr>
        <w:t>Tusmec lisans ücretini girin.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>3.</w:t>
      </w:r>
      <w:r>
        <w:rPr>
          <w:rFonts w:eastAsia="Calibri" w:cs="Calibri"/>
          <w:b w:val="false"/>
          <w:bCs w:val="false"/>
        </w:rPr>
        <w:t xml:space="preserve"> Her bir ajan için aylık işletme maliyetini girin (yakıt + bakım / ay).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3. </w:t>
      </w:r>
      <w:r>
        <w:rPr>
          <w:rFonts w:eastAsia="Calibri" w:cs="Calibri"/>
          <w:b w:val="false"/>
          <w:bCs w:val="false"/>
        </w:rPr>
        <w:t>Kurulum ücretini girin.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>3.</w:t>
      </w:r>
      <w:r>
        <w:rPr>
          <w:rFonts w:eastAsia="Calibri" w:cs="Calibri"/>
          <w:b w:val="false"/>
          <w:bCs w:val="false"/>
        </w:rPr>
        <w:t xml:space="preserve"> USD kurunu girin.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3. </w:t>
      </w:r>
      <w:r>
        <w:rPr>
          <w:rFonts w:eastAsia="Calibri" w:cs="Calibri"/>
          <w:b w:val="false"/>
          <w:bCs w:val="false"/>
        </w:rPr>
        <w:t>“ROI hesapla” butonuna tıklayınca karşınıza bir grafik çıkacaktır.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</w:rPr>
        <w:t xml:space="preserve">3. </w:t>
      </w:r>
      <w:r>
        <w:rPr>
          <w:rFonts w:eastAsia="Calibri" w:cs="Calibri"/>
          <w:b w:val="false"/>
          <w:bCs w:val="false"/>
        </w:rPr>
        <w:t>“ROI raporunu PDF indir” butonuna tıklayınca rapor pdf olarak indirebilirsiniz.</w:t>
      </w:r>
    </w:p>
    <w:p>
      <w:pPr>
        <w:pStyle w:val="Heading1"/>
        <w:spacing w:before="360" w:after="160"/>
        <w:rPr/>
      </w:pPr>
      <w:r>
        <w:rPr>
          <w:b/>
          <w:bCs/>
          <w:color w:val="16263F"/>
        </w:rPr>
        <w:t>3. Simülasyon Konsolu</w:t>
      </w:r>
    </w:p>
    <w:p>
      <w:pPr>
        <w:pStyle w:val="Heading2"/>
        <w:spacing w:before="280" w:after="120"/>
        <w:rPr/>
      </w:pPr>
      <w:r>
        <w:rPr>
          <w:b/>
          <w:bCs/>
          <w:color w:val="0E8D92"/>
        </w:rPr>
        <w:t>3.1 Görev Parametreleri</w:t>
      </w:r>
    </w:p>
    <w:tbl>
      <w:tblPr>
        <w:tblW w:w="94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600"/>
        <w:gridCol w:w="2198"/>
        <w:gridCol w:w="4602"/>
      </w:tblGrid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6263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Alan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6263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Örnek değer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6263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Açıklama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Görev tipi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Depo lojistiği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Depo lojistiği, tarım veya güvenlik devriyesi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Alan büyüklüğü (m²)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8.000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Simülasyon dünyası bu alana eşit kare olarak kurulur (8.000 m² ≈ 89×89 m).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Hedef filo (UAV/UGV/AMR)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0 / 1 / 6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Sürüde her tipten kaç araç olacağı. UAV'ler 20 m seyir irtifasında uçar.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Engel adedi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5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Alana rastgele yerleştirilecek silindirik engel sayısı.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Engel yükseklik min–maks (m)</w:t>
            </w:r>
          </w:p>
        </w:tc>
        <w:tc>
          <w:tcPr>
            <w:tcW w:w="2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8 – 25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Her engelin yüksekliği bu aralıktan rastgele seçilir. 20 m'den alçak engellerin üzerinden UAV'ler aşabilir.</w:t>
            </w:r>
          </w:p>
        </w:tc>
      </w:tr>
    </w:tbl>
    <w:p>
      <w:pPr>
        <w:pStyle w:val="Heading2"/>
        <w:spacing w:before="280" w:after="120"/>
        <w:rPr/>
      </w:pPr>
      <w:r>
        <w:rPr>
          <w:b/>
          <w:bCs/>
          <w:color w:val="0E8D92"/>
        </w:rPr>
        <w:t>3.2 Simülasyonu Çalıştırma</w:t>
      </w:r>
    </w:p>
    <w:p>
      <w:pPr>
        <w:pStyle w:val="ListParagraph"/>
        <w:numPr>
          <w:ilvl w:val="0"/>
          <w:numId w:val="6"/>
        </w:numPr>
        <w:spacing w:before="0" w:after="80"/>
        <w:rPr/>
      </w:pPr>
      <w:r>
        <w:rPr>
          <w:rFonts w:eastAsia="Calibri" w:cs="Calibri"/>
          <w:b/>
          <w:bCs/>
        </w:rPr>
        <w:t xml:space="preserve">Simülasyonu başlat: </w:t>
      </w:r>
      <w:r>
        <w:rPr>
          <w:rFonts w:eastAsia="Calibri" w:cs="Calibri"/>
        </w:rPr>
        <w:t>her basışta yeni ve rastgele bir yerleşim üretilir (farklı engel konumları). Motor rozeti “real” göstermelidir.</w:t>
      </w:r>
    </w:p>
    <w:p>
      <w:pPr>
        <w:pStyle w:val="ListParagraph"/>
        <w:numPr>
          <w:ilvl w:val="0"/>
          <w:numId w:val="7"/>
        </w:numPr>
        <w:spacing w:before="0" w:after="80"/>
        <w:rPr/>
      </w:pPr>
      <w:r>
        <w:rPr>
          <w:rFonts w:eastAsia="Calibri" w:cs="Calibri"/>
          <w:b/>
          <w:bCs/>
        </w:rPr>
        <w:t xml:space="preserve">Durdur: </w:t>
      </w:r>
      <w:r>
        <w:rPr>
          <w:rFonts w:eastAsia="Calibri" w:cs="Calibri"/>
        </w:rPr>
        <w:t>oturumu sonlandırır; son kare ekranda kalır.</w:t>
      </w:r>
    </w:p>
    <w:p>
      <w:pPr>
        <w:pStyle w:val="ListParagraph"/>
        <w:numPr>
          <w:ilvl w:val="0"/>
          <w:numId w:val="8"/>
        </w:numPr>
        <w:spacing w:before="0" w:after="80"/>
        <w:rPr/>
      </w:pPr>
      <w:r>
        <w:rPr>
          <w:rFonts w:eastAsia="Calibri" w:cs="Calibri"/>
        </w:rPr>
        <w:t>Ajanlar emoji ile gösterilir (🚁 UAV, 🚙 UGV, 🤖 AMR); arkalarında hareket izi, hedeflerinde renkli bir X işareti bulunur.</w:t>
      </w:r>
    </w:p>
    <w:p>
      <w:pPr>
        <w:pStyle w:val="ListParagraph"/>
        <w:numPr>
          <w:ilvl w:val="0"/>
          <w:numId w:val="9"/>
        </w:numPr>
        <w:spacing w:before="0" w:after="80"/>
        <w:rPr/>
      </w:pPr>
      <w:r>
        <w:rPr>
          <w:rFonts w:eastAsia="Calibri" w:cs="Calibri"/>
        </w:rPr>
        <w:t>UAV'lerin yanındaki “+20m” etiketi uçuş irtifasını gösterir; engellerin üzerinde yükseklik (h) ve çap (w) yazar.</w:t>
      </w:r>
    </w:p>
    <w:p>
      <w:pPr>
        <w:pStyle w:val="Heading2"/>
        <w:spacing w:before="280" w:after="120"/>
        <w:rPr/>
      </w:pPr>
      <w:r>
        <w:rPr>
          <w:b/>
          <w:bCs/>
          <w:color w:val="0E8D92"/>
        </w:rPr>
        <w:t>3.3 Engelleri Taşıma (Sürükle-Bırak)</w:t>
      </w:r>
    </w:p>
    <w:p>
      <w:pPr>
        <w:pStyle w:val="Normal"/>
        <w:spacing w:before="0" w:after="120"/>
        <w:rPr/>
      </w:pPr>
      <w:r>
        <w:rPr>
          <w:rFonts w:eastAsia="Calibri" w:cs="Calibri"/>
        </w:rPr>
        <w:t xml:space="preserve">Herhangi bir engele fare ile (mobilde parmakla) basılı tutup sürükleyin; engel canlı simülasyonda taşınır ve ajanlar bir sonraki adımda yeni konumdan kaçınmaya başlar. </w:t>
      </w:r>
    </w:p>
    <w:p>
      <w:pPr>
        <w:pStyle w:val="Heading2"/>
        <w:spacing w:before="280" w:after="120"/>
        <w:rPr/>
      </w:pPr>
      <w:r>
        <w:rPr>
          <w:b/>
          <w:bCs/>
          <w:color w:val="0E8D92"/>
        </w:rPr>
        <w:t>3.4 Karanlık / Aydınlık Tema</w:t>
      </w:r>
    </w:p>
    <w:p>
      <w:pPr>
        <w:pStyle w:val="Normal"/>
        <w:spacing w:before="0" w:after="120"/>
        <w:rPr/>
      </w:pPr>
      <w:r>
        <w:rPr>
          <w:rFonts w:eastAsia="Calibri" w:cs="Calibri"/>
        </w:rPr>
        <w:t>Sağ üstteki düğme temayı değiştirir. Tercih tarayıcıda saklanır ve her iki sayfada da geçerlidir.</w:t>
      </w:r>
    </w:p>
    <w:p>
      <w:pPr>
        <w:pStyle w:val="Heading1"/>
        <w:spacing w:before="360" w:after="160"/>
        <w:rPr/>
      </w:pPr>
      <w:r>
        <w:rPr>
          <w:b/>
          <w:bCs/>
          <w:color w:val="16263F"/>
        </w:rPr>
        <w:t>4. ROI Hesaplama Sayfası</w:t>
      </w:r>
    </w:p>
    <w:p>
      <w:pPr>
        <w:pStyle w:val="Heading2"/>
        <w:spacing w:before="280" w:after="120"/>
        <w:rPr/>
      </w:pPr>
      <w:r>
        <w:rPr>
          <w:b/>
          <w:bCs/>
          <w:color w:val="0E8D92"/>
        </w:rPr>
        <w:t>4.1 Girdiler</w:t>
      </w:r>
    </w:p>
    <w:p>
      <w:pPr>
        <w:pStyle w:val="Normal"/>
        <w:spacing w:before="0" w:after="120"/>
        <w:rPr/>
      </w:pPr>
      <w:r>
        <w:rPr>
          <w:rFonts w:eastAsia="Calibri" w:cs="Calibri"/>
        </w:rPr>
        <w:t>Simülasyon sayfasından geçildiyse görev tipi, alan ve filo otomatik taşınır. Alanların anlamı — iki farklı zaman senaryosuna dikkat:</w:t>
      </w:r>
    </w:p>
    <w:tbl>
      <w:tblPr>
        <w:tblW w:w="94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399"/>
        <w:gridCol w:w="6000"/>
      </w:tblGrid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6263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Girdi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6263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Açıklama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Görev tipi + Alan + Filo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Zorunlu girdi grubu; görev tipi maliyet varsayılanlarını segmente göre doldurur.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Mevcut operasyon maliyeti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BUGÜN, Tusmec olmadan ödenen aylık maliyet (işçilik + yakıt + bakım). “Tusmec'i almazsam her ay bunu ödemeye devam ederim.”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Tusmec lisans ücreti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Tusmec'e geçildikten sonra ödenecek aylık SaaS bedeli.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Filo işletme maliyeti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Tusmec'e geçildikten sonra robotların kendi aylık gideri (enerji + bakım). Her bir robot tipi içi ayrı ayrı girilir.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Kurulum (opsiyonel)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Bir defalık devreye alma bedeli; geri ödeme süresi bu tutarın amortismanıdır. 0 ise tasarruf ilk aydan başlar.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USD kuru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TL sonuçların USD karşılığını üretmek için.</w:t>
            </w:r>
          </w:p>
        </w:tc>
      </w:tr>
    </w:tbl>
    <w:p>
      <w:pPr>
        <w:pStyle w:val="Heading2"/>
        <w:spacing w:before="280" w:after="120"/>
        <w:rPr/>
      </w:pPr>
      <w:r>
        <w:rPr>
          <w:b/>
          <w:bCs/>
          <w:color w:val="0E8D92"/>
        </w:rPr>
        <w:t>4.2 Çıktılar ve Grafik</w:t>
      </w:r>
    </w:p>
    <w:p>
      <w:pPr>
        <w:pStyle w:val="ListParagraph"/>
        <w:numPr>
          <w:ilvl w:val="0"/>
          <w:numId w:val="10"/>
        </w:numPr>
        <w:spacing w:before="0" w:after="80"/>
        <w:rPr/>
      </w:pPr>
      <w:r>
        <w:rPr>
          <w:rFonts w:eastAsia="Calibri" w:cs="Calibri"/>
          <w:b/>
          <w:bCs/>
        </w:rPr>
        <w:t xml:space="preserve">Aylık / Yıllık tasarruf (TL ve USD): </w:t>
      </w:r>
      <w:r>
        <w:rPr>
          <w:rFonts w:eastAsia="Calibri" w:cs="Calibri"/>
        </w:rPr>
        <w:t>mevcut maliyet − (lisans + filo maliyeti). Negatifse kırmızı gösterilir — Tusmec konfigürasyonu bu girdilerle daha pahalı demektir.</w:t>
      </w:r>
    </w:p>
    <w:p>
      <w:pPr>
        <w:pStyle w:val="ListParagraph"/>
        <w:numPr>
          <w:ilvl w:val="0"/>
          <w:numId w:val="11"/>
        </w:numPr>
        <w:spacing w:before="0" w:after="80"/>
        <w:rPr/>
      </w:pPr>
      <w:r>
        <w:rPr>
          <w:rFonts w:eastAsia="Calibri" w:cs="Calibri"/>
          <w:b/>
          <w:bCs/>
        </w:rPr>
        <w:t xml:space="preserve">Geri ödeme süresi (ay): </w:t>
      </w:r>
      <w:r>
        <w:rPr>
          <w:rFonts w:eastAsia="Calibri" w:cs="Calibri"/>
        </w:rPr>
        <w:t>kurulum maliyeti ÷ aylık tasarruf.</w:t>
      </w:r>
    </w:p>
    <w:p>
      <w:pPr>
        <w:pStyle w:val="ListParagraph"/>
        <w:numPr>
          <w:ilvl w:val="0"/>
          <w:numId w:val="12"/>
        </w:numPr>
        <w:spacing w:before="0" w:after="80"/>
        <w:rPr/>
      </w:pPr>
      <w:r>
        <w:rPr>
          <w:rFonts w:eastAsia="Calibri" w:cs="Calibri"/>
          <w:b/>
          <w:bCs/>
        </w:rPr>
        <w:t xml:space="preserve">5 yıllık toplam ROI (%): </w:t>
      </w:r>
      <w:r>
        <w:rPr>
          <w:rFonts w:eastAsia="Calibri" w:cs="Calibri"/>
        </w:rPr>
        <w:t>(</w:t>
      </w:r>
      <w:r>
        <w:rPr>
          <w:rFonts w:eastAsia="Calibri" w:cs="Calibri"/>
        </w:rPr>
        <w:t>5 yıllık</w:t>
      </w:r>
      <w:r>
        <w:rPr>
          <w:rFonts w:eastAsia="Calibri" w:cs="Calibri"/>
        </w:rPr>
        <w:t xml:space="preserve"> tasarruf − (kurulum + </w:t>
      </w:r>
      <w:r>
        <w:rPr>
          <w:rFonts w:eastAsia="Calibri" w:cs="Calibri"/>
        </w:rPr>
        <w:t xml:space="preserve">5 yıllık </w:t>
      </w:r>
      <w:r>
        <w:rPr>
          <w:rFonts w:eastAsia="Calibri" w:cs="Calibri"/>
        </w:rPr>
        <w:t xml:space="preserve">lisans)) ÷ (kurulum + </w:t>
      </w:r>
      <w:r>
        <w:rPr>
          <w:rFonts w:eastAsia="Calibri" w:cs="Calibri"/>
        </w:rPr>
        <w:t xml:space="preserve">5 yıllık </w:t>
      </w:r>
      <w:r>
        <w:rPr>
          <w:rFonts w:eastAsia="Calibri" w:cs="Calibri"/>
        </w:rPr>
        <w:t>lisans) × 100.</w:t>
      </w:r>
    </w:p>
    <w:p>
      <w:pPr>
        <w:pStyle w:val="ListParagraph"/>
        <w:numPr>
          <w:ilvl w:val="0"/>
          <w:numId w:val="13"/>
        </w:numPr>
        <w:spacing w:before="0" w:after="80"/>
        <w:rPr/>
      </w:pPr>
      <w:r>
        <w:rPr>
          <w:rFonts w:eastAsia="Calibri" w:cs="Calibri"/>
          <w:b/>
          <w:bCs/>
        </w:rPr>
        <w:t xml:space="preserve">Karşılaştırma grafiği: </w:t>
      </w:r>
      <w:r>
        <w:rPr>
          <w:rFonts w:eastAsia="Calibri" w:cs="Calibri"/>
        </w:rPr>
        <w:t>iki kümülatif maliyet eğrisi; gri çizgi mevcut durumu, turkuaz çizgi Tusmec'i gösterir. Eğrilerin kesiştiği ay, yatırımın başa baş noktasıdır.</w:t>
      </w:r>
    </w:p>
    <w:p>
      <w:pPr>
        <w:pStyle w:val="Heading2"/>
        <w:spacing w:before="280" w:after="120"/>
        <w:rPr/>
      </w:pPr>
      <w:r>
        <w:rPr>
          <w:b/>
          <w:bCs/>
          <w:color w:val="0E8D92"/>
        </w:rPr>
        <w:t>4.3 PDF Raporu İndirme</w:t>
      </w:r>
    </w:p>
    <w:p>
      <w:pPr>
        <w:pStyle w:val="Normal"/>
        <w:spacing w:before="0" w:after="120"/>
        <w:rPr/>
      </w:pPr>
      <w:r>
        <w:rPr>
          <w:rFonts w:eastAsia="Calibri" w:cs="Calibri"/>
        </w:rPr>
        <w:t>“</w:t>
      </w:r>
      <w:r>
        <w:rPr>
          <w:rFonts w:eastAsia="Calibri" w:cs="Calibri"/>
        </w:rPr>
        <w:t xml:space="preserve">ROI hesapla” sonrasında “ROI raporunu PDF indir” düğmesi aktifleşir. Üretilen </w:t>
      </w:r>
      <w:r>
        <w:rPr>
          <w:rFonts w:eastAsia="Consolas" w:cs="Consolas" w:ascii="Consolas" w:hAnsi="Consolas"/>
          <w:sz w:val="20"/>
          <w:szCs w:val="20"/>
          <w:shd w:fill="EEF2F7" w:val="clear"/>
        </w:rPr>
        <w:t>tusmec-roi-raporu.pdf</w:t>
      </w:r>
      <w:r>
        <w:rPr>
          <w:rFonts w:eastAsia="Calibri" w:cs="Calibri"/>
        </w:rPr>
        <w:t xml:space="preserve"> dosyası Tusmec başlıklı tek sayfalık bir rapordur: tüm girdiler, dört çıktı ve karşılaştırma grafiği. Toplantı sonrasında müşteriye e-posta ile gönderilmeye uygundur.</w:t>
      </w:r>
    </w:p>
    <w:p>
      <w:pPr>
        <w:pStyle w:val="Heading1"/>
        <w:spacing w:before="360" w:after="160"/>
        <w:rPr/>
      </w:pPr>
      <w:r>
        <w:rPr>
          <w:b/>
          <w:bCs/>
          <w:color w:val="16263F"/>
        </w:rPr>
        <w:t>5. Sık Sorulan Sorular ve Sorun Giderme</w:t>
      </w:r>
    </w:p>
    <w:tbl>
      <w:tblPr>
        <w:tblW w:w="94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800"/>
        <w:gridCol w:w="5599"/>
      </w:tblGrid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6263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Belirti</w:t>
            </w:r>
          </w:p>
        </w:tc>
        <w:tc>
          <w:tcPr>
            <w:tcW w:w="5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6263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Çözüm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Motor rozeti “mock” (turuncu)</w:t>
            </w:r>
          </w:p>
        </w:tc>
        <w:tc>
          <w:tcPr>
            <w:tcW w:w="5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simulation/src klasörü bulunamıyor; DEPLOYMENT.md §6'ya bakın. Demo mock motorla da çalışır ancak gerçek TusCore motoru “real” rozetiyle sunulmalıdır.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Tasarruf negatif çıkıyor</w:t>
            </w:r>
          </w:p>
        </w:tc>
        <w:tc>
          <w:tcPr>
            <w:tcW w:w="5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Girilen filo/lisans maliyetleri mevcut operasyon maliyetinden yüksek. Filo maliyeti otomatik türetildiyse araç başına saatlik maliyet varsayılanları yüksek olabilir; toplantıda bu alanı elle girin.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Grafik boş</w:t>
            </w:r>
          </w:p>
        </w:tc>
        <w:tc>
          <w:tcPr>
            <w:tcW w:w="5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Chart.js internetten yüklenir; bağlantıyı kontrol edin veya çevrimdışı kurulum için DEPLOYMENT.md §6'daki yerelleştirme adımını uygulayın.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Geri ödeme “ilk aydan itibaren”</w:t>
            </w:r>
          </w:p>
        </w:tc>
        <w:tc>
          <w:tcPr>
            <w:tcW w:w="5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Kurulum maliyeti 0 girilmiş; saf SaaS senaryosunda bu doğru davranıştır.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Ajanlar çok yavaş/hızlı</w:t>
            </w:r>
          </w:p>
        </w:tc>
        <w:tc>
          <w:tcPr>
            <w:tcW w:w="5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Alan büyüklüğü ile filo hızları orantılıdır; küçük demo alanlarında (≤10.000 m²) akış en dengelidir.</w:t>
            </w:r>
          </w:p>
        </w:tc>
      </w:tr>
    </w:tbl>
    <w:p>
      <w:pPr>
        <w:pStyle w:val="Heading1"/>
        <w:spacing w:before="360" w:after="160"/>
        <w:rPr/>
      </w:pPr>
      <w:r>
        <w:rPr>
          <w:b/>
          <w:bCs/>
          <w:color w:val="16263F"/>
        </w:rPr>
        <w:t>6. Ek: API Referansı (Teknik)</w:t>
      </w:r>
    </w:p>
    <w:p>
      <w:pPr>
        <w:pStyle w:val="Normal"/>
        <w:spacing w:before="0" w:after="120"/>
        <w:rPr/>
      </w:pPr>
      <w:r>
        <w:rPr>
          <w:rFonts w:eastAsia="Calibri" w:cs="Calibri"/>
        </w:rPr>
        <w:t>Entegrasyon veya otomasyon ihtiyaçları için REST uç noktaları:</w:t>
      </w:r>
    </w:p>
    <w:tbl>
      <w:tblPr>
        <w:tblW w:w="94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399"/>
        <w:gridCol w:w="1399"/>
        <w:gridCol w:w="4602"/>
      </w:tblGrid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6263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Uç nokta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6263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Metot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6263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İşlev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/api/sim/start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POST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Görev tipi + parametrelerle oturum başlatır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/api/sim/state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GET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Ajan konumları, engeller, istatistikler (JSON, 20 Hz üretim)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/api/sim/obstacle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POST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{index, x, y} — engeli canlı taşır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/api/sim/stop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POST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Oturumu durdurur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/api/scenarios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GET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Görev tipi varsayılanları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/api/roi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POST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ROI hesaplar (girdiler bölüm 4.1)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/api/roi/pdf</w:t>
            </w:r>
          </w:p>
        </w:tc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POST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6F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/>
                <w:b w:val="false"/>
                <w:bCs w:val="false"/>
                <w:color w:val="16263F"/>
                <w:sz w:val="20"/>
                <w:szCs w:val="20"/>
              </w:rPr>
              <w:t>PDF raporu üretir ve indirir</w:t>
            </w:r>
          </w:p>
        </w:tc>
      </w:tr>
    </w:tbl>
    <w:p>
      <w:pPr>
        <w:pStyle w:val="Normal"/>
        <w:spacing w:before="400" w:after="0"/>
        <w:jc w:val="center"/>
        <w:rPr>
          <w:rFonts w:ascii="Calibri" w:hAnsi="Calibri" w:eastAsia="Calibri" w:cs="Calibri"/>
          <w:i/>
          <w:i/>
          <w:iCs/>
          <w:color w:val="5A6B84"/>
        </w:rPr>
      </w:pPr>
      <w:r>
        <w:rPr/>
      </w:r>
    </w:p>
    <w:sectPr>
      <w:footerReference w:type="default" r:id="rId2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color w:val="5A6B84"/>
        <w:sz w:val="18"/>
        <w:szCs w:val="18"/>
      </w:rPr>
      <w:t xml:space="preserve">Tusmec Sürü Demo Platformu — Kullanım Kılavuzu · Sayfa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720" w:hanging="20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720" w:hanging="20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LibreOffice/7.3.7.2$Linux_X86_64 LibreOffice_project/30$Build-2</Application>
  <AppVersion>15.0000</AppVersion>
  <Pages>6</Pages>
  <Words>914</Words>
  <Characters>5902</Characters>
  <CharactersWithSpaces>6677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2026-07-18T10:58:14Z</dcterms:created>
  <dc:creator>Un-named</dc:creator>
  <dc:description/>
  <dc:language>en-US</dc:language>
  <cp:lastModifiedBy/>
  <dcterms:modified xsi:type="dcterms:W3CDTF">2026-07-19T15:50:11Z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