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6263F"/>
          <w:sz w:val="72"/>
          <w:szCs w:val="72"/>
        </w:rPr>
        <w:t xml:space="preserve">TUSMEC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0E8D92"/>
          <w:sz w:val="32"/>
          <w:szCs w:val="32"/>
        </w:rPr>
        <w:t xml:space="preserve">Heterojen Sürü Simülasyon ve ROI Demo Platformu</w:t>
      </w:r>
    </w:p>
    <w:p>
      <w:pPr>
        <w:spacing w:after="2400"/>
        <w:jc w:val="center"/>
      </w:pPr>
      <w:r>
        <w:rPr>
          <w:rFonts w:ascii="Calibri" w:cs="Calibri" w:eastAsia="Calibri" w:hAnsi="Calibri"/>
          <w:b/>
          <w:bCs/>
          <w:color w:val="16263F"/>
          <w:sz w:val="44"/>
          <w:szCs w:val="44"/>
        </w:rPr>
        <w:t xml:space="preserve">KULLANIM KILAVUZU</w:t>
      </w:r>
    </w:p>
    <w:p>
      <w:pPr>
        <w:jc w:val="center"/>
      </w:pPr>
      <w:r>
        <w:rPr>
          <w:rFonts w:ascii="Calibri" w:cs="Calibri" w:eastAsia="Calibri" w:hAnsi="Calibri"/>
          <w:color w:val="5A6B84"/>
          <w:sz w:val="22"/>
          <w:szCs w:val="22"/>
        </w:rPr>
        <w:t xml:space="preserve">Hazırlayan: Ayşe Feyza Serbest — Stajyer</w:t>
      </w:r>
    </w:p>
    <w:p>
      <w:pPr>
        <w:jc w:val="center"/>
      </w:pPr>
      <w:r>
        <w:rPr>
          <w:rFonts w:ascii="Calibri" w:cs="Calibri" w:eastAsia="Calibri" w:hAnsi="Calibri"/>
          <w:color w:val="5A6B84"/>
          <w:sz w:val="22"/>
          <w:szCs w:val="22"/>
        </w:rPr>
        <w:t xml:space="preserve">Tusmec Karma Robot Teknolojileri A.Ş. · Hafta 4 Teslimatı · Temmuz 2026</w:t>
      </w:r>
    </w:p>
    <w:p>
      <w:r>
        <w:br w:type="page"/>
      </w:r>
    </w:p>
    <w:p>
      <w:pPr>
        <w:pStyle w:val="Heading1"/>
      </w:pPr>
      <w:r>
        <w:rPr>
          <w:b/>
          <w:bCs/>
          <w:color w:val="16263F"/>
        </w:rPr>
        <w:t xml:space="preserve">İçindekiler</w:t>
      </w:r>
    </w:p>
    <w:sdt>
      <w:sdtPr>
        <w:alias w:val="İçindekiler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b/>
          <w:bCs/>
          <w:color w:val="16263F"/>
        </w:rPr>
        <w:t xml:space="preserve">1. Giriş</w:t>
      </w:r>
    </w:p>
    <w:p>
      <w:pPr>
        <w:spacing w:after="120"/>
      </w:pPr>
      <w:r>
        <w:rPr>
          <w:rFonts w:ascii="Calibri" w:cs="Calibri" w:eastAsia="Calibri" w:hAnsi="Calibri"/>
        </w:rPr>
        <w:t xml:space="preserve">Bu kılavuz, Tusmec heterojen sürü simülasyon ve ROI demo platformunun son kullanıcı (satış ekibi, demo sunucusu) tarafından nasıl kullanılacağını anlatır. Platform iki sayfadan oluşur: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Simülasyon Konsolu (/): </w:t>
      </w:r>
      <w:r>
        <w:rPr>
          <w:rFonts w:ascii="Calibri" w:cs="Calibri" w:eastAsia="Calibri" w:hAnsi="Calibri"/>
        </w:rPr>
        <w:t xml:space="preserve">müşteri parametreleriyle heterojen sürüyü (UAV, UGV, AMR) tarayıcıda gerçek zamanlı çalıştırır.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ROI Hesaplama (/roi): </w:t>
      </w:r>
      <w:r>
        <w:rPr>
          <w:rFonts w:ascii="Calibri" w:cs="Calibri" w:eastAsia="Calibri" w:hAnsi="Calibri"/>
        </w:rPr>
        <w:t xml:space="preserve">Tusmec çözümünün müşteriye sağlayacağı tasarrufu hesaplar, grafikle karşılaştırır ve PDF rapor üretir.</w:t>
      </w:r>
    </w:p>
    <w:p>
      <w:pPr>
        <w:spacing w:after="120"/>
      </w:pPr>
      <w:r>
        <w:rPr>
          <w:rFonts w:ascii="Calibri" w:cs="Calibri" w:eastAsia="Calibri" w:hAnsi="Calibri"/>
        </w:rPr>
        <w:t xml:space="preserve">Platformun amacı satış toplantılarında canlı demo yapmaktır: müşteri kendi sahasının parametrelerini verir, sürüyü ekranda izler ve yatırım getirisini sayılarla görür.</w:t>
      </w:r>
    </w:p>
    <w:p>
      <w:pPr>
        <w:spacing w:after="120"/>
      </w:pPr>
      <w:r>
        <w:rPr>
          <w:rFonts w:ascii="Calibri" w:cs="Calibri" w:eastAsia="Calibri" w:hAnsi="Calibri"/>
          <w:i/>
          <w:iCs/>
        </w:rPr>
        <w:t xml:space="preserve">Kurulum bu kılavuzun kapsamı dışındadır; geliştirici kurulumu için proje kökündeki </w:t>
      </w:r>
      <w:r>
        <w:rPr>
          <w:rFonts w:ascii="Consolas" w:cs="Consolas" w:eastAsia="Consolas" w:hAnsi="Consolas"/>
          <w:sz w:val="20"/>
          <w:szCs w:val="20"/>
          <w:shd w:fill="EEF2F7" w:val="clear"/>
        </w:rPr>
        <w:t xml:space="preserve">DEPLOYMENT.md</w:t>
      </w:r>
      <w:r>
        <w:rPr>
          <w:rFonts w:ascii="Calibri" w:cs="Calibri" w:eastAsia="Calibri" w:hAnsi="Calibri"/>
          <w:i/>
          <w:iCs/>
        </w:rPr>
        <w:t xml:space="preserve"> belgesine bakınız.</w:t>
      </w:r>
    </w:p>
    <w:p>
      <w:pPr>
        <w:pStyle w:val="Heading1"/>
        <w:spacing w:after="160" w:before="360"/>
      </w:pPr>
      <w:r>
        <w:rPr>
          <w:b/>
          <w:bCs/>
          <w:color w:val="16263F"/>
        </w:rPr>
        <w:t xml:space="preserve">2. Hızlı Başlangıç (60 saniye)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1. </w:t>
      </w:r>
      <w:r>
        <w:rPr>
          <w:rFonts w:ascii="Calibri" w:cs="Calibri" w:eastAsia="Calibri" w:hAnsi="Calibri"/>
        </w:rPr>
        <w:t xml:space="preserve">Tarayıcıda </w:t>
      </w:r>
      <w:r>
        <w:rPr>
          <w:rFonts w:ascii="Consolas" w:cs="Consolas" w:eastAsia="Consolas" w:hAnsi="Consolas"/>
          <w:sz w:val="20"/>
          <w:szCs w:val="20"/>
          <w:shd w:fill="EEF2F7" w:val="clear"/>
        </w:rPr>
        <w:t xml:space="preserve">http://127.0.0.1:8000</w:t>
      </w:r>
      <w:r>
        <w:rPr>
          <w:rFonts w:ascii="Calibri" w:cs="Calibri" w:eastAsia="Calibri" w:hAnsi="Calibri"/>
        </w:rPr>
        <w:t xml:space="preserve"> adresini açın.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2. </w:t>
      </w:r>
      <w:r>
        <w:rPr>
          <w:rFonts w:ascii="Calibri" w:cs="Calibri" w:eastAsia="Calibri" w:hAnsi="Calibri"/>
        </w:rPr>
        <w:t xml:space="preserve">Görev tipini seçin (Depo lojistiği / Tarım / Güvenlik devriyesi) — alan ve filo değerleri otomatik dolar.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3. </w:t>
      </w:r>
      <w:r>
        <w:rPr>
          <w:rFonts w:ascii="Calibri" w:cs="Calibri" w:eastAsia="Calibri" w:hAnsi="Calibri"/>
        </w:rPr>
        <w:t xml:space="preserve">“Simülasyonu başlat” düğmesine basın; ajanlar hedeflerine ilerlemeye başlar.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4. </w:t>
      </w:r>
      <w:r>
        <w:rPr>
          <w:rFonts w:ascii="Calibri" w:cs="Calibri" w:eastAsia="Calibri" w:hAnsi="Calibri"/>
        </w:rPr>
        <w:t xml:space="preserve">“ROI Hesaplama →” düğmesine basın; yeni sekmede açılan sayfada “ROI hesapla” deyin.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5. </w:t>
      </w:r>
      <w:r>
        <w:rPr>
          <w:rFonts w:ascii="Calibri" w:cs="Calibri" w:eastAsia="Calibri" w:hAnsi="Calibri"/>
        </w:rPr>
        <w:t xml:space="preserve">“ROI raporunu PDF indir” ile raporu müşteriyle paylaşın.</w:t>
      </w:r>
    </w:p>
    <w:p>
      <w:pPr>
        <w:pStyle w:val="Heading1"/>
        <w:spacing w:after="160" w:before="360"/>
      </w:pPr>
      <w:r>
        <w:rPr>
          <w:b/>
          <w:bCs/>
          <w:color w:val="16263F"/>
        </w:rPr>
        <w:t xml:space="preserve">3. Simülasyon Konsolu</w:t>
      </w:r>
    </w:p>
    <w:p>
      <w:pPr>
        <w:pStyle w:val="Heading2"/>
        <w:spacing w:after="120" w:before="280"/>
      </w:pPr>
      <w:r>
        <w:rPr>
          <w:b/>
          <w:bCs/>
          <w:color w:val="0E8D92"/>
        </w:rPr>
        <w:t xml:space="preserve">3.1 Görev Parametreleri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600"/>
      </w:tblGrid>
      <w:tr>
        <w:tc>
          <w:tcPr>
            <w:tcW w:type="dxa" w:w="2600"/>
            <w:shd w:fill="16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2200"/>
            <w:shd w:fill="16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Örnek değer</w:t>
            </w:r>
          </w:p>
        </w:tc>
        <w:tc>
          <w:tcPr>
            <w:tcW w:type="dxa" w:w="4600"/>
            <w:shd w:fill="16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63F"/>
                <w:sz w:val="20"/>
                <w:szCs w:val="20"/>
              </w:rPr>
              <w:t xml:space="preserve">Görev tipi</w:t>
            </w:r>
          </w:p>
        </w:tc>
        <w:tc>
          <w:tcPr>
            <w:tcW w:type="dxa" w:w="2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63F"/>
                <w:sz w:val="20"/>
                <w:szCs w:val="20"/>
              </w:rPr>
              <w:t xml:space="preserve">Depo lojistiği</w:t>
            </w:r>
          </w:p>
        </w:tc>
        <w:tc>
          <w:tcPr>
            <w:tcW w:type="dxa" w:w="4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63F"/>
                <w:sz w:val="20"/>
                <w:szCs w:val="20"/>
              </w:rPr>
              <w:t xml:space="preserve">Seçim; alan, filo ve ROI varsayılanlarını müşteri segmentine göre doldurur. Değerler üzerine yazılabilir.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63F"/>
                <w:sz w:val="20"/>
                <w:szCs w:val="20"/>
              </w:rPr>
              <w:t xml:space="preserve">Alan büyüklüğü (m²)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63F"/>
                <w:sz w:val="20"/>
                <w:szCs w:val="20"/>
              </w:rPr>
              <w:t xml:space="preserve">8.000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63F"/>
                <w:sz w:val="20"/>
                <w:szCs w:val="20"/>
              </w:rPr>
              <w:t xml:space="preserve">Simülasyon dünyası bu alana eşit kare olarak kurulur (8.000 m² ≈ 89×89 m).</w:t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63F"/>
                <w:sz w:val="20"/>
                <w:szCs w:val="20"/>
              </w:rPr>
              <w:t xml:space="preserve">Hedef filo (UAV/UGV/AMR)</w:t>
            </w:r>
          </w:p>
        </w:tc>
        <w:tc>
          <w:tcPr>
            <w:tcW w:type="dxa" w:w="2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63F"/>
                <w:sz w:val="20"/>
                <w:szCs w:val="20"/>
              </w:rPr>
              <w:t xml:space="preserve">0 / 1 / 6</w:t>
            </w:r>
          </w:p>
        </w:tc>
        <w:tc>
          <w:tcPr>
            <w:tcW w:type="dxa" w:w="4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63F"/>
                <w:sz w:val="20"/>
                <w:szCs w:val="20"/>
              </w:rPr>
              <w:t xml:space="preserve">Sürüde her tipten kaç araç olacağı. UAV'ler 20 m seyir irtifasında uçar.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63F"/>
                <w:sz w:val="20"/>
                <w:szCs w:val="20"/>
              </w:rPr>
              <w:t xml:space="preserve">Engel adedi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63F"/>
                <w:sz w:val="20"/>
                <w:szCs w:val="20"/>
              </w:rPr>
              <w:t xml:space="preserve">5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63F"/>
                <w:sz w:val="20"/>
                <w:szCs w:val="20"/>
              </w:rPr>
              <w:t xml:space="preserve">Alana rastgele yerleştirilecek silindirik engel sayısı.</w:t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63F"/>
                <w:sz w:val="20"/>
                <w:szCs w:val="20"/>
              </w:rPr>
              <w:t xml:space="preserve">Engel yükseklik min–maks (m)</w:t>
            </w:r>
          </w:p>
        </w:tc>
        <w:tc>
          <w:tcPr>
            <w:tcW w:type="dxa" w:w="2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63F"/>
                <w:sz w:val="20"/>
                <w:szCs w:val="20"/>
              </w:rPr>
              <w:t xml:space="preserve">8 – 25</w:t>
            </w:r>
          </w:p>
        </w:tc>
        <w:tc>
          <w:tcPr>
            <w:tcW w:type="dxa" w:w="4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63F"/>
                <w:sz w:val="20"/>
                <w:szCs w:val="20"/>
              </w:rPr>
              <w:t xml:space="preserve">Her engelin yüksekliği bu aralıktan rastgele seçilir. 20 m'den alçak engellerin üzerinden UAV'ler aşabilir.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0E8D92"/>
        </w:rPr>
        <w:t xml:space="preserve">3.2 Simülasyonu Çalıştırma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Simülasyonu başlat: </w:t>
      </w:r>
      <w:r>
        <w:rPr>
          <w:rFonts w:ascii="Calibri" w:cs="Calibri" w:eastAsia="Calibri" w:hAnsi="Calibri"/>
        </w:rPr>
        <w:t xml:space="preserve">her basışta yeni ve rastgele bir yerleşim üretilir (farklı engel konumları). Motor rozeti “real” göstermelidir.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Durdur: </w:t>
      </w:r>
      <w:r>
        <w:rPr>
          <w:rFonts w:ascii="Calibri" w:cs="Calibri" w:eastAsia="Calibri" w:hAnsi="Calibri"/>
        </w:rPr>
        <w:t xml:space="preserve">oturumu sonlandırır; son kare ekranda kalır.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Ajanlar emoji ile gösterilir (🚁 UAV, 🚙 UGV, 🤖 AMR); arkalarında hareket izi, hedeflerinde renkli bir X işareti bulunur.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UAV'lerin yanındaki “+20m” etiketi uçuş irtifasını gösterir; engellerin üzerinde yükseklik (h) ve çap (w) yazar.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Canvas altındaki durum çubuğu simülasyon süresini, hedefe ulaşan ajan sayısını, kat edilen toplam mesafeyi ve biriken işletme maliyetini ($) canlı gösterir.</w:t>
      </w:r>
    </w:p>
    <w:p>
      <w:pPr>
        <w:pStyle w:val="Heading2"/>
        <w:spacing w:after="120" w:before="280"/>
      </w:pPr>
      <w:r>
        <w:rPr>
          <w:b/>
          <w:bCs/>
          <w:color w:val="0E8D92"/>
        </w:rPr>
        <w:t xml:space="preserve">3.3 Engelleri Taşıma (Sürükle-Bırak)</w:t>
      </w:r>
    </w:p>
    <w:p>
      <w:pPr>
        <w:spacing w:after="120"/>
      </w:pPr>
      <w:r>
        <w:rPr>
          <w:rFonts w:ascii="Calibri" w:cs="Calibri" w:eastAsia="Calibri" w:hAnsi="Calibri"/>
        </w:rPr>
        <w:t xml:space="preserve">Herhangi bir engele fare ile (mobilde parmakla) basılı tutup sürükleyin; engel canlı simülasyonda taşınır ve ajanlar bir sonraki adımda yeni konumdan kaçınmaya başlar. Demo sırasında en etkileyici an için: bir engeli sürünün rotasının ortasına çekin ve PAPF algoritmasının araçları erkenden yeni rotaya sokuşunu gösterin.</w:t>
      </w:r>
    </w:p>
    <w:p>
      <w:pPr>
        <w:pStyle w:val="Heading2"/>
        <w:spacing w:after="120" w:before="280"/>
      </w:pPr>
      <w:r>
        <w:rPr>
          <w:b/>
          <w:bCs/>
          <w:color w:val="0E8D92"/>
        </w:rPr>
        <w:t xml:space="preserve">3.4 Karanlık / Aydınlık Tema</w:t>
      </w:r>
    </w:p>
    <w:p>
      <w:pPr>
        <w:spacing w:after="120"/>
      </w:pPr>
      <w:r>
        <w:rPr>
          <w:rFonts w:ascii="Calibri" w:cs="Calibri" w:eastAsia="Calibri" w:hAnsi="Calibri"/>
        </w:rPr>
        <w:t xml:space="preserve">Sağ üstteki düğme temayı değiştirir. Tercih tarayıcıda saklanır ve her iki sayfada da geçerlidir. Projeksiyon cihazlarında aydınlık tema genellikle daha okunaklıdır.</w:t>
      </w:r>
    </w:p>
    <w:p>
      <w:pPr>
        <w:pStyle w:val="Heading1"/>
        <w:spacing w:after="160" w:before="360"/>
      </w:pPr>
      <w:r>
        <w:rPr>
          <w:b/>
          <w:bCs/>
          <w:color w:val="16263F"/>
        </w:rPr>
        <w:t xml:space="preserve">4. ROI Hesaplama Sayfası</w:t>
      </w:r>
    </w:p>
    <w:p>
      <w:pPr>
        <w:pStyle w:val="Heading2"/>
        <w:spacing w:after="120" w:before="280"/>
      </w:pPr>
      <w:r>
        <w:rPr>
          <w:b/>
          <w:bCs/>
          <w:color w:val="0E8D92"/>
        </w:rPr>
        <w:t xml:space="preserve">4.1 Girdiler</w:t>
      </w:r>
    </w:p>
    <w:p>
      <w:pPr>
        <w:spacing w:after="120"/>
      </w:pPr>
      <w:r>
        <w:rPr>
          <w:rFonts w:ascii="Calibri" w:cs="Calibri" w:eastAsia="Calibri" w:hAnsi="Calibri"/>
        </w:rPr>
        <w:t xml:space="preserve">Simülasyon sayfasından geçildiyse görev tipi, alan ve filo otomatik taşınır. Alanların anlamı — iki farklı zaman senaryosuna dikkat: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00"/>
      </w:tblGrid>
      <w:tr>
        <w:tc>
          <w:tcPr>
            <w:tcW w:type="dxa" w:w="3400"/>
            <w:shd w:fill="16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Girdi</w:t>
            </w:r>
          </w:p>
        </w:tc>
        <w:tc>
          <w:tcPr>
            <w:tcW w:type="dxa" w:w="6000"/>
            <w:shd w:fill="16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34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63F"/>
                <w:sz w:val="20"/>
                <w:szCs w:val="20"/>
              </w:rPr>
              <w:t xml:space="preserve">Görev tipi + Alan + Filo</w:t>
            </w:r>
          </w:p>
        </w:tc>
        <w:tc>
          <w:tcPr>
            <w:tcW w:type="dxa" w:w="6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63F"/>
                <w:sz w:val="20"/>
                <w:szCs w:val="20"/>
              </w:rPr>
              <w:t xml:space="preserve">Zorunlu girdi grubu; görev tipi maliyet varsayılanlarını segmente göre doldurur.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63F"/>
                <w:sz w:val="20"/>
                <w:szCs w:val="20"/>
              </w:rPr>
              <w:t xml:space="preserve">Mevcut operasyon maliyeti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63F"/>
                <w:sz w:val="20"/>
                <w:szCs w:val="20"/>
              </w:rPr>
              <w:t xml:space="preserve">BUGÜN, Tusmec olmadan ödenen aylık maliyet (işçilik + yakıt + bakım). “Tusmec'i almazsam her ay bunu ödemeye devam ederim.”</w:t>
            </w:r>
          </w:p>
        </w:tc>
      </w:tr>
      <w:tr>
        <w:tc>
          <w:tcPr>
            <w:tcW w:type="dxa" w:w="34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63F"/>
                <w:sz w:val="20"/>
                <w:szCs w:val="20"/>
              </w:rPr>
              <w:t xml:space="preserve">Tusmec lisans ücreti</w:t>
            </w:r>
          </w:p>
        </w:tc>
        <w:tc>
          <w:tcPr>
            <w:tcW w:type="dxa" w:w="6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63F"/>
                <w:sz w:val="20"/>
                <w:szCs w:val="20"/>
              </w:rPr>
              <w:t xml:space="preserve">Tusmec'e geçildikten SONRA ödenecek aylık SaaS bedeli.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63F"/>
                <w:sz w:val="20"/>
                <w:szCs w:val="20"/>
              </w:rPr>
              <w:t xml:space="preserve">Filo işletme maliyeti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63F"/>
                <w:sz w:val="20"/>
                <w:szCs w:val="20"/>
              </w:rPr>
              <w:t xml:space="preserve">Tusmec'e geçildikten SONRA robotların kendi aylık gideri (enerji + bakım). Boş bırakılırsa filo adetleri ve araç başına saatlik maliyetten otomatik hesaplanır; sistem kaynağı ekranda belirtir.</w:t>
            </w:r>
          </w:p>
        </w:tc>
      </w:tr>
      <w:tr>
        <w:tc>
          <w:tcPr>
            <w:tcW w:type="dxa" w:w="34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63F"/>
                <w:sz w:val="20"/>
                <w:szCs w:val="20"/>
              </w:rPr>
              <w:t xml:space="preserve">Kurulum (opsiyonel)</w:t>
            </w:r>
          </w:p>
        </w:tc>
        <w:tc>
          <w:tcPr>
            <w:tcW w:type="dxa" w:w="6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63F"/>
                <w:sz w:val="20"/>
                <w:szCs w:val="20"/>
              </w:rPr>
              <w:t xml:space="preserve">Bir defalık devreye alma bedeli; geri ödeme süresi bu tutarın amortismanıdır. 0 ise tasarruf ilk aydan başlar.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63F"/>
                <w:sz w:val="20"/>
                <w:szCs w:val="20"/>
              </w:rPr>
              <w:t xml:space="preserve">USD kuru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63F"/>
                <w:sz w:val="20"/>
                <w:szCs w:val="20"/>
              </w:rPr>
              <w:t xml:space="preserve">TL sonuçların USD karşılığını üretmek için.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0E8D92"/>
        </w:rPr>
        <w:t xml:space="preserve">4.2 Çıktılar ve Grafik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Aylık / Yıllık tasarruf (TL ve USD): </w:t>
      </w:r>
      <w:r>
        <w:rPr>
          <w:rFonts w:ascii="Calibri" w:cs="Calibri" w:eastAsia="Calibri" w:hAnsi="Calibri"/>
        </w:rPr>
        <w:t xml:space="preserve">mevcut maliyet − (lisans + filo maliyeti). Negatifse kırmızı gösterilir — Tusmec konfigürasyonu bu girdilerle daha pahalı demektir.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Geri ödeme süresi (ay): </w:t>
      </w:r>
      <w:r>
        <w:rPr>
          <w:rFonts w:ascii="Calibri" w:cs="Calibri" w:eastAsia="Calibri" w:hAnsi="Calibri"/>
        </w:rPr>
        <w:t xml:space="preserve">kurulum maliyeti ÷ aylık tasarruf.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5 yıllık toplam ROI (%): </w:t>
      </w:r>
      <w:r>
        <w:rPr>
          <w:rFonts w:ascii="Calibri" w:cs="Calibri" w:eastAsia="Calibri" w:hAnsi="Calibri"/>
        </w:rPr>
        <w:t xml:space="preserve">(60 aylık tasarruf − kurulum) ÷ 60 aylık toplam Tusmec harcaması × 100.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Karşılaştırma grafiği: </w:t>
      </w:r>
      <w:r>
        <w:rPr>
          <w:rFonts w:ascii="Calibri" w:cs="Calibri" w:eastAsia="Calibri" w:hAnsi="Calibri"/>
        </w:rPr>
        <w:t xml:space="preserve">iki kümülatif maliyet eğrisi; gri çizgi mevcut durumu, turkuaz çizgi Tusmec'i gösterir. Eğrilerin kesiştiği ay, yatırımın başa baş noktasıdır — sunumda bu noktayı işaret edin.</w:t>
      </w:r>
    </w:p>
    <w:p>
      <w:pPr>
        <w:pStyle w:val="Heading2"/>
        <w:spacing w:after="120" w:before="280"/>
      </w:pPr>
      <w:r>
        <w:rPr>
          <w:b/>
          <w:bCs/>
          <w:color w:val="0E8D92"/>
        </w:rPr>
        <w:t xml:space="preserve">4.3 PDF Raporu İndirme</w:t>
      </w:r>
    </w:p>
    <w:p>
      <w:pPr>
        <w:spacing w:after="120"/>
      </w:pPr>
      <w:r>
        <w:rPr>
          <w:rFonts w:ascii="Calibri" w:cs="Calibri" w:eastAsia="Calibri" w:hAnsi="Calibri"/>
        </w:rPr>
        <w:t xml:space="preserve">“ROI hesapla” sonrasında “ROI raporunu PDF indir” düğmesi aktifleşir. Üretilen </w:t>
      </w:r>
      <w:r>
        <w:rPr>
          <w:rFonts w:ascii="Consolas" w:cs="Consolas" w:eastAsia="Consolas" w:hAnsi="Consolas"/>
          <w:sz w:val="20"/>
          <w:szCs w:val="20"/>
          <w:shd w:fill="EEF2F7" w:val="clear"/>
        </w:rPr>
        <w:t xml:space="preserve">tusmec-roi-raporu.pdf</w:t>
      </w:r>
      <w:r>
        <w:rPr>
          <w:rFonts w:ascii="Calibri" w:cs="Calibri" w:eastAsia="Calibri" w:hAnsi="Calibri"/>
        </w:rPr>
        <w:t xml:space="preserve"> dosyası Tusmec başlıklı tek sayfalık bir rapordur: tüm girdiler, dört çıktı ve karşılaştırma grafiği. Toplantı sonrasında müşteriye e-posta ile gönderilmeye uygundur.</w:t>
      </w:r>
    </w:p>
    <w:p>
      <w:pPr>
        <w:pStyle w:val="Heading1"/>
        <w:spacing w:after="160" w:before="360"/>
      </w:pPr>
      <w:r>
        <w:rPr>
          <w:b/>
          <w:bCs/>
          <w:color w:val="16263F"/>
        </w:rPr>
        <w:t xml:space="preserve">5. Sık Sorulan Sorular ve Sorun Giderme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600"/>
      </w:tblGrid>
      <w:tr>
        <w:tc>
          <w:tcPr>
            <w:tcW w:type="dxa" w:w="3800"/>
            <w:shd w:fill="16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Belirti</w:t>
            </w:r>
          </w:p>
        </w:tc>
        <w:tc>
          <w:tcPr>
            <w:tcW w:type="dxa" w:w="5600"/>
            <w:shd w:fill="16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Çözüm</w:t>
            </w:r>
          </w:p>
        </w:tc>
      </w:tr>
      <w:tr>
        <w:tc>
          <w:tcPr>
            <w:tcW w:type="dxa" w:w="38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63F"/>
                <w:sz w:val="20"/>
                <w:szCs w:val="20"/>
              </w:rPr>
              <w:t xml:space="preserve">Motor rozeti “mock” (turuncu)</w:t>
            </w:r>
          </w:p>
        </w:tc>
        <w:tc>
          <w:tcPr>
            <w:tcW w:type="dxa" w:w="5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63F"/>
                <w:sz w:val="20"/>
                <w:szCs w:val="20"/>
              </w:rPr>
              <w:t xml:space="preserve">simulation/src klasörü bulunamıyor; DEPLOYMENT.md §6'ya bakın. Demo mock motorla da çalışır ancak gerçek TusCore motoru “real” rozetiyle sunulmalıdır.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63F"/>
                <w:sz w:val="20"/>
                <w:szCs w:val="20"/>
              </w:rPr>
              <w:t xml:space="preserve">Tasarruf negatif çıkıyor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63F"/>
                <w:sz w:val="20"/>
                <w:szCs w:val="20"/>
              </w:rPr>
              <w:t xml:space="preserve">Girilen filo/lisans maliyetleri mevcut operasyon maliyetinden yüksek. Filo maliyeti otomatik türetildiyse araç başına saatlik maliyet varsayılanları yüksek olabilir; toplantıda bu alanı elle girin.</w:t>
            </w:r>
          </w:p>
        </w:tc>
      </w:tr>
      <w:tr>
        <w:tc>
          <w:tcPr>
            <w:tcW w:type="dxa" w:w="38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63F"/>
                <w:sz w:val="20"/>
                <w:szCs w:val="20"/>
              </w:rPr>
              <w:t xml:space="preserve">Grafik boş</w:t>
            </w:r>
          </w:p>
        </w:tc>
        <w:tc>
          <w:tcPr>
            <w:tcW w:type="dxa" w:w="5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63F"/>
                <w:sz w:val="20"/>
                <w:szCs w:val="20"/>
              </w:rPr>
              <w:t xml:space="preserve">Chart.js internetten yüklenir; bağlantıyı kontrol edin veya çevrimdışı kurulum için DEPLOYMENT.md §6'daki yerelleştirme adımını uygulayın.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63F"/>
                <w:sz w:val="20"/>
                <w:szCs w:val="20"/>
              </w:rPr>
              <w:t xml:space="preserve">Geri ödeme “ilk aydan itibaren”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63F"/>
                <w:sz w:val="20"/>
                <w:szCs w:val="20"/>
              </w:rPr>
              <w:t xml:space="preserve">Kurulum maliyeti 0 girilmiş; saf SaaS senaryosunda bu doğru davranıştır.</w:t>
            </w:r>
          </w:p>
        </w:tc>
      </w:tr>
      <w:tr>
        <w:tc>
          <w:tcPr>
            <w:tcW w:type="dxa" w:w="38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63F"/>
                <w:sz w:val="20"/>
                <w:szCs w:val="20"/>
              </w:rPr>
              <w:t xml:space="preserve">Ajanlar çok yavaş/hızlı</w:t>
            </w:r>
          </w:p>
        </w:tc>
        <w:tc>
          <w:tcPr>
            <w:tcW w:type="dxa" w:w="5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63F"/>
                <w:sz w:val="20"/>
                <w:szCs w:val="20"/>
              </w:rPr>
              <w:t xml:space="preserve">Alan büyüklüğü ile filo hızları orantılıdır; küçük demo alanlarında (≤10.000 m²) akış en dengelidir.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6263F"/>
        </w:rPr>
        <w:t xml:space="preserve">6. Ek: API Referansı (Teknik)</w:t>
      </w:r>
    </w:p>
    <w:p>
      <w:pPr>
        <w:spacing w:after="120"/>
      </w:pPr>
      <w:r>
        <w:rPr>
          <w:rFonts w:ascii="Calibri" w:cs="Calibri" w:eastAsia="Calibri" w:hAnsi="Calibri"/>
        </w:rPr>
        <w:t xml:space="preserve">Entegrasyon veya otomasyon ihtiyaçları için REST uç noktaları: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600"/>
      </w:tblGrid>
      <w:tr>
        <w:tc>
          <w:tcPr>
            <w:tcW w:type="dxa" w:w="3400"/>
            <w:shd w:fill="16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Uç nokta</w:t>
            </w:r>
          </w:p>
        </w:tc>
        <w:tc>
          <w:tcPr>
            <w:tcW w:type="dxa" w:w="1400"/>
            <w:shd w:fill="16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Metot</w:t>
            </w:r>
          </w:p>
        </w:tc>
        <w:tc>
          <w:tcPr>
            <w:tcW w:type="dxa" w:w="4600"/>
            <w:shd w:fill="16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İşlev</w:t>
            </w:r>
          </w:p>
        </w:tc>
      </w:tr>
      <w:tr>
        <w:tc>
          <w:tcPr>
            <w:tcW w:type="dxa" w:w="34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63F"/>
                <w:sz w:val="20"/>
                <w:szCs w:val="20"/>
              </w:rPr>
              <w:t xml:space="preserve">/api/sim/start</w:t>
            </w:r>
          </w:p>
        </w:tc>
        <w:tc>
          <w:tcPr>
            <w:tcW w:type="dxa" w:w="14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63F"/>
                <w:sz w:val="20"/>
                <w:szCs w:val="20"/>
              </w:rPr>
              <w:t xml:space="preserve">POST</w:t>
            </w:r>
          </w:p>
        </w:tc>
        <w:tc>
          <w:tcPr>
            <w:tcW w:type="dxa" w:w="4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63F"/>
                <w:sz w:val="20"/>
                <w:szCs w:val="20"/>
              </w:rPr>
              <w:t xml:space="preserve">Görev tipi + parametrelerle oturum başlatır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63F"/>
                <w:sz w:val="20"/>
                <w:szCs w:val="20"/>
              </w:rPr>
              <w:t xml:space="preserve">/api/sim/state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63F"/>
                <w:sz w:val="20"/>
                <w:szCs w:val="20"/>
              </w:rPr>
              <w:t xml:space="preserve">GET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63F"/>
                <w:sz w:val="20"/>
                <w:szCs w:val="20"/>
              </w:rPr>
              <w:t xml:space="preserve">Ajan konumları, engeller, istatistikler (JSON, 20 Hz üretim)</w:t>
            </w:r>
          </w:p>
        </w:tc>
      </w:tr>
      <w:tr>
        <w:tc>
          <w:tcPr>
            <w:tcW w:type="dxa" w:w="34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63F"/>
                <w:sz w:val="20"/>
                <w:szCs w:val="20"/>
              </w:rPr>
              <w:t xml:space="preserve">/api/sim/obstacle</w:t>
            </w:r>
          </w:p>
        </w:tc>
        <w:tc>
          <w:tcPr>
            <w:tcW w:type="dxa" w:w="14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63F"/>
                <w:sz w:val="20"/>
                <w:szCs w:val="20"/>
              </w:rPr>
              <w:t xml:space="preserve">POST</w:t>
            </w:r>
          </w:p>
        </w:tc>
        <w:tc>
          <w:tcPr>
            <w:tcW w:type="dxa" w:w="4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63F"/>
                <w:sz w:val="20"/>
                <w:szCs w:val="20"/>
              </w:rPr>
              <w:t xml:space="preserve">{index, x, y} — engeli canlı taşır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63F"/>
                <w:sz w:val="20"/>
                <w:szCs w:val="20"/>
              </w:rPr>
              <w:t xml:space="preserve">/api/sim/stop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63F"/>
                <w:sz w:val="20"/>
                <w:szCs w:val="20"/>
              </w:rPr>
              <w:t xml:space="preserve">POST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63F"/>
                <w:sz w:val="20"/>
                <w:szCs w:val="20"/>
              </w:rPr>
              <w:t xml:space="preserve">Oturumu durdurur</w:t>
            </w:r>
          </w:p>
        </w:tc>
      </w:tr>
      <w:tr>
        <w:tc>
          <w:tcPr>
            <w:tcW w:type="dxa" w:w="34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63F"/>
                <w:sz w:val="20"/>
                <w:szCs w:val="20"/>
              </w:rPr>
              <w:t xml:space="preserve">/api/scenarios</w:t>
            </w:r>
          </w:p>
        </w:tc>
        <w:tc>
          <w:tcPr>
            <w:tcW w:type="dxa" w:w="14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63F"/>
                <w:sz w:val="20"/>
                <w:szCs w:val="20"/>
              </w:rPr>
              <w:t xml:space="preserve">GET</w:t>
            </w:r>
          </w:p>
        </w:tc>
        <w:tc>
          <w:tcPr>
            <w:tcW w:type="dxa" w:w="4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63F"/>
                <w:sz w:val="20"/>
                <w:szCs w:val="20"/>
              </w:rPr>
              <w:t xml:space="preserve">Görev tipi varsayılanları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63F"/>
                <w:sz w:val="20"/>
                <w:szCs w:val="20"/>
              </w:rPr>
              <w:t xml:space="preserve">/api/roi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63F"/>
                <w:sz w:val="20"/>
                <w:szCs w:val="20"/>
              </w:rPr>
              <w:t xml:space="preserve">POST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63F"/>
                <w:sz w:val="20"/>
                <w:szCs w:val="20"/>
              </w:rPr>
              <w:t xml:space="preserve">ROI hesaplar (girdiler bölüm 4.1)</w:t>
            </w:r>
          </w:p>
        </w:tc>
      </w:tr>
      <w:tr>
        <w:tc>
          <w:tcPr>
            <w:tcW w:type="dxa" w:w="34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63F"/>
                <w:sz w:val="20"/>
                <w:szCs w:val="20"/>
              </w:rPr>
              <w:t xml:space="preserve">/api/roi/pdf</w:t>
            </w:r>
          </w:p>
        </w:tc>
        <w:tc>
          <w:tcPr>
            <w:tcW w:type="dxa" w:w="14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63F"/>
                <w:sz w:val="20"/>
                <w:szCs w:val="20"/>
              </w:rPr>
              <w:t xml:space="preserve">POST</w:t>
            </w:r>
          </w:p>
        </w:tc>
        <w:tc>
          <w:tcPr>
            <w:tcW w:type="dxa" w:w="4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63F"/>
                <w:sz w:val="20"/>
                <w:szCs w:val="20"/>
              </w:rPr>
              <w:t xml:space="preserve">PDF raporu üretir ve indirir</w:t>
            </w:r>
          </w:p>
        </w:tc>
      </w:tr>
    </w:tbl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5A6B84"/>
        </w:rPr>
        <w:t xml:space="preserve">Belge sonu · Sürüm 1.0 · Temmuz 2026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B84"/>
        <w:sz w:val="18"/>
        <w:szCs w:val="18"/>
      </w:rPr>
      <w:t xml:space="preserve">Tusmec Sürü Demo Platformu — Kullanım Kılavuzu · Sayfa </w:t>
    </w:r>
    <w:r>
      <w:rPr>
        <w:rFonts w:ascii="Calibri" w:cs="Calibri" w:eastAsia="Calibri" w:hAnsi="Calibri"/>
        <w:color w:val="5A6B8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–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2026-07-18T10:58:14.766Z</dcterms:created>
  <dcterms:modified xsi:type="dcterms:W3CDTF">2026-07-18T10:58:14.784Z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