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3" w:name="content"/>
    <w:p>
      <w:pPr>
        <w:pStyle w:val="FirstParagraph"/>
      </w:pPr>
      <w:r>
        <w:t xml:space="preserve">It’s</w:t>
      </w:r>
      <w:r>
        <w:t xml:space="preserve"> </w:t>
      </w:r>
      <w:r>
        <w:rPr>
          <w:b/>
          <w:bCs/>
        </w:rPr>
        <w:t xml:space="preserve">close</w:t>
      </w:r>
      <w:r>
        <w:t xml:space="preserve">, and it’s</w:t>
      </w:r>
      <w:r>
        <w:t xml:space="preserve"> </w:t>
      </w:r>
      <w:r>
        <w:rPr>
          <w:b/>
          <w:bCs/>
        </w:rPr>
        <w:t xml:space="preserve">clearly better than the first pass</w:t>
      </w:r>
      <w:r>
        <w:t xml:space="preserve">, but it’s</w:t>
      </w:r>
      <w:r>
        <w:t xml:space="preserve"> </w:t>
      </w:r>
      <w:r>
        <w:rPr>
          <w:b/>
          <w:bCs/>
        </w:rPr>
        <w:t xml:space="preserve">not “great / canon‑enforceable” yet</w:t>
      </w:r>
      <w:r>
        <w:t xml:space="preserve"> </w:t>
      </w:r>
      <w:r>
        <w:t xml:space="preserve">for Define because it still violates two of the exact hard checks you set for v3: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1 (machine-valid slot typing): FAIL</w:t>
      </w:r>
      <w:r>
        <w:t xml:space="preserve"> </w:t>
      </w:r>
      <w:r>
        <w:t xml:space="preserve">— there are</w:t>
      </w:r>
      <w:r>
        <w:t xml:space="preserve"> </w:t>
      </w:r>
      <w:r>
        <w:rPr>
          <w:b/>
          <w:bCs/>
        </w:rPr>
        <w:t xml:space="preserve">empty subtype tokens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FI: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FS: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FP:</w:t>
      </w:r>
      <w:r>
        <w:t xml:space="preserve"> </w:t>
      </w:r>
      <w:r>
        <w:t xml:space="preserve">in slot-typing (i.e., colon with no subtype and no</w:t>
      </w:r>
      <w:r>
        <w:t xml:space="preserve"> </w:t>
      </w:r>
      <w:r>
        <w:rPr>
          <w:rStyle w:val="VerbatimChar"/>
        </w:rPr>
        <w:t xml:space="preserve">*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2 (direction normalization): FAIL</w:t>
      </w:r>
      <w:r>
        <w:t xml:space="preserve"> </w:t>
      </w:r>
      <w:r>
        <w:t xml:space="preserve">— direction is expressed in</w:t>
      </w:r>
      <w:r>
        <w:t xml:space="preserve"> </w:t>
      </w:r>
      <w:r>
        <w:rPr>
          <w:b/>
          <w:bCs/>
        </w:rPr>
        <w:t xml:space="preserve">two incompatible notations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(BRIDGE→PRIMARY)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(plus direction embedded inside combo expressions).</w:t>
      </w:r>
    </w:p>
    <w:p>
      <w:pPr>
        <w:pStyle w:val="FirstParagraph"/>
      </w:pPr>
      <w:r>
        <w:t xml:space="preserve">Everything else is actually in good shape (especially arity exactness).</w:t>
      </w:r>
    </w:p>
    <w:p>
      <w:r>
        <w:pict>
          <v:rect style="width:0;height:1.5pt" o:hralign="center" o:hrstd="t" o:hr="t"/>
        </w:pict>
      </w:r>
    </w:p>
    <w:bookmarkStart w:id="24" w:name="whats-already-great-keep-it"/>
    <w:p>
      <w:pPr>
        <w:pStyle w:val="Heading2"/>
      </w:pPr>
      <w:r>
        <w:t xml:space="preserve">What’s already great (keep it)</w:t>
      </w:r>
    </w:p>
    <w:bookmarkStart w:id="21" w:name="arity-exactness-is-fully-correct"/>
    <w:p>
      <w:pPr>
        <w:pStyle w:val="Heading3"/>
      </w:pPr>
      <w:r>
        <w:t xml:space="preserve">Arity exactness is fully correct</w:t>
      </w:r>
    </w:p>
    <w:p>
      <w:pPr>
        <w:pStyle w:val="FirstParagraph"/>
      </w:pPr>
      <w:r>
        <w:t xml:space="preserve">I checked the union of arities implied by each action’s listed canon combos:</w:t>
      </w:r>
      <w:r>
        <w:t xml:space="preserve"> </w:t>
      </w:r>
      <w:r>
        <w:rPr>
          <w:b/>
          <w:bCs/>
        </w:rPr>
        <w:t xml:space="preserve">0 mismatches</w:t>
      </w:r>
      <w:r>
        <w:t xml:space="preserve">. That’s exactly what you wanted for deterministic validation.</w:t>
      </w:r>
    </w:p>
    <w:bookmarkEnd w:id="21"/>
    <w:bookmarkStart w:id="22" w:name="tag-sprawl-is-controlled"/>
    <w:p>
      <w:pPr>
        <w:pStyle w:val="Heading3"/>
      </w:pPr>
      <w:r>
        <w:t xml:space="preserve">Tag sprawl is controlled</w:t>
      </w:r>
    </w:p>
    <w:p>
      <w:pPr>
        <w:pStyle w:val="FirstParagraph"/>
      </w:pPr>
      <w:r>
        <w:t xml:space="preserve">It uses a small closed tag set (your registry) rather than inventing action-specific tags. That is the right foundation for Define-time enforcement.</w:t>
      </w:r>
    </w:p>
    <w:bookmarkEnd w:id="22"/>
    <w:bookmarkStart w:id="23" w:name="X0949186ebee8e5b419c12de3cee8fdb845e0a44"/>
    <w:p>
      <w:pPr>
        <w:pStyle w:val="Heading3"/>
      </w:pPr>
      <w:r>
        <w:t xml:space="preserve">Combo count and “canon posture” stays tight</w:t>
      </w:r>
    </w:p>
    <w:p>
      <w:pPr>
        <w:pStyle w:val="FirstParagraph"/>
      </w:pPr>
      <w:r>
        <w:t xml:space="preserve">Most actions are in the 2–4 combo range and aren’t blowing up into enumerating every plausible pairing.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c3e5d6fd6f8c5d367b6600ee900c11bdb9f29e0"/>
    <w:p>
      <w:pPr>
        <w:pStyle w:val="Heading2"/>
      </w:pPr>
      <w:r>
        <w:t xml:space="preserve">What still prevents Define-enforceability</w:t>
      </w:r>
    </w:p>
    <w:bookmarkStart w:id="25" w:name="X21d04a0d31570f8cd336cd0591ad6e5848fd1bf"/>
    <w:p>
      <w:pPr>
        <w:pStyle w:val="Heading3"/>
      </w:pPr>
      <w:r>
        <w:t xml:space="preserve">Gap 1 — Empty subtype tokens in slot typing (CHECK 1)</w:t>
      </w:r>
    </w:p>
    <w:p>
      <w:pPr>
        <w:pStyle w:val="FirstParagraph"/>
      </w:pPr>
      <w:r>
        <w:t xml:space="preserve">This is the biggest concrete blocker.</w:t>
      </w:r>
    </w:p>
    <w:p>
      <w:pPr>
        <w:pStyle w:val="BodyText"/>
      </w:pPr>
      <w:r>
        <w:t xml:space="preserve">These actions contain</w:t>
      </w:r>
      <w:r>
        <w:t xml:space="preserve"> </w:t>
      </w:r>
      <w:r>
        <w:rPr>
          <w:rStyle w:val="VerbatimChar"/>
          <w:b/>
          <w:bCs/>
        </w:rPr>
        <w:t xml:space="preserve">FI:</w:t>
      </w:r>
      <w:r>
        <w:rPr>
          <w:b/>
          <w:bCs/>
        </w:rPr>
        <w:t xml:space="preserve"> </w:t>
      </w:r>
      <w:r>
        <w:rPr>
          <w:b/>
          <w:bCs/>
        </w:rPr>
        <w:t xml:space="preserve">with no subtype</w:t>
      </w:r>
      <w:r>
        <w:t xml:space="preserve"> </w:t>
      </w:r>
      <w:r>
        <w:t xml:space="preserve">in slot typing: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FA-02, FA-03, FA-04, FA-12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FU-03, FU-04, FU-06, FU-08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FS-01, FS-04, FS-06, FS-09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FPR-02, FPR-05, FPR-08, FPR-10</w:t>
      </w:r>
    </w:p>
    <w:p>
      <w:pPr>
        <w:pStyle w:val="FirstParagraph"/>
      </w:pPr>
      <w:r>
        <w:t xml:space="preserve">Additionally: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FS:</w:t>
      </w:r>
      <w:r>
        <w:rPr>
          <w:b/>
          <w:bCs/>
        </w:rP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appears in</w:t>
      </w:r>
      <w:r>
        <w:t xml:space="preserve"> </w:t>
      </w:r>
      <w:r>
        <w:rPr>
          <w:b/>
          <w:bCs/>
        </w:rPr>
        <w:t xml:space="preserve">FS-04, FS-09, FPR-08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FP:</w:t>
      </w:r>
      <w:r>
        <w:rPr>
          <w:b/>
          <w:bCs/>
        </w:rP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t xml:space="preserve">appears in</w:t>
      </w:r>
      <w:r>
        <w:t xml:space="preserve"> </w:t>
      </w:r>
      <w:r>
        <w:rPr>
          <w:b/>
          <w:bCs/>
        </w:rPr>
        <w:t xml:space="preserve">FPR-08</w:t>
      </w:r>
    </w:p>
    <w:p>
      <w:pPr>
        <w:pStyle w:val="BodyText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Define can’t deterministically validate</w:t>
      </w:r>
      <w:r>
        <w:t xml:space="preserve"> </w:t>
      </w:r>
      <w:r>
        <w:rPr>
          <w:rStyle w:val="VerbatimChar"/>
        </w:rPr>
        <w:t xml:space="preserve">FI:</w:t>
      </w:r>
      <w:r>
        <w:t xml:space="preserve"> </w:t>
      </w:r>
      <w:r>
        <w:t xml:space="preserve">because it’s neither a school-only token (</w:t>
      </w:r>
      <w:r>
        <w:rPr>
          <w:rStyle w:val="VerbatimChar"/>
        </w:rPr>
        <w:t xml:space="preserve">FI</w:t>
      </w:r>
      <w:r>
        <w:t xml:space="preserve">) nor a wildcard (</w:t>
      </w:r>
      <w:r>
        <w:rPr>
          <w:rStyle w:val="VerbatimChar"/>
        </w:rPr>
        <w:t xml:space="preserve">FI:*</w:t>
      </w:r>
      <w:r>
        <w:t xml:space="preserve">) nor a subtype (</w:t>
      </w:r>
      <w:r>
        <w:rPr>
          <w:rStyle w:val="VerbatimChar"/>
        </w:rPr>
        <w:t xml:space="preserve">FI:fi_fix</w:t>
      </w:r>
      <w:r>
        <w:t xml:space="preserve"> </w:t>
      </w:r>
      <w:r>
        <w:t xml:space="preserve">etc).</w:t>
      </w:r>
    </w:p>
    <w:p>
      <w:pPr>
        <w:pStyle w:val="BodyText"/>
      </w:pPr>
      <w:r>
        <w:rPr>
          <w:b/>
          <w:bCs/>
        </w:rPr>
        <w:t xml:space="preserve">Minimum fix (no semantic change):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FI: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FI:*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FI</w:t>
      </w:r>
      <w:r>
        <w:t xml:space="preserve">)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FS: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FS:*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FS</w:t>
      </w:r>
      <w:r>
        <w:t xml:space="preserve">)</w:t>
      </w:r>
      <w:r>
        <w:t xml:space="preserve"> </w:t>
      </w:r>
      <w:r>
        <w:t xml:space="preserve">- Replace</w:t>
      </w:r>
      <w:r>
        <w:t xml:space="preserve"> </w:t>
      </w:r>
      <w:r>
        <w:rPr>
          <w:rStyle w:val="VerbatimChar"/>
        </w:rPr>
        <w:t xml:space="preserve">FP: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FP:*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FP</w:t>
      </w:r>
      <w:r>
        <w:t xml:space="preserve">)</w:t>
      </w:r>
    </w:p>
    <w:p>
      <w:pPr>
        <w:pStyle w:val="BodyText"/>
      </w:pPr>
      <w:r>
        <w:t xml:space="preserve">Given your registry always tags keystones as</w:t>
      </w:r>
      <w:r>
        <w:t xml:space="preserve"> </w:t>
      </w:r>
      <w:r>
        <w:rPr>
          <w:rStyle w:val="VerbatimChar"/>
        </w:rPr>
        <w:t xml:space="preserve">school + subtype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FI:*</w:t>
      </w:r>
      <w:r>
        <w:t xml:space="preserve"> </w:t>
      </w:r>
      <w:r>
        <w:t xml:space="preserve">is usually the clearest meaning (“any FI subtype is acceptable”).</w:t>
      </w:r>
    </w:p>
    <w:p>
      <w:r>
        <w:pict>
          <v:rect style="width:0;height:1.5pt" o:hralign="center" o:hrstd="t" o:hr="t"/>
        </w:pict>
      </w:r>
    </w:p>
    <w:bookmarkEnd w:id="25"/>
    <w:bookmarkStart w:id="26" w:name="X8612339a55c62a3f9e856daed8c95081b272df7"/>
    <w:p>
      <w:pPr>
        <w:pStyle w:val="Heading3"/>
      </w:pPr>
      <w:r>
        <w:t xml:space="preserve">Gap 2 — Direction notation isn’t normalized (CHECK 2)</w:t>
      </w:r>
    </w:p>
    <w:p>
      <w:pPr>
        <w:pStyle w:val="FirstParagraph"/>
      </w:pPr>
      <w:r>
        <w:t xml:space="preserve">Only a few actions have direction, but they use mixed forms: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FS-01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(BRIDGE→PRIMARY)</w:t>
      </w:r>
      <w:r>
        <w:t xml:space="preserve"> </w:t>
      </w:r>
      <w:r>
        <w:t xml:space="preserve">in both direction rules and combo expression.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FS-04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for MAP/REPLACE.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FS-09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(BRIDGE→PRIMARY)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this matters:</w:t>
      </w:r>
      <w:r>
        <w:t xml:space="preserve"> </w:t>
      </w:r>
      <w:r>
        <w:t xml:space="preserve">Validator logic should not need to interpret multiple direction conventions or parse direction from inside parentheses.</w:t>
      </w:r>
    </w:p>
    <w:p>
      <w:pPr>
        <w:pStyle w:val="BodyText"/>
      </w:pPr>
      <w:r>
        <w:rPr>
          <w:b/>
          <w:bCs/>
        </w:rPr>
        <w:t xml:space="preserve">Minimum fix (no redesign):</w:t>
      </w:r>
      <w:r>
        <w:t xml:space="preserve"> </w:t>
      </w:r>
      <w:r>
        <w:t xml:space="preserve">Pick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canonical representation everywhere: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direction: BRIDGE→PRIMARY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direction: PRIMARY→BRIDGE</w:t>
      </w:r>
    </w:p>
    <w:p>
      <w:pPr>
        <w:pStyle w:val="FirstParagraph"/>
      </w:pPr>
      <w:r>
        <w:t xml:space="preserve">Then:</w:t>
      </w:r>
      <w:r>
        <w:t xml:space="preserve"> </w:t>
      </w:r>
      <w:r>
        <w:t xml:space="preserve">1) In</w:t>
      </w:r>
      <w:r>
        <w:t xml:space="preserve"> </w:t>
      </w:r>
      <w:r>
        <w:rPr>
          <w:b/>
          <w:bCs/>
        </w:rPr>
        <w:t xml:space="preserve">Direction rules</w:t>
      </w:r>
      <w:r>
        <w:t xml:space="preserve">, express direction only via</w:t>
      </w:r>
      <w:r>
        <w:t xml:space="preserve"> </w:t>
      </w:r>
      <w:r>
        <w:rPr>
          <w:rStyle w:val="VerbatimChar"/>
        </w:rPr>
        <w:t xml:space="preserve">direction: …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(BRIDGE→PRIMARY)</w:t>
      </w:r>
      <w:r>
        <w:t xml:space="preserve">).</w:t>
      </w:r>
      <w:r>
        <w:t xml:space="preserve"> </w:t>
      </w:r>
      <w:r>
        <w:t xml:space="preserve">2) In</w:t>
      </w:r>
      <w:r>
        <w:t xml:space="preserve"> </w:t>
      </w:r>
      <w:r>
        <w:rPr>
          <w:b/>
          <w:bCs/>
        </w:rPr>
        <w:t xml:space="preserve">Canon combos</w:t>
      </w:r>
      <w:r>
        <w:t xml:space="preserve">, remove embedded arrow notations like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(BRIDGE→PRIMARY)</w:t>
      </w:r>
      <w:r>
        <w:t xml:space="preserve"> </w:t>
      </w:r>
      <w:r>
        <w:t xml:space="preserve">and let Direction rules carry direction.</w:t>
      </w:r>
    </w:p>
    <w:p>
      <w:pPr>
        <w:pStyle w:val="BodyText"/>
      </w:pPr>
      <w:r>
        <w:rPr>
          <w:b/>
          <w:bCs/>
        </w:rPr>
        <w:t xml:space="preserve">One small decision you should make explicitly for FS-04:</w:t>
      </w:r>
      <w:r>
        <w:br/>
      </w:r>
      <w:r>
        <w:t xml:space="preserve">Map currently uses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but doesn’t define which slot is A/B. For canon, you should pick one:</w:t>
      </w:r>
      <w:r>
        <w:t xml:space="preserve"> </w:t>
      </w:r>
      <w:r>
        <w:t xml:space="preserve">- Treat</w:t>
      </w:r>
      <w:r>
        <w:t xml:space="preserve"> </w:t>
      </w:r>
      <w:r>
        <w:rPr>
          <w:rStyle w:val="VerbatimChar"/>
        </w:rPr>
        <w:t xml:space="preserve">A→B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PRIMARY→BRIDGE</w:t>
      </w:r>
      <w:r>
        <w:t xml:space="preserve">, or</w:t>
      </w:r>
      <w:r>
        <w:t xml:space="preserve"> </w:t>
      </w:r>
      <w:r>
        <w:t xml:space="preserve">- Allow both directions (but that weakens canon constraints), or</w:t>
      </w:r>
      <w:r>
        <w:t xml:space="preserve"> </w:t>
      </w:r>
      <w:r>
        <w:t xml:space="preserve">- Split into two canon combos if direction materially changes meaning.</w:t>
      </w:r>
    </w:p>
    <w:p>
      <w:pPr>
        <w:pStyle w:val="BodyText"/>
      </w:pPr>
      <w:r>
        <w:t xml:space="preserve">Given your anti-noise posture,</w:t>
      </w:r>
      <w:r>
        <w:t xml:space="preserve"> </w:t>
      </w:r>
      <w:r>
        <w:rPr>
          <w:b/>
          <w:bCs/>
        </w:rPr>
        <w:t xml:space="preserve">PRIMARY→BRIDGE</w:t>
      </w:r>
      <w:r>
        <w:t xml:space="preserve"> </w:t>
      </w:r>
      <w:r>
        <w:t xml:space="preserve">is usually the cleanest canon default for MAP/REPLACE.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2eb00c98d75f0aadd578d5be8bccdf77c81d926"/>
    <w:p>
      <w:pPr>
        <w:pStyle w:val="Heading2"/>
      </w:pPr>
      <w:r>
        <w:t xml:space="preserve">Secondary cleanup strongly recommended (not as critical as the two blockers)</w:t>
      </w:r>
    </w:p>
    <w:bookmarkStart w:id="28" w:name="stray-markup-in-labels-why"/>
    <w:p>
      <w:pPr>
        <w:pStyle w:val="Heading3"/>
      </w:pPr>
      <w:r>
        <w:t xml:space="preserve">Stray markup in labels (</w:t>
      </w:r>
      <w:r>
        <w:rPr>
          <w:rStyle w:val="VerbatimChar"/>
        </w:rPr>
        <w:t xml:space="preserve">Why:*</w:t>
      </w:r>
      <w:r>
        <w:t xml:space="preserve">)</w:t>
      </w:r>
    </w:p>
    <w:p>
      <w:pPr>
        <w:pStyle w:val="FirstParagraph"/>
      </w:pPr>
      <w:r>
        <w:t xml:space="preserve">There are many lines with literal</w:t>
      </w:r>
      <w:r>
        <w:t xml:space="preserve"> </w:t>
      </w:r>
      <w:r>
        <w:rPr>
          <w:rStyle w:val="VerbatimChar"/>
        </w:rPr>
        <w:t xml:space="preserve">Why:*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Why:</w:t>
      </w:r>
      <w:r>
        <w:t xml:space="preserve">. It won’t break a human reader, but it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break any attempt to parse this doc into JSON later (even with a simple regex parser). If you want a deterministic pipeline, it’s worth stripping.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normalize</w:t>
      </w:r>
      <w:r>
        <w:t xml:space="preserve"> </w:t>
      </w:r>
      <w:r>
        <w:rPr>
          <w:rStyle w:val="VerbatimChar"/>
        </w:rPr>
        <w:t xml:space="preserve">Why:*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Why: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 CANON (example):*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 CANON (example):</w:t>
      </w:r>
      <w:r>
        <w:t xml:space="preserve">.</w:t>
      </w:r>
    </w:p>
    <w:bookmarkEnd w:id="28"/>
    <w:bookmarkStart w:id="29" w:name="Xe8633f30accb024bbb2c0c551319272e1c707b2"/>
    <w:p>
      <w:pPr>
        <w:pStyle w:val="Heading3"/>
      </w:pPr>
      <w:r>
        <w:t xml:space="preserve">Wildcards inside combo expressions (</w:t>
      </w:r>
      <w:r>
        <w:rPr>
          <w:rStyle w:val="VerbatimChar"/>
        </w:rPr>
        <w:t xml:space="preserve">FA:*</w:t>
      </w:r>
      <w:r>
        <w:t xml:space="preserve">,</w:t>
      </w:r>
      <w:r>
        <w:t xml:space="preserve"> </w:t>
      </w:r>
      <w:r>
        <w:rPr>
          <w:rStyle w:val="VerbatimChar"/>
        </w:rPr>
        <w:t xml:space="preserve">FI:*</w:t>
      </w:r>
      <w:r>
        <w:t xml:space="preserve">,</w:t>
      </w:r>
      <w:r>
        <w:t xml:space="preserve"> </w:t>
      </w:r>
      <w:r>
        <w:rPr>
          <w:rStyle w:val="VerbatimChar"/>
        </w:rPr>
        <w:t xml:space="preserve">FS:*</w:t>
      </w:r>
      <w:r>
        <w:t xml:space="preserve">)</w:t>
      </w:r>
    </w:p>
    <w:p>
      <w:pPr>
        <w:pStyle w:val="FirstParagraph"/>
      </w:pPr>
      <w:r>
        <w:t xml:space="preserve">Not wrong, but it creates mismatch tension if slot typing is written as explicit tag unions while combos are using wildcards. If you’re treating combo expressions as human-only docs, keep them; if you want to ingest combos programmatically, tighten them to match slot typing.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d583a8030b9c1f4734551ab5819411f856a850"/>
    <w:p>
      <w:pPr>
        <w:pStyle w:val="Heading2"/>
      </w:pPr>
      <w:r>
        <w:t xml:space="preserve">Do you need more context for Deep Research?</w:t>
      </w:r>
    </w:p>
    <w:p>
      <w:pPr>
        <w:pStyle w:val="FirstParagraph"/>
      </w:pPr>
      <w:r>
        <w:t xml:space="preserve">No — you already provided the</w:t>
      </w:r>
      <w:r>
        <w:t xml:space="preserve"> </w:t>
      </w:r>
      <w:r>
        <w:rPr>
          <w:b/>
          <w:bCs/>
        </w:rPr>
        <w:t xml:space="preserve">right set</w:t>
      </w:r>
      <w:r>
        <w:t xml:space="preserve"> </w:t>
      </w:r>
      <w:r>
        <w:t xml:space="preserve">for this lint pass:</w:t>
      </w:r>
      <w:r>
        <w:t xml:space="preserve"> </w:t>
      </w:r>
      <w:r>
        <w:t xml:space="preserve">- action catalog (WTP/BEATS)</w:t>
      </w:r>
      <w:r>
        <w:t xml:space="preserve"> </w:t>
      </w:r>
      <w:r>
        <w:t xml:space="preserve">- grammar spec</w:t>
      </w:r>
      <w:r>
        <w:t xml:space="preserve"> </w:t>
      </w:r>
      <w:r>
        <w:t xml:space="preserve">- tag registry</w:t>
      </w:r>
      <w:r>
        <w:t xml:space="preserve"> </w:t>
      </w:r>
      <w:r>
        <w:t xml:space="preserve">- baseline map doc</w:t>
      </w:r>
    </w:p>
    <w:p>
      <w:pPr>
        <w:pStyle w:val="BodyText"/>
      </w:pPr>
      <w:r>
        <w:t xml:space="preserve">This failure is not “missing context”; it’s</w:t>
      </w:r>
      <w:r>
        <w:t xml:space="preserve"> </w:t>
      </w:r>
      <w:r>
        <w:rPr>
          <w:b/>
          <w:bCs/>
        </w:rPr>
        <w:t xml:space="preserve">missing output lint discipline</w:t>
      </w:r>
      <w:r>
        <w:t xml:space="preserve"> </w:t>
      </w:r>
      <w:r>
        <w:t xml:space="preserve">(i.e., the model didn’t run a final string-level check before finalizing).</w:t>
      </w:r>
    </w:p>
    <w:p>
      <w:r>
        <w:pict>
          <v:rect style="width:0;height:1.5pt" o:hralign="center" o:hrstd="t" o:hr="t"/>
        </w:pict>
      </w:r>
    </w:p>
    <w:bookmarkEnd w:id="31"/>
    <w:bookmarkStart w:id="32" w:name="Xb89be5527996d02808bc6c2296aeb6d422b7c2c"/>
    <w:p>
      <w:pPr>
        <w:pStyle w:val="Heading2"/>
      </w:pPr>
      <w:r>
        <w:t xml:space="preserve">Feedback you can paste into Deep Research for a rerun</w:t>
      </w:r>
    </w:p>
    <w:p>
      <w:pPr>
        <w:pStyle w:val="FirstParagraph"/>
      </w:pPr>
      <w:r>
        <w:t xml:space="preserve">If you rerun, the most effective feedback is to force a</w:t>
      </w:r>
      <w:r>
        <w:t xml:space="preserve"> </w:t>
      </w:r>
      <w:r>
        <w:rPr>
          <w:i/>
          <w:iCs/>
        </w:rPr>
        <w:t xml:space="preserve">post-generation lint sweep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Paste this into the prompt:</w:t>
      </w:r>
    </w:p>
    <w:p>
      <w:pPr>
        <w:pStyle w:val="BlockText"/>
      </w:pPr>
      <w:r>
        <w:t xml:space="preserve">After generating the full map, run a final “string lint pass” over your own output and fix all violations before returning it: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Slot typing:</w:t>
      </w:r>
      <w:r>
        <w:t xml:space="preserve"> </w:t>
      </w:r>
      <w:r>
        <w:t xml:space="preserve">forbid any token matching</w:t>
      </w:r>
      <w:r>
        <w:t xml:space="preserve"> </w:t>
      </w:r>
      <w:r>
        <w:rPr>
          <w:rStyle w:val="VerbatimChar"/>
        </w:rPr>
        <w:t xml:space="preserve">\b(FI|FU|FPR|FP|FA|FS):\s*(?=\||/|$)</w:t>
      </w:r>
      <w:r>
        <w:t xml:space="preserve"> </w:t>
      </w:r>
      <w:r>
        <w:t xml:space="preserve">(empty subtype). Replace with</w:t>
      </w:r>
      <w:r>
        <w:t xml:space="preserve"> </w:t>
      </w:r>
      <w:r>
        <w:rPr>
          <w:rStyle w:val="VerbatimChar"/>
        </w:rPr>
        <w:t xml:space="preserve">SCHOOL:*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or a valid subtype from the tag registry.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Direction:</w:t>
      </w:r>
      <w:r>
        <w:t xml:space="preserve"> </w:t>
      </w:r>
      <w:r>
        <w:t xml:space="preserve">forbid</w:t>
      </w:r>
      <w:r>
        <w:t xml:space="preserve"> </w:t>
      </w:r>
      <w:r>
        <w:rPr>
          <w:rStyle w:val="VerbatimChar"/>
        </w:rPr>
        <w:t xml:space="preserve">(A→B)</w:t>
      </w:r>
      <w:r>
        <w:t xml:space="preserve"> </w:t>
      </w:r>
      <w:r>
        <w:t xml:space="preserve">and forbid any arrow in parentheses. Use only</w:t>
      </w:r>
      <w:r>
        <w:t xml:space="preserve"> </w:t>
      </w:r>
      <w:r>
        <w:rPr>
          <w:rStyle w:val="VerbatimChar"/>
        </w:rPr>
        <w:t xml:space="preserve">direction: PRIMARY→BRIDGE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direction: BRIDGE→PRIMARY</w:t>
      </w:r>
      <w:r>
        <w:t xml:space="preserve">, and ensure direction appears only where required (MAP/REPLACE/INSTANTIATE/EXTEND).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 normalization:</w:t>
      </w:r>
      <w:r>
        <w:t xml:space="preserve"> </w:t>
      </w:r>
      <w:r>
        <w:t xml:space="preserve">forbid</w:t>
      </w:r>
      <w:r>
        <w:t xml:space="preserve"> </w:t>
      </w:r>
      <w:r>
        <w:rPr>
          <w:rStyle w:val="VerbatimChar"/>
        </w:rPr>
        <w:t xml:space="preserve">Why:*</w:t>
      </w:r>
      <w:r>
        <w:t xml:space="preserve"> </w:t>
      </w:r>
      <w:r>
        <w:t xml:space="preserve">— normalize to</w:t>
      </w:r>
      <w:r>
        <w:t xml:space="preserve"> </w:t>
      </w:r>
      <w:r>
        <w:rPr>
          <w:rStyle w:val="VerbatimChar"/>
        </w:rPr>
        <w:t xml:space="preserve">Why:</w:t>
      </w:r>
      <w:r>
        <w:t xml:space="preserve">.</w:t>
      </w:r>
      <w:r>
        <w:t xml:space="preserve"> </w:t>
      </w:r>
      <w:r>
        <w:t xml:space="preserve">- Do not change the canon combo set unless required to fix these lint violations.</w:t>
      </w:r>
    </w:p>
    <w:p>
      <w:pPr>
        <w:pStyle w:val="FirstParagraph"/>
      </w:pPr>
      <w:r>
        <w:t xml:space="preserve">If you apply just that, you should get a</w:t>
      </w:r>
      <w:r>
        <w:t xml:space="preserve"> </w:t>
      </w:r>
      <w:r>
        <w:rPr>
          <w:b/>
          <w:bCs/>
        </w:rPr>
        <w:t xml:space="preserve">true v3</w:t>
      </w:r>
      <w:r>
        <w:t xml:space="preserve"> </w:t>
      </w:r>
      <w:r>
        <w:t xml:space="preserve">that is ready to wire into Define without “special parsing glue.”</w:t>
      </w:r>
    </w:p>
    <w:bookmarkEnd w:id="32"/>
    <w:bookmarkEnd w:id="33"/>
    <w:p>
      <w:r>
        <w:pict>
          <v:rect style="width:0;height:1.5pt" o:hralign="center" o:hrstd="t" o:hr="t"/>
        </w:pict>
      </w:r>
    </w:p>
    <w:bookmarkStart w:id="34" w:name="citations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2026-02-16T16:59:27Z</dcterms:created>
  <dcterms:modified xsi:type="dcterms:W3CDTF">2026-02-16T16:59:27Z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