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DecaFlow Technical Team Launch &amp; Architecture Brief</w:t>
      </w:r>
    </w:p>
    <w:p>
      <w:pPr>
        <w:pStyle w:val="Heading1"/>
      </w:pPr>
      <w:r>
        <w:t>What DecaFlow is</w:t>
      </w:r>
    </w:p>
    <w:p>
      <w:r>
        <w:t>DecaFlow is being built as a Web3 security, compliance, and transaction-infrastructure platform. The goal is not to resell another company’s wallet-risk API or monitoring dashboard. The core product direction is DecaFlow-owned infrastructure: our own wallet-risk labels, graph edges, scoring rules, Shield alerting, incident workflows, compliance automation, and RWA compliance contracts.</w:t>
      </w:r>
    </w:p>
    <w:p>
      <w:r>
        <w:t>The current repo contains several product lines:</w:t>
      </w:r>
    </w:p>
    <w:p>
      <w:pPr>
        <w:pStyle w:val="ListNumber"/>
      </w:pPr>
      <w:r>
        <w:rPr>
          <w:b/>
        </w:rPr>
        <w:t>Verify API</w:t>
      </w:r>
      <w:r>
        <w:t xml:space="preserve"> — wallet screening and risk scoring.</w:t>
      </w:r>
    </w:p>
    <w:p>
      <w:pPr>
        <w:pStyle w:val="ListNumber"/>
      </w:pPr>
      <w:r>
        <w:rPr>
          <w:b/>
        </w:rPr>
        <w:t>Compliance</w:t>
      </w:r>
      <w:r>
        <w:t xml:space="preserve"> — AML/risk workflows and customer onboarding.</w:t>
      </w:r>
    </w:p>
    <w:p>
      <w:pPr>
        <w:pStyle w:val="ListNumber"/>
      </w:pPr>
      <w:r>
        <w:rPr>
          <w:b/>
        </w:rPr>
        <w:t>Shield</w:t>
      </w:r>
      <w:r>
        <w:t xml:space="preserve"> — continuous contract/security monitoring, alerts, and incidents.</w:t>
      </w:r>
    </w:p>
    <w:p>
      <w:pPr>
        <w:pStyle w:val="ListNumber"/>
      </w:pPr>
      <w:r>
        <w:rPr>
          <w:b/>
        </w:rPr>
        <w:t>Agents</w:t>
      </w:r>
      <w:r>
        <w:t xml:space="preserve"> — human-approved compliance workflow automation.</w:t>
      </w:r>
    </w:p>
    <w:p>
      <w:pPr>
        <w:pStyle w:val="ListNumber"/>
      </w:pPr>
      <w:r>
        <w:rPr>
          <w:b/>
        </w:rPr>
        <w:t>Institutional/RWA</w:t>
      </w:r>
      <w:r>
        <w:t xml:space="preserve"> — ERC-3643-style identity, compliance, risk oracle, token, and ZK gate reference contracts.</w:t>
      </w:r>
    </w:p>
    <w:p>
      <w:pPr>
        <w:pStyle w:val="ListNumber"/>
      </w:pPr>
      <w:r>
        <w:rPr>
          <w:b/>
        </w:rPr>
        <w:t>Swap/Bridge/Liquidity/MEV</w:t>
      </w:r>
      <w:r>
        <w:t xml:space="preserve"> — transaction infrastructure, routing, analytics, partner SDK, and UI surfaces.</w:t>
      </w:r>
    </w:p>
    <w:p>
      <w:pPr>
        <w:pStyle w:val="ListNumber"/>
      </w:pPr>
      <w:r>
        <w:rPr>
          <w:b/>
        </w:rPr>
        <w:t>Partner SDK and dashboard</w:t>
      </w:r>
      <w:r>
        <w:t xml:space="preserve"> — embeddable partner infrastructure.</w:t>
      </w:r>
    </w:p>
    <w:p>
      <w:pPr>
        <w:pStyle w:val="Heading1"/>
      </w:pPr>
      <w:r>
        <w:t>What is now built</w:t>
      </w:r>
    </w:p>
    <w:p>
      <w:pPr>
        <w:pStyle w:val="Heading2"/>
      </w:pPr>
      <w:r>
        <w:t>Internal risk intelligence engine</w:t>
      </w:r>
    </w:p>
    <w:p>
      <w:r>
        <w:t>The backend now has a DecaFlow-owned risk engine rather than a vendor-first design.</w:t>
      </w:r>
    </w:p>
    <w:p>
      <w:r>
        <w:t>Core tables:</w:t>
      </w:r>
    </w:p>
    <w:p>
      <w:pPr>
        <w:pStyle w:val="ListBullet"/>
      </w:pPr>
      <w:r>
        <w:rPr>
          <w:rFonts w:ascii="Courier New" w:hAnsi="Courier New"/>
          <w:sz w:val="18"/>
        </w:rPr>
        <w:t>risk_category_weights</w:t>
      </w:r>
      <w:r>
        <w:t xml:space="preserve"> — category scoring weights.</w:t>
      </w:r>
    </w:p>
    <w:p>
      <w:pPr>
        <w:pStyle w:val="ListBullet"/>
      </w:pPr>
      <w:r>
        <w:rPr>
          <w:rFonts w:ascii="Courier New" w:hAnsi="Courier New"/>
          <w:sz w:val="18"/>
        </w:rPr>
        <w:t>risk_address_labels</w:t>
      </w:r>
      <w:r>
        <w:t xml:space="preserve"> — DecaFlow-owned address intelligence labels.</w:t>
      </w:r>
    </w:p>
    <w:p>
      <w:pPr>
        <w:pStyle w:val="ListBullet"/>
      </w:pPr>
      <w:r>
        <w:rPr>
          <w:rFonts w:ascii="Courier New" w:hAnsi="Courier New"/>
          <w:sz w:val="18"/>
        </w:rPr>
        <w:t>risk_graph_edges</w:t>
      </w:r>
      <w:r>
        <w:t xml:space="preserve"> — wallet-to-wallet/token graph edges.</w:t>
      </w:r>
    </w:p>
    <w:p>
      <w:pPr>
        <w:pStyle w:val="ListBullet"/>
      </w:pPr>
      <w:r>
        <w:rPr>
          <w:rFonts w:ascii="Courier New" w:hAnsi="Courier New"/>
          <w:sz w:val="18"/>
        </w:rPr>
        <w:t>risk_screenings</w:t>
      </w:r>
      <w:r>
        <w:t xml:space="preserve"> — screening history.</w:t>
      </w:r>
    </w:p>
    <w:p>
      <w:pPr>
        <w:pStyle w:val="ListBullet"/>
      </w:pPr>
      <w:r>
        <w:rPr>
          <w:rFonts w:ascii="Courier New" w:hAnsi="Courier New"/>
          <w:sz w:val="18"/>
        </w:rPr>
        <w:t>risk_case_reviews</w:t>
      </w:r>
      <w:r>
        <w:t xml:space="preserve"> — analyst feedback loop.</w:t>
      </w:r>
    </w:p>
    <w:p>
      <w:r>
        <w:t>Core services:</w:t>
      </w:r>
    </w:p>
    <w:p>
      <w:pPr>
        <w:pStyle w:val="ListBullet"/>
      </w:pPr>
      <w:r>
        <w:rPr>
          <w:rFonts w:ascii="Courier New" w:hAnsi="Courier New"/>
          <w:sz w:val="18"/>
        </w:rPr>
        <w:t>internalRiskEngine.js</w:t>
      </w:r>
      <w:r>
        <w:t xml:space="preserve"> screens a wallet using direct labels plus indirect graph exposure up to configurable hops.</w:t>
      </w:r>
    </w:p>
    <w:p>
      <w:pPr>
        <w:pStyle w:val="ListBullet"/>
      </w:pPr>
      <w:r>
        <w:rPr>
          <w:rFonts w:ascii="Courier New" w:hAnsi="Courier New"/>
          <w:sz w:val="18"/>
        </w:rPr>
        <w:t>riskIntelligenceService.js</w:t>
      </w:r>
      <w:r>
        <w:t xml:space="preserve"> defaults to </w:t>
      </w:r>
      <w:r>
        <w:rPr>
          <w:rFonts w:ascii="Courier New" w:hAnsi="Courier New"/>
          <w:sz w:val="18"/>
        </w:rPr>
        <w:t>RISK_PROVIDER=internal</w:t>
      </w:r>
      <w:r>
        <w:t>, so Verify and Compliance use DecaFlow’s engine by default.</w:t>
      </w:r>
    </w:p>
    <w:p>
      <w:pPr>
        <w:pStyle w:val="ListBullet"/>
      </w:pPr>
      <w:r>
        <w:rPr>
          <w:rFonts w:ascii="Courier New" w:hAnsi="Courier New"/>
          <w:sz w:val="18"/>
        </w:rPr>
        <w:t>alchemyGraphIngestionService.js</w:t>
      </w:r>
      <w:r>
        <w:t xml:space="preserve"> ingests graph edges from Alchemy transfers and webhook activity.</w:t>
      </w:r>
    </w:p>
    <w:p>
      <w:r>
        <w:t>Core routes:</w:t>
      </w:r>
    </w:p>
    <w:p>
      <w:pPr>
        <w:pStyle w:val="ListBullet"/>
      </w:pPr>
      <w:r>
        <w:rPr>
          <w:rFonts w:ascii="Courier New" w:hAnsi="Courier New"/>
          <w:sz w:val="18"/>
        </w:rPr>
        <w:t>POST /v1/verify/check</w:t>
      </w:r>
      <w:r>
        <w:t xml:space="preserve"> — authenticated live screening using issued Verify API keys.</w:t>
      </w:r>
    </w:p>
    <w:p>
      <w:pPr>
        <w:pStyle w:val="ListBullet"/>
      </w:pPr>
      <w:r>
        <w:rPr>
          <w:rFonts w:ascii="Courier New" w:hAnsi="Courier New"/>
          <w:sz w:val="18"/>
        </w:rPr>
        <w:t>POST /v1/risk/labels</w:t>
      </w:r>
      <w:r>
        <w:t xml:space="preserve"> — admin-created DecaFlow risk labels.</w:t>
      </w:r>
    </w:p>
    <w:p>
      <w:pPr>
        <w:pStyle w:val="ListBullet"/>
      </w:pPr>
      <w:r>
        <w:rPr>
          <w:rFonts w:ascii="Courier New" w:hAnsi="Courier New"/>
          <w:sz w:val="18"/>
        </w:rPr>
        <w:t>GET /v1/risk/labels</w:t>
      </w:r>
      <w:r>
        <w:t xml:space="preserve"> — admin label inspection.</w:t>
      </w:r>
    </w:p>
    <w:p>
      <w:pPr>
        <w:pStyle w:val="ListBullet"/>
      </w:pPr>
      <w:r>
        <w:rPr>
          <w:rFonts w:ascii="Courier New" w:hAnsi="Courier New"/>
          <w:sz w:val="18"/>
        </w:rPr>
        <w:t>POST /v1/risk/edges</w:t>
      </w:r>
      <w:r>
        <w:t xml:space="preserve"> — admin graph edge insertion.</w:t>
      </w:r>
    </w:p>
    <w:p>
      <w:pPr>
        <w:pStyle w:val="ListBullet"/>
      </w:pPr>
      <w:r>
        <w:rPr>
          <w:rFonts w:ascii="Courier New" w:hAnsi="Courier New"/>
          <w:sz w:val="18"/>
        </w:rPr>
        <w:t>POST /v1/risk/screen</w:t>
      </w:r>
      <w:r>
        <w:t xml:space="preserve"> — admin internal wallet screen.</w:t>
      </w:r>
    </w:p>
    <w:p>
      <w:pPr>
        <w:pStyle w:val="ListBullet"/>
      </w:pPr>
      <w:r>
        <w:rPr>
          <w:rFonts w:ascii="Courier New" w:hAnsi="Courier New"/>
          <w:sz w:val="18"/>
        </w:rPr>
        <w:t>PATCH /v1/risk/weights/:category</w:t>
      </w:r>
      <w:r>
        <w:t xml:space="preserve"> — category calibration.</w:t>
      </w:r>
    </w:p>
    <w:p>
      <w:pPr>
        <w:pStyle w:val="ListBullet"/>
      </w:pPr>
      <w:r>
        <w:rPr>
          <w:rFonts w:ascii="Courier New" w:hAnsi="Courier New"/>
          <w:sz w:val="18"/>
        </w:rPr>
        <w:t>POST /v1/risk/ingest/alchemy-transfers</w:t>
      </w:r>
      <w:r>
        <w:t xml:space="preserve"> — batch graph ingestion via Alchemy API.</w:t>
      </w:r>
    </w:p>
    <w:p>
      <w:pPr>
        <w:pStyle w:val="ListBullet"/>
      </w:pPr>
      <w:r>
        <w:rPr>
          <w:rFonts w:ascii="Courier New" w:hAnsi="Courier New"/>
          <w:sz w:val="18"/>
        </w:rPr>
        <w:t>POST /v1/risk/webhooks/alchemy</w:t>
      </w:r>
      <w:r>
        <w:t xml:space="preserve"> — Alchemy webhook ingestion.</w:t>
      </w:r>
    </w:p>
    <w:p>
      <w:pPr>
        <w:pStyle w:val="ListBullet"/>
      </w:pPr>
      <w:r>
        <w:rPr>
          <w:rFonts w:ascii="Courier New" w:hAnsi="Courier New"/>
          <w:sz w:val="18"/>
        </w:rPr>
        <w:t>POST /v1/risk/case-reviews</w:t>
      </w:r>
      <w:r>
        <w:t xml:space="preserve"> — analyst feedback that can create confirmed-risk labels.</w:t>
      </w:r>
    </w:p>
    <w:p>
      <w:pPr>
        <w:pStyle w:val="ListBullet"/>
      </w:pPr>
      <w:r>
        <w:rPr>
          <w:rFonts w:ascii="Courier New" w:hAnsi="Courier New"/>
          <w:sz w:val="18"/>
        </w:rPr>
        <w:t>GET /v1/risk/coverage</w:t>
      </w:r>
      <w:r>
        <w:t xml:space="preserve"> — admin coverage summary across categories, sources, chains, and ingestion runs.</w:t>
      </w:r>
    </w:p>
    <w:p>
      <w:pPr>
        <w:pStyle w:val="Heading2"/>
      </w:pPr>
      <w:r>
        <w:t>Sanctions and curated label ingestion</w:t>
      </w:r>
    </w:p>
    <w:p>
      <w:r>
        <w:t>Scripts:</w:t>
      </w:r>
    </w:p>
    <w:p>
      <w:pPr>
        <w:pStyle w:val="ListBullet"/>
      </w:pPr>
      <w:r>
        <w:rPr>
          <w:rFonts w:ascii="Courier New" w:hAnsi="Courier New"/>
          <w:sz w:val="18"/>
        </w:rPr>
        <w:t>node src/scripts/ingest-ofac-sdn-crypto.js</w:t>
      </w:r>
      <w:r>
        <w:t xml:space="preserve"> fetches OFAC SDN XML and extracts digital currency addresses into </w:t>
      </w:r>
      <w:r>
        <w:rPr>
          <w:rFonts w:ascii="Courier New" w:hAnsi="Courier New"/>
          <w:sz w:val="18"/>
        </w:rPr>
        <w:t>risk_address_labels</w:t>
      </w:r>
      <w:r>
        <w:t>.</w:t>
      </w:r>
    </w:p>
    <w:p>
      <w:pPr>
        <w:pStyle w:val="ListBullet"/>
      </w:pPr>
      <w:r>
        <w:rPr>
          <w:rFonts w:ascii="Courier New" w:hAnsi="Courier New"/>
          <w:sz w:val="18"/>
        </w:rPr>
        <w:t>node src/scripts/ingest-public-sanctions-lists.js</w:t>
      </w:r>
      <w:r>
        <w:t xml:space="preserve"> scans the UN consolidated list, EU consolidated financial sanctions list, and UK OFSI/HMT consolidated list for digital-asset addresses and stores confirmed matches as sanctions labels. The source URLs are configurable through environment variables because government download endpoints do change.</w:t>
      </w:r>
    </w:p>
    <w:p>
      <w:pPr>
        <w:pStyle w:val="ListBullet"/>
      </w:pPr>
      <w:r>
        <w:rPr>
          <w:rFonts w:ascii="Courier New" w:hAnsi="Courier New"/>
          <w:sz w:val="18"/>
        </w:rPr>
        <w:t>node src/scripts/ingest-curated-risk-labels.js</w:t>
      </w:r>
      <w:r>
        <w:t xml:space="preserve"> ingests DecaFlow’s curated seed labels from </w:t>
      </w:r>
      <w:r>
        <w:rPr>
          <w:rFonts w:ascii="Courier New" w:hAnsi="Courier New"/>
          <w:sz w:val="18"/>
        </w:rPr>
        <w:t>src/data/curatedRiskLabels.json</w:t>
      </w:r>
      <w:r>
        <w:t>.</w:t>
      </w:r>
    </w:p>
    <w:p>
      <w:pPr>
        <w:pStyle w:val="ListBullet"/>
      </w:pPr>
      <w:r>
        <w:rPr>
          <w:rFonts w:ascii="Courier New" w:hAnsi="Courier New"/>
          <w:sz w:val="18"/>
        </w:rPr>
        <w:t>node src/scripts/ingest-public-risk-feeds.js</w:t>
      </w:r>
      <w:r>
        <w:t xml:space="preserve"> ingests public scam/phishing feeds into DecaFlow-owned labels. The first production feeds are ScamSniffer’s address blacklist and MyEtherWallet’s address darklist; optional additional comma-separated feed URLs can be added through </w:t>
      </w:r>
      <w:r>
        <w:rPr>
          <w:rFonts w:ascii="Courier New" w:hAnsi="Courier New"/>
          <w:sz w:val="18"/>
        </w:rPr>
        <w:t>DECAFLOW_PUBLIC_RISK_FEED_URLS</w:t>
      </w:r>
      <w:r>
        <w:t>.</w:t>
      </w:r>
    </w:p>
    <w:p>
      <w:pPr>
        <w:pStyle w:val="ListBullet"/>
      </w:pPr>
      <w:r>
        <w:rPr>
          <w:rFonts w:ascii="Courier New" w:hAnsi="Courier New"/>
          <w:sz w:val="18"/>
        </w:rPr>
        <w:t>node src/scripts/calibrate-risk-scoring.js</w:t>
      </w:r>
      <w:r>
        <w:t xml:space="preserve"> runs known calibration wallets against the DecaFlow internal engine; adding </w:t>
      </w:r>
      <w:r>
        <w:rPr>
          <w:rFonts w:ascii="Courier New" w:hAnsi="Courier New"/>
          <w:sz w:val="18"/>
        </w:rPr>
        <w:t>--apply</w:t>
      </w:r>
      <w:r>
        <w:t xml:space="preserve"> raises likely category weights when the expected decision is not met.</w:t>
      </w:r>
    </w:p>
    <w:p>
      <w:r>
        <w:t>The current curated seed list includes public Tornado Cash/mixer labels and exploit-linked seed placeholders. The public sanctions script adds UN/EU/UK/HMT coverage where those lists publish crypto addresses, while OFAC remains the strongest structured crypto-address source today. This is still the first internal dataset, so the team must keep growing it with public enforcement releases, exploit postmortems, court filings, chain explorer tags, and analyst investigations.</w:t>
      </w:r>
    </w:p>
    <w:p>
      <w:pPr>
        <w:pStyle w:val="Heading2"/>
      </w:pPr>
      <w:r>
        <w:t>Shield internal actions and incidents</w:t>
      </w:r>
    </w:p>
    <w:p>
      <w:r>
        <w:t>Shield now has internal alert and action infrastructure.</w:t>
      </w:r>
    </w:p>
    <w:p>
      <w:r>
        <w:t>Core tables:</w:t>
      </w:r>
    </w:p>
    <w:p>
      <w:pPr>
        <w:pStyle w:val="ListBullet"/>
      </w:pPr>
      <w:r>
        <w:rPr>
          <w:rFonts w:ascii="Courier New" w:hAnsi="Courier New"/>
          <w:sz w:val="18"/>
        </w:rPr>
        <w:t>shield_alerts</w:t>
      </w:r>
    </w:p>
    <w:p>
      <w:pPr>
        <w:pStyle w:val="ListBullet"/>
      </w:pPr>
      <w:r>
        <w:rPr>
          <w:rFonts w:ascii="Courier New" w:hAnsi="Courier New"/>
          <w:sz w:val="18"/>
        </w:rPr>
        <w:t>shield_incidents</w:t>
      </w:r>
    </w:p>
    <w:p>
      <w:pPr>
        <w:pStyle w:val="ListBullet"/>
      </w:pPr>
      <w:r>
        <w:rPr>
          <w:rFonts w:ascii="Courier New" w:hAnsi="Courier New"/>
          <w:sz w:val="18"/>
        </w:rPr>
        <w:t>shield_action_rules</w:t>
      </w:r>
    </w:p>
    <w:p>
      <w:pPr>
        <w:pStyle w:val="ListBullet"/>
      </w:pPr>
      <w:r>
        <w:rPr>
          <w:rFonts w:ascii="Courier New" w:hAnsi="Courier New"/>
          <w:sz w:val="18"/>
        </w:rPr>
        <w:t>shield_action_runs</w:t>
      </w:r>
    </w:p>
    <w:p>
      <w:r>
        <w:t>Core routes:</w:t>
      </w:r>
    </w:p>
    <w:p>
      <w:pPr>
        <w:pStyle w:val="ListBullet"/>
      </w:pPr>
      <w:r>
        <w:rPr>
          <w:rFonts w:ascii="Courier New" w:hAnsi="Courier New"/>
          <w:sz w:val="18"/>
        </w:rPr>
        <w:t>GET/PATCH /v1/shield/alerts</w:t>
      </w:r>
    </w:p>
    <w:p>
      <w:pPr>
        <w:pStyle w:val="ListBullet"/>
      </w:pPr>
      <w:r>
        <w:rPr>
          <w:rFonts w:ascii="Courier New" w:hAnsi="Courier New"/>
          <w:sz w:val="18"/>
        </w:rPr>
        <w:t>GET/PATCH /v1/shield/incidents</w:t>
      </w:r>
    </w:p>
    <w:p>
      <w:pPr>
        <w:pStyle w:val="ListBullet"/>
      </w:pPr>
      <w:r>
        <w:rPr>
          <w:rFonts w:ascii="Courier New" w:hAnsi="Courier New"/>
          <w:sz w:val="18"/>
        </w:rPr>
        <w:t>GET/POST/PATCH /v1/shield/action-rules</w:t>
      </w:r>
    </w:p>
    <w:p>
      <w:pPr>
        <w:pStyle w:val="ListBullet"/>
      </w:pPr>
      <w:r>
        <w:rPr>
          <w:rFonts w:ascii="Courier New" w:hAnsi="Courier New"/>
          <w:sz w:val="18"/>
        </w:rPr>
        <w:t>GET/POST /v1/shield/events/onchain</w:t>
      </w:r>
    </w:p>
    <w:p>
      <w:r>
        <w:t>Core behavior:</w:t>
      </w:r>
    </w:p>
    <w:p>
      <w:pPr>
        <w:pStyle w:val="ListBullet"/>
      </w:pPr>
      <w:r>
        <w:rPr>
          <w:rFonts w:ascii="Courier New" w:hAnsi="Courier New"/>
          <w:sz w:val="18"/>
        </w:rPr>
        <w:t>shieldMonitor.js</w:t>
      </w:r>
      <w:r>
        <w:t xml:space="preserve"> persists alerts and creates incidents for high/critical alerts.</w:t>
      </w:r>
    </w:p>
    <w:p>
      <w:pPr>
        <w:pStyle w:val="ListBullet"/>
      </w:pPr>
      <w:r>
        <w:rPr>
          <w:rFonts w:ascii="Courier New" w:hAnsi="Courier New"/>
          <w:sz w:val="18"/>
        </w:rPr>
        <w:t>shieldActionEngine.js</w:t>
      </w:r>
      <w:r>
        <w:t xml:space="preserve"> evaluates internal rules and triggers email actions.</w:t>
      </w:r>
    </w:p>
    <w:p>
      <w:pPr>
        <w:pStyle w:val="ListBullet"/>
      </w:pPr>
      <w:r>
        <w:rPr>
          <w:rFonts w:ascii="Courier New" w:hAnsi="Courier New"/>
          <w:sz w:val="18"/>
        </w:rPr>
        <w:t>/v1/shield/events/onchain</w:t>
      </w:r>
      <w:r>
        <w:t xml:space="preserve"> lets DecaFlow-owned indexers/watchers post on-chain activity into Shield.</w:t>
      </w:r>
    </w:p>
    <w:p>
      <w:r>
        <w:t>Email is the only action type enabled for now. This is deliberate. Future action types can be added after the DB/action framework is stable: Slack, PagerDuty, Telegram, Discord, SMS, webhook, Defender proposal, Safe transaction proposal.</w:t>
      </w:r>
    </w:p>
    <w:p>
      <w:pPr>
        <w:pStyle w:val="Heading2"/>
      </w:pPr>
      <w:r>
        <w:t>Agents human-approved automation</w:t>
      </w:r>
    </w:p>
    <w:p>
      <w:r>
        <w:t>Agents remain human-approved, not fund-moving autonomous enforcement.</w:t>
      </w:r>
    </w:p>
    <w:p>
      <w:r>
        <w:t>Current behavior:</w:t>
      </w:r>
    </w:p>
    <w:p>
      <w:pPr>
        <w:pStyle w:val="ListBullet"/>
      </w:pPr>
      <w:r>
        <w:t>Rules can evaluate risk scores.</w:t>
      </w:r>
    </w:p>
    <w:p>
      <w:pPr>
        <w:pStyle w:val="ListBullet"/>
      </w:pPr>
      <w:r>
        <w:t>Matching items go to a review queue.</w:t>
      </w:r>
    </w:p>
    <w:p>
      <w:pPr>
        <w:pStyle w:val="ListBullet"/>
      </w:pPr>
      <w:r>
        <w:t>Human reviewers approve/reject items.</w:t>
      </w:r>
    </w:p>
    <w:p>
      <w:pPr>
        <w:pStyle w:val="ListBullet"/>
      </w:pPr>
      <w:r>
        <w:t>The system can suggest automation when a reviewer repeatedly makes the same decision.</w:t>
      </w:r>
    </w:p>
    <w:p>
      <w:pPr>
        <w:pStyle w:val="ListBullet"/>
      </w:pPr>
      <w:r>
        <w:t>A named human can enable an auto-resolution pattern.</w:t>
      </w:r>
    </w:p>
    <w:p>
      <w:pPr>
        <w:pStyle w:val="ListBullet"/>
      </w:pPr>
      <w:r>
        <w:t>Even auto-resolution remains visible in the queue and reversible.</w:t>
      </w:r>
    </w:p>
    <w:p>
      <w:r>
        <w:t>This is the correct safe path. Do not implement autonomous freezing or fund movement until customers explicitly authorize the action type and legal/compliance policies are signed.</w:t>
      </w:r>
    </w:p>
    <w:p>
      <w:pPr>
        <w:pStyle w:val="Heading2"/>
      </w:pPr>
      <w:r>
        <w:t>RWA contracts</w:t>
      </w:r>
    </w:p>
    <w:p>
      <w:r>
        <w:t xml:space="preserve">RWA contracts compile and test under the default contract test path. Current tests pass: </w:t>
      </w:r>
      <w:r>
        <w:rPr>
          <w:rFonts w:ascii="Courier New" w:hAnsi="Courier New"/>
          <w:sz w:val="18"/>
        </w:rPr>
        <w:t>53 passing</w:t>
      </w:r>
      <w:r>
        <w:t>.</w:t>
      </w:r>
    </w:p>
    <w:p>
      <w:r>
        <w:t>Contracts:</w:t>
      </w:r>
    </w:p>
    <w:p>
      <w:pPr>
        <w:pStyle w:val="ListBullet"/>
      </w:pPr>
      <w:r>
        <w:rPr>
          <w:rFonts w:ascii="Courier New" w:hAnsi="Courier New"/>
          <w:sz w:val="18"/>
        </w:rPr>
        <w:t>IdentityRegistry.sol</w:t>
      </w:r>
    </w:p>
    <w:p>
      <w:pPr>
        <w:pStyle w:val="ListBullet"/>
      </w:pPr>
      <w:r>
        <w:rPr>
          <w:rFonts w:ascii="Courier New" w:hAnsi="Courier New"/>
          <w:sz w:val="18"/>
        </w:rPr>
        <w:t>ComplianceRules.sol</w:t>
      </w:r>
    </w:p>
    <w:p>
      <w:pPr>
        <w:pStyle w:val="ListBullet"/>
      </w:pPr>
      <w:r>
        <w:rPr>
          <w:rFonts w:ascii="Courier New" w:hAnsi="Courier New"/>
          <w:sz w:val="18"/>
        </w:rPr>
        <w:t>RWAToken.sol</w:t>
      </w:r>
    </w:p>
    <w:p>
      <w:pPr>
        <w:pStyle w:val="ListBullet"/>
      </w:pPr>
      <w:r>
        <w:rPr>
          <w:rFonts w:ascii="Courier New" w:hAnsi="Courier New"/>
          <w:sz w:val="18"/>
        </w:rPr>
        <w:t>RiskOracle.sol</w:t>
      </w:r>
    </w:p>
    <w:p>
      <w:pPr>
        <w:pStyle w:val="ListBullet"/>
      </w:pPr>
      <w:r>
        <w:rPr>
          <w:rFonts w:ascii="Courier New" w:hAnsi="Courier New"/>
          <w:sz w:val="18"/>
        </w:rPr>
        <w:t>ZKIdentityGate.sol</w:t>
      </w:r>
    </w:p>
    <w:p>
      <w:r>
        <w:t>Recent fixes include holder-count delta accounting, disabled live ComplianceRules replacement, address/evidence validation, and RWA test harness repair.</w:t>
      </w:r>
    </w:p>
    <w:p>
      <w:pPr>
        <w:pStyle w:val="Heading1"/>
      </w:pPr>
      <w:r>
        <w:t>What remains to be done</w:t>
      </w:r>
    </w:p>
    <w:p>
      <w:pPr>
        <w:pStyle w:val="Heading2"/>
      </w:pPr>
      <w:r>
        <w:t>Risk engine data and indexing</w:t>
      </w:r>
    </w:p>
    <w:p>
      <w:pPr>
        <w:pStyle w:val="ListNumber"/>
      </w:pPr>
      <w:r>
        <w:t>Run OFAC plus UN/EU/UK/HMT sanctions ingestion on a schedule.</w:t>
      </w:r>
    </w:p>
    <w:p>
      <w:pPr>
        <w:pStyle w:val="ListNumber"/>
      </w:pPr>
      <w:r>
        <w:t>Keep source URL overrides current because public sanctions authorities change download formats without treating DecaFlow’s backlog kindly.</w:t>
      </w:r>
    </w:p>
    <w:p>
      <w:pPr>
        <w:pStyle w:val="ListNumber"/>
      </w:pPr>
      <w:r>
        <w:t>Build curated label review tooling so analysts can approve labels before they affect production scoring.</w:t>
      </w:r>
    </w:p>
    <w:p>
      <w:pPr>
        <w:pStyle w:val="ListNumber"/>
      </w:pPr>
      <w:r>
        <w:t>Run Alchemy graph ingestion continuously per chain.</w:t>
      </w:r>
    </w:p>
    <w:p>
      <w:pPr>
        <w:pStyle w:val="ListNumber"/>
      </w:pPr>
      <w:r>
        <w:t>Backfill graph edges for high-risk wallets, customer wallets, and watched contracts.</w:t>
      </w:r>
    </w:p>
    <w:p>
      <w:pPr>
        <w:pStyle w:val="ListNumber"/>
      </w:pPr>
      <w:r>
        <w:t>Add known-clean calibration sets so the engine can distinguish clean wallets from sparse-data wallets.</w:t>
      </w:r>
    </w:p>
    <w:p>
      <w:pPr>
        <w:pStyle w:val="ListNumber"/>
      </w:pPr>
      <w:r>
        <w:t>Add scoring explainability views to show which labels/paths drove a score.</w:t>
      </w:r>
    </w:p>
    <w:p>
      <w:pPr>
        <w:pStyle w:val="Heading2"/>
      </w:pPr>
      <w:r>
        <w:t>Shield monitoring depth</w:t>
      </w:r>
    </w:p>
    <w:p>
      <w:r>
        <w:t>The current Shield monitor covers native balance drops and event ingestion. To become a full security SaaS, build watchers for:</w:t>
      </w:r>
    </w:p>
    <w:p>
      <w:pPr>
        <w:pStyle w:val="ListBullet"/>
      </w:pPr>
      <w:r>
        <w:t>Ownership transfer events.</w:t>
      </w:r>
    </w:p>
    <w:p>
      <w:pPr>
        <w:pStyle w:val="ListBullet"/>
      </w:pPr>
      <w:r>
        <w:t>Proxy implementation changes.</w:t>
      </w:r>
    </w:p>
    <w:p>
      <w:pPr>
        <w:pStyle w:val="ListBullet"/>
      </w:pPr>
      <w:r>
        <w:t>Admin function selectors.</w:t>
      </w:r>
    </w:p>
    <w:p>
      <w:pPr>
        <w:pStyle w:val="ListBullet"/>
      </w:pPr>
      <w:r>
        <w:t>Large ERC-20/ERC-721/ERC-1155 transfers.</w:t>
      </w:r>
    </w:p>
    <w:p>
      <w:pPr>
        <w:pStyle w:val="ListBullet"/>
      </w:pPr>
      <w:r>
        <w:t>Approval spikes.</w:t>
      </w:r>
    </w:p>
    <w:p>
      <w:pPr>
        <w:pStyle w:val="ListBullet"/>
      </w:pPr>
      <w:r>
        <w:t>New privileged roles.</w:t>
      </w:r>
    </w:p>
    <w:p>
      <w:pPr>
        <w:pStyle w:val="ListBullet"/>
      </w:pPr>
      <w:r>
        <w:t>Risky counterparty interactions using the internal risk engine.</w:t>
      </w:r>
    </w:p>
    <w:p>
      <w:pPr>
        <w:pStyle w:val="ListBullet"/>
      </w:pPr>
      <w:r>
        <w:t>Failed transaction spikes.</w:t>
      </w:r>
    </w:p>
    <w:p>
      <w:pPr>
        <w:pStyle w:val="ListBullet"/>
      </w:pPr>
      <w:r>
        <w:t>Contract selfdestruct/deployment/codehash changes where supported.</w:t>
      </w:r>
    </w:p>
    <w:p>
      <w:pPr>
        <w:pStyle w:val="ListBullet"/>
      </w:pPr>
      <w:r>
        <w:t>Treasury outflows.</w:t>
      </w:r>
    </w:p>
    <w:p>
      <w:pPr>
        <w:pStyle w:val="Heading2"/>
      </w:pPr>
      <w:r>
        <w:t>Verify/Compliance product hardening</w:t>
      </w:r>
    </w:p>
    <w:p>
      <w:pPr>
        <w:pStyle w:val="ListBullet"/>
      </w:pPr>
      <w:r>
        <w:t>Add API-key quota tracking.</w:t>
      </w:r>
    </w:p>
    <w:p>
      <w:pPr>
        <w:pStyle w:val="ListBullet"/>
      </w:pPr>
      <w:r>
        <w:t>Add per-key rate limits.</w:t>
      </w:r>
    </w:p>
    <w:p>
      <w:pPr>
        <w:pStyle w:val="ListBullet"/>
      </w:pPr>
      <w:r>
        <w:t>Add customer dashboard for screening history.</w:t>
      </w:r>
    </w:p>
    <w:p>
      <w:pPr>
        <w:pStyle w:val="ListBullet"/>
      </w:pPr>
      <w:r>
        <w:t>Add CSV/batch screening.</w:t>
      </w:r>
    </w:p>
    <w:p>
      <w:pPr>
        <w:pStyle w:val="ListBullet"/>
      </w:pPr>
      <w:r>
        <w:t>Add webhook callbacks for risk-score changes.</w:t>
      </w:r>
    </w:p>
    <w:p>
      <w:pPr>
        <w:pStyle w:val="ListBullet"/>
      </w:pPr>
      <w:r>
        <w:t>Add report export.</w:t>
      </w:r>
    </w:p>
    <w:p>
      <w:pPr>
        <w:pStyle w:val="ListBullet"/>
      </w:pPr>
      <w:r>
        <w:t>Add case management UI.</w:t>
      </w:r>
    </w:p>
    <w:p>
      <w:pPr>
        <w:pStyle w:val="Heading2"/>
      </w:pPr>
      <w:r>
        <w:t>RWA production readiness</w:t>
      </w:r>
    </w:p>
    <w:p>
      <w:r>
        <w:t>Do not deploy real securities until the following exist:</w:t>
      </w:r>
    </w:p>
    <w:p>
      <w:pPr>
        <w:pStyle w:val="ListBullet"/>
      </w:pPr>
      <w:r>
        <w:t>Safe addresses on Base, Arbitrum, Polygon, and Avalanche.</w:t>
      </w:r>
    </w:p>
    <w:p>
      <w:pPr>
        <w:pStyle w:val="ListBullet"/>
      </w:pPr>
      <w:r>
        <w:t>KYC/accreditation process.</w:t>
      </w:r>
    </w:p>
    <w:p>
      <w:pPr>
        <w:pStyle w:val="ListBullet"/>
      </w:pPr>
      <w:r>
        <w:t>Counsel-reviewed transfer restrictions.</w:t>
      </w:r>
    </w:p>
    <w:p>
      <w:pPr>
        <w:pStyle w:val="ListBullet"/>
      </w:pPr>
      <w:r>
        <w:t>Approved identity registry env allowlist.</w:t>
      </w:r>
    </w:p>
    <w:p>
      <w:pPr>
        <w:pStyle w:val="ListBullet"/>
      </w:pPr>
      <w:r>
        <w:t>Production deployment runbook.</w:t>
      </w:r>
    </w:p>
    <w:p>
      <w:pPr>
        <w:pStyle w:val="ListBullet"/>
      </w:pPr>
      <w:r>
        <w:t>Emergency transfer runbook.</w:t>
      </w:r>
    </w:p>
    <w:p>
      <w:pPr>
        <w:pStyle w:val="ListBullet"/>
      </w:pPr>
      <w:r>
        <w:t>Risk oracle update policy.</w:t>
      </w:r>
    </w:p>
    <w:p>
      <w:pPr>
        <w:pStyle w:val="ListBullet"/>
      </w:pPr>
      <w:r>
        <w:t>Fresh security re-review after final configuration.</w:t>
      </w:r>
    </w:p>
    <w:p>
      <w:pPr>
        <w:pStyle w:val="Heading1"/>
      </w:pPr>
      <w:r>
        <w:t>Alchemy setup for graph ingestion</w:t>
      </w:r>
    </w:p>
    <w:p>
      <w:pPr>
        <w:pStyle w:val="Heading2"/>
      </w:pPr>
      <w:r>
        <w:t>Option A — API batch ingestion</w:t>
      </w:r>
    </w:p>
    <w:p>
      <w:pPr>
        <w:pStyle w:val="ListNumber"/>
      </w:pPr>
      <w:r>
        <w:t>Create or open an Alchemy app for each target network: Ethereum/Base/Arbitrum/Polygon/Avalanche.</w:t>
      </w:r>
    </w:p>
    <w:p>
      <w:pPr>
        <w:pStyle w:val="ListNumber"/>
      </w:pPr>
      <w:r>
        <w:t>Copy the API key.</w:t>
      </w:r>
    </w:p>
    <w:p>
      <w:pPr>
        <w:pStyle w:val="ListNumber"/>
      </w:pPr>
      <w:r>
        <w:t xml:space="preserve">Set Render env var </w:t>
      </w:r>
      <w:r>
        <w:rPr>
          <w:rFonts w:ascii="Courier New" w:hAnsi="Courier New"/>
          <w:sz w:val="18"/>
        </w:rPr>
        <w:t>ALCHEMY_API_KEY</w:t>
      </w:r>
      <w:r>
        <w:t xml:space="preserve"> if one key works across your apps, or use per-chain vars later if we split config.</w:t>
      </w:r>
    </w:p>
    <w:p>
      <w:pPr>
        <w:pStyle w:val="ListNumber"/>
      </w:pPr>
      <w:r>
        <w:t>Call admin endpoint:</w:t>
      </w:r>
    </w:p>
    <w:p>
      <w:pPr>
        <w:shd w:fill="F3F6FA"/>
      </w:pPr>
      <w:r>
        <w:rPr>
          <w:rFonts w:ascii="Courier New" w:hAnsi="Courier New"/>
          <w:sz w:val="17"/>
        </w:rPr>
        <w:t>curl -X POST https://decaflow-backend.onrender.com/v1/risk/ingest/alchemy-transfers \</w:t>
        <w:br/>
        <w:t xml:space="preserve">  -H "Content-Type: application/json" \</w:t>
        <w:br/>
        <w:t xml:space="preserve">  -H "X-Admin-Key: $ADMIN_KEY" \</w:t>
        <w:br/>
        <w:t xml:space="preserve">  -d '{"chain":"base","fromBlock":"0x0","toBlock":"latest","address":"0x...","maxPages":5}'</w:t>
      </w:r>
    </w:p>
    <w:p>
      <w:pPr>
        <w:pStyle w:val="Heading2"/>
      </w:pPr>
      <w:r>
        <w:t>Option B — webhooks</w:t>
      </w:r>
    </w:p>
    <w:p>
      <w:pPr>
        <w:pStyle w:val="ListNumber"/>
      </w:pPr>
      <w:r>
        <w:t>Open Alchemy Dashboard.</w:t>
      </w:r>
    </w:p>
    <w:p>
      <w:pPr>
        <w:pStyle w:val="ListNumber"/>
      </w:pPr>
      <w:r>
        <w:t xml:space="preserve">Go to </w:t>
      </w:r>
      <w:r>
        <w:rPr>
          <w:b/>
        </w:rPr>
        <w:t>Notify / Webhooks</w:t>
      </w:r>
      <w:r>
        <w:t>.</w:t>
      </w:r>
    </w:p>
    <w:p>
      <w:pPr>
        <w:pStyle w:val="ListNumber"/>
      </w:pPr>
      <w:r>
        <w:t xml:space="preserve">Create an </w:t>
      </w:r>
      <w:r>
        <w:rPr>
          <w:b/>
        </w:rPr>
        <w:t>Address Activity</w:t>
      </w:r>
      <w:r>
        <w:t xml:space="preserve"> webhook.</w:t>
      </w:r>
    </w:p>
    <w:p>
      <w:pPr>
        <w:pStyle w:val="ListNumber"/>
      </w:pPr>
      <w:r>
        <w:t>Select chain.</w:t>
      </w:r>
    </w:p>
    <w:p>
      <w:pPr>
        <w:pStyle w:val="ListNumber"/>
      </w:pPr>
      <w:r>
        <w:t>Add watched addresses.</w:t>
      </w:r>
    </w:p>
    <w:p>
      <w:pPr>
        <w:pStyle w:val="ListNumber"/>
      </w:pPr>
      <w:r>
        <w:t>Set webhook URL:</w:t>
      </w:r>
    </w:p>
    <w:p>
      <w:pPr>
        <w:shd w:fill="F3F6FA"/>
      </w:pPr>
      <w:r>
        <w:rPr>
          <w:rFonts w:ascii="Courier New" w:hAnsi="Courier New"/>
          <w:sz w:val="17"/>
        </w:rPr>
        <w:t>https://decaflow-backend.onrender.com/v1/risk/webhooks/alchemy</w:t>
      </w:r>
    </w:p>
    <w:p>
      <w:pPr>
        <w:pStyle w:val="ListNumber"/>
      </w:pPr>
      <w:r>
        <w:t>In the Alchemy webhook security/settings panel, copy the webhook signing key.</w:t>
      </w:r>
    </w:p>
    <w:p>
      <w:pPr>
        <w:pStyle w:val="ListNumber"/>
      </w:pPr>
      <w:r>
        <w:t>In DecaFlow Render env, set:</w:t>
      </w:r>
    </w:p>
    <w:p>
      <w:pPr>
        <w:shd w:fill="F3F6FA"/>
      </w:pPr>
      <w:r>
        <w:rPr>
          <w:rFonts w:ascii="Courier New" w:hAnsi="Courier New"/>
          <w:sz w:val="17"/>
        </w:rPr>
        <w:t>ALCHEMY_WEBHOOK_SIGNING_KEY=&lt;Alchemy webhook signing key&gt;</w:t>
      </w:r>
    </w:p>
    <w:p>
      <w:pPr>
        <w:pStyle w:val="ListNumber"/>
      </w:pPr>
      <w:r>
        <w:t xml:space="preserve">Save and test webhook. DecaFlow verifies </w:t>
      </w:r>
      <w:r>
        <w:rPr>
          <w:rFonts w:ascii="Courier New" w:hAnsi="Courier New"/>
          <w:sz w:val="18"/>
        </w:rPr>
        <w:t>x-alchemy-signature</w:t>
      </w:r>
      <w:r>
        <w:t xml:space="preserve"> before ingesting the activity payload.</w:t>
      </w:r>
    </w:p>
    <w:p>
      <w:pPr>
        <w:pStyle w:val="Heading1"/>
      </w:pPr>
      <w:r>
        <w:t>Operational commands</w:t>
      </w:r>
    </w:p>
    <w:p>
      <w:pPr>
        <w:shd w:fill="F3F6FA"/>
      </w:pPr>
      <w:r>
        <w:rPr>
          <w:rFonts w:ascii="Courier New" w:hAnsi="Courier New"/>
          <w:sz w:val="17"/>
        </w:rPr>
        <w:t>cd backend</w:t>
        <w:br/>
        <w:t>node src/scripts/ingest-ofac-sdn-crypto.js</w:t>
        <w:br/>
        <w:t>node src/scripts/ingest-public-sanctions-lists.js</w:t>
        <w:br/>
        <w:t>node src/scripts/ingest-curated-risk-labels.js</w:t>
        <w:br/>
        <w:t>node src/scripts/calibrate-risk-scoring.js</w:t>
        <w:br/>
        <w:t>npm run build</w:t>
      </w:r>
    </w:p>
    <w:p>
      <w:pPr>
        <w:shd w:fill="F3F6FA"/>
      </w:pPr>
      <w:r>
        <w:rPr>
          <w:rFonts w:ascii="Courier New" w:hAnsi="Courier New"/>
          <w:sz w:val="17"/>
        </w:rPr>
        <w:t>cd contracts</w:t>
        <w:br/>
        <w:t>npm test</w:t>
      </w:r>
    </w:p>
    <w:p>
      <w:pPr>
        <w:pStyle w:val="Heading1"/>
      </w:pPr>
      <w:r>
        <w:t>Launch rule</w:t>
      </w:r>
    </w:p>
    <w:p>
      <w:r>
        <w:t>Do not claim the risk engine is complete just because the code exists. Claim that DecaFlow owns its risk engine and is actively building its proprietary graph. The moat is the dataset, labels, analyst feedback loop, and calibration over time.</w:t>
      </w:r>
    </w:p>
    <w:p>
      <w:pPr>
        <w:pStyle w:val="Heading1"/>
      </w:pPr>
      <w:r>
        <w:t>Launch readiness re-review — 2026-08-08</w:t>
      </w:r>
    </w:p>
    <w:p>
      <w:pPr>
        <w:pStyle w:val="Heading2"/>
      </w:pPr>
      <w:r>
        <w:t>Current launch position</w:t>
      </w:r>
    </w:p>
    <w:p>
      <w:r>
        <w:t>DecaFlow is ready to present publicly as a controlled public beta / design-partner launch. It is not yet ready to present as a fully mature, fully automated, enterprise risk-intelligence network because the proprietary data graph still needs live ingestion runs, scheduled refreshes, production monitoring jobs, and customer/pilot data expansion.</w:t>
      </w:r>
    </w:p>
    <w:p>
      <w:r>
        <w:t xml:space="preserve">The core backend foundation is now real: Verify can call the internal DecaFlow risk engine through authenticated </w:t>
      </w:r>
      <w:r>
        <w:rPr>
          <w:rFonts w:ascii="Courier New" w:hAnsi="Courier New"/>
          <w:sz w:val="18"/>
        </w:rPr>
        <w:t>/v1/verify/check</w:t>
      </w:r>
      <w:r>
        <w:t>, risk labels and graph edges have admin ingestion paths, Alchemy webhook ingestion is implemented with signing-key verification, case review feeds back into labels, Shield has alert/incident/action-rule APIs, Agents has human-approved workflow automation, and the smart-contract regression suite passes.</w:t>
      </w:r>
    </w:p>
    <w:p>
      <w:pPr>
        <w:pStyle w:val="Heading2"/>
      </w:pPr>
      <w:r>
        <w:t>Evidence from this re-review</w:t>
      </w:r>
    </w:p>
    <w:p>
      <w:pPr>
        <w:pStyle w:val="ListBullet"/>
      </w:pPr>
      <w:r>
        <w:t xml:space="preserve">Backend syntax check passed with </w:t>
      </w:r>
      <w:r>
        <w:rPr>
          <w:rFonts w:ascii="Courier New" w:hAnsi="Courier New"/>
          <w:sz w:val="18"/>
        </w:rPr>
        <w:t>npm run build</w:t>
      </w:r>
      <w:r>
        <w:t>.</w:t>
      </w:r>
    </w:p>
    <w:p>
      <w:pPr>
        <w:pStyle w:val="ListBullet"/>
      </w:pPr>
      <w:r>
        <w:t xml:space="preserve">Frontend production build passed with </w:t>
      </w:r>
      <w:r>
        <w:rPr>
          <w:rFonts w:ascii="Courier New" w:hAnsi="Courier New"/>
          <w:sz w:val="18"/>
        </w:rPr>
        <w:t>npm run build</w:t>
      </w:r>
      <w:r>
        <w:t>; Vite emitted large-chunk and browser-polyfill warnings, but no build failure.</w:t>
      </w:r>
    </w:p>
    <w:p>
      <w:pPr>
        <w:pStyle w:val="ListBullet"/>
      </w:pPr>
      <w:r>
        <w:t xml:space="preserve">Smart-contract tests passed with </w:t>
      </w:r>
      <w:r>
        <w:rPr>
          <w:rFonts w:ascii="Courier New" w:hAnsi="Courier New"/>
          <w:sz w:val="18"/>
        </w:rPr>
        <w:t>53 passing</w:t>
      </w:r>
      <w:r>
        <w:t>.</w:t>
      </w:r>
    </w:p>
    <w:p>
      <w:pPr>
        <w:pStyle w:val="ListBullet"/>
      </w:pPr>
      <w:r>
        <w:t xml:space="preserve">Live repo is on </w:t>
      </w:r>
      <w:r>
        <w:rPr>
          <w:rFonts w:ascii="Courier New" w:hAnsi="Courier New"/>
          <w:sz w:val="18"/>
        </w:rPr>
        <w:t>main</w:t>
      </w:r>
      <w:r>
        <w:t xml:space="preserve"> after the Alchemy multi-signing-key update.</w:t>
      </w:r>
    </w:p>
    <w:p>
      <w:pPr>
        <w:pStyle w:val="ListBullet"/>
      </w:pPr>
      <w:r>
        <w:rPr>
          <w:rFonts w:ascii="Courier New" w:hAnsi="Courier New"/>
          <w:sz w:val="18"/>
        </w:rPr>
        <w:t>ALCHEMY_WEBHOOK_SIGNING_KEYS</w:t>
      </w:r>
      <w:r>
        <w:t xml:space="preserve"> is now supported as comma-separated keys for multiple Alchemy webhooks.</w:t>
      </w:r>
    </w:p>
    <w:p>
      <w:pPr>
        <w:pStyle w:val="Heading2"/>
      </w:pPr>
      <w:r>
        <w:t>Must be done before claiming “100% public launch”</w:t>
      </w:r>
    </w:p>
    <w:p>
      <w:pPr>
        <w:pStyle w:val="ListNumber"/>
      </w:pPr>
      <w:r>
        <w:rPr>
          <w:b/>
        </w:rPr>
        <w:t>Run the production data ingestion jobs.</w:t>
      </w:r>
      <w:r>
        <w:t xml:space="preserve"> The scripts exist, but production data is not in the database until the deployed backend runs </w:t>
      </w:r>
      <w:r>
        <w:rPr>
          <w:rFonts w:ascii="Courier New" w:hAnsi="Courier New"/>
          <w:sz w:val="18"/>
        </w:rPr>
        <w:t>ingest-ofac-sdn-crypto.js</w:t>
      </w:r>
      <w:r>
        <w:t xml:space="preserve">, </w:t>
      </w:r>
      <w:r>
        <w:rPr>
          <w:rFonts w:ascii="Courier New" w:hAnsi="Courier New"/>
          <w:sz w:val="18"/>
        </w:rPr>
        <w:t>ingest-public-sanctions-lists.js</w:t>
      </w:r>
      <w:r>
        <w:t xml:space="preserve">, </w:t>
      </w:r>
      <w:r>
        <w:rPr>
          <w:rFonts w:ascii="Courier New" w:hAnsi="Courier New"/>
          <w:sz w:val="18"/>
        </w:rPr>
        <w:t>ingest-curated-risk-labels.js</w:t>
      </w:r>
      <w:r>
        <w:t>, and targeted Alchemy backfills. Code without populated data still produces sparse scores.</w:t>
      </w:r>
    </w:p>
    <w:p>
      <w:pPr>
        <w:pStyle w:val="ListNumber"/>
      </w:pPr>
      <w:r>
        <w:rPr>
          <w:b/>
        </w:rPr>
        <w:t>Schedule recurring ingestion.</w:t>
      </w:r>
      <w:r>
        <w:t xml:space="preserve"> Add Render Cron jobs or another scheduler for sanctions refresh, curated-label refresh, graph backfills, and Shield monitoring. Manual one-off ingestion is not enough for a public security product.</w:t>
      </w:r>
    </w:p>
    <w:p>
      <w:pPr>
        <w:pStyle w:val="ListNumber"/>
      </w:pPr>
      <w:r>
        <w:rPr>
          <w:b/>
        </w:rPr>
        <w:t>Confirm production env vars after deploy.</w:t>
      </w:r>
      <w:r>
        <w:t xml:space="preserve"> Required backend values include </w:t>
      </w:r>
      <w:r>
        <w:rPr>
          <w:rFonts w:ascii="Courier New" w:hAnsi="Courier New"/>
          <w:sz w:val="18"/>
        </w:rPr>
        <w:t>DATABASE_URL</w:t>
      </w:r>
      <w:r>
        <w:t xml:space="preserve">, </w:t>
      </w:r>
      <w:r>
        <w:rPr>
          <w:rFonts w:ascii="Courier New" w:hAnsi="Courier New"/>
          <w:sz w:val="18"/>
        </w:rPr>
        <w:t>DATABASE_CA_CERT</w:t>
      </w:r>
      <w:r>
        <w:t xml:space="preserve"> or trusted CA behavior, </w:t>
      </w:r>
      <w:r>
        <w:rPr>
          <w:rFonts w:ascii="Courier New" w:hAnsi="Courier New"/>
          <w:sz w:val="18"/>
        </w:rPr>
        <w:t>ADMIN_KEY</w:t>
      </w:r>
      <w:r>
        <w:t xml:space="preserve">, </w:t>
      </w:r>
      <w:r>
        <w:rPr>
          <w:rFonts w:ascii="Courier New" w:hAnsi="Courier New"/>
          <w:sz w:val="18"/>
        </w:rPr>
        <w:t>RISK_PROVIDER=internal</w:t>
      </w:r>
      <w:r>
        <w:t xml:space="preserve">, </w:t>
      </w:r>
      <w:r>
        <w:rPr>
          <w:rFonts w:ascii="Courier New" w:hAnsi="Courier New"/>
          <w:sz w:val="18"/>
        </w:rPr>
        <w:t>ALLOW_DEMO_RISK=false</w:t>
      </w:r>
      <w:r>
        <w:t xml:space="preserve">, </w:t>
      </w:r>
      <w:r>
        <w:rPr>
          <w:rFonts w:ascii="Courier New" w:hAnsi="Courier New"/>
          <w:sz w:val="18"/>
        </w:rPr>
        <w:t>ALCHEMY_API_KEY</w:t>
      </w:r>
      <w:r>
        <w:t xml:space="preserve">, </w:t>
      </w:r>
      <w:r>
        <w:rPr>
          <w:rFonts w:ascii="Courier New" w:hAnsi="Courier New"/>
          <w:sz w:val="18"/>
        </w:rPr>
        <w:t>ALCHEMY_WEBHOOK_SIGNING_KEYS</w:t>
      </w:r>
      <w:r>
        <w:t xml:space="preserve">, </w:t>
      </w:r>
      <w:r>
        <w:rPr>
          <w:rFonts w:ascii="Courier New" w:hAnsi="Courier New"/>
          <w:sz w:val="18"/>
        </w:rPr>
        <w:t>SHIELD_EVENT_WEBHOOK_SECRET</w:t>
      </w:r>
      <w:r>
        <w:t>, SMTP mailer values, and payment provider values if payments are public.</w:t>
      </w:r>
    </w:p>
    <w:p>
      <w:pPr>
        <w:pStyle w:val="ListNumber"/>
      </w:pPr>
      <w:r>
        <w:rPr>
          <w:b/>
        </w:rPr>
        <w:t>Run a real webhook test from Alchemy.</w:t>
      </w:r>
      <w:r>
        <w:t xml:space="preserve"> The webhook should return 200, write rows into </w:t>
      </w:r>
      <w:r>
        <w:rPr>
          <w:rFonts w:ascii="Courier New" w:hAnsi="Courier New"/>
          <w:sz w:val="18"/>
        </w:rPr>
        <w:t>risk_graph_edges</w:t>
      </w:r>
      <w:r>
        <w:t>, and reject a tampered request with a bad signature.</w:t>
      </w:r>
    </w:p>
    <w:p>
      <w:pPr>
        <w:pStyle w:val="ListNumber"/>
      </w:pPr>
      <w:r>
        <w:rPr>
          <w:b/>
        </w:rPr>
        <w:t>Keep public copy aligned with authenticated production behavior.</w:t>
      </w:r>
      <w:r>
        <w:t xml:space="preserve"> The Agents page has been updated to describe authenticated org/API-key workflows instead of an unauthenticated public rule-builder. Any future public demo widget should stay clearly labeled as a preview, while authenticated Verify/Compliance checks remain the production compliance surface.</w:t>
      </w:r>
    </w:p>
    <w:p>
      <w:pPr>
        <w:pStyle w:val="ListNumber"/>
      </w:pPr>
      <w:r>
        <w:rPr>
          <w:b/>
        </w:rPr>
        <w:t>Decide what to do with public demo endpoints.</w:t>
      </w:r>
      <w:r>
        <w:t xml:space="preserve"> </w:t>
      </w:r>
      <w:r>
        <w:rPr>
          <w:rFonts w:ascii="Courier New" w:hAnsi="Courier New"/>
          <w:sz w:val="18"/>
        </w:rPr>
        <w:t>/v1/verify/demo</w:t>
      </w:r>
      <w:r>
        <w:t xml:space="preserve">, </w:t>
      </w:r>
      <w:r>
        <w:rPr>
          <w:rFonts w:ascii="Courier New" w:hAnsi="Courier New"/>
          <w:sz w:val="18"/>
        </w:rPr>
        <w:t>/v1/compliance/demo-score</w:t>
      </w:r>
      <w:r>
        <w:t>, and the landing-page mini wallet demo are still acceptable as demos if clearly labeled, but they must not be marketed as live compliance decisions.</w:t>
      </w:r>
    </w:p>
    <w:p>
      <w:pPr>
        <w:pStyle w:val="ListNumber"/>
      </w:pPr>
      <w:r>
        <w:rPr>
          <w:b/>
        </w:rPr>
        <w:t>Persist Shield waitlist submissions.</w:t>
      </w:r>
      <w:r>
        <w:t xml:space="preserve"> The Shield waitlist currently emails requests but does not persist them to a dedicated waitlist table. That is acceptable for private beta, but fragile for a public campaign.</w:t>
      </w:r>
    </w:p>
    <w:p>
      <w:pPr>
        <w:pStyle w:val="ListNumber"/>
      </w:pPr>
      <w:r>
        <w:rPr>
          <w:b/>
        </w:rPr>
        <w:t>Deepen Shield watchers.</w:t>
      </w:r>
      <w:r>
        <w:t xml:space="preserve"> Current Shield coverage includes alerts/incidents/action rules and monitored on-chain events, but a full security SaaS still needs ownership/admin-change detection, proxy implementation monitoring, ABI-aware privileged function detection, ERC approval/transfer anomaly detection, and vulnerability scanning workflow.</w:t>
      </w:r>
    </w:p>
    <w:p>
      <w:pPr>
        <w:pStyle w:val="ListNumber"/>
      </w:pPr>
      <w:r>
        <w:rPr>
          <w:b/>
        </w:rPr>
        <w:t>Protect admin surfaces.</w:t>
      </w:r>
      <w:r>
        <w:t xml:space="preserve"> Several admin APIs rely on </w:t>
      </w:r>
      <w:r>
        <w:rPr>
          <w:rFonts w:ascii="Courier New" w:hAnsi="Courier New"/>
          <w:sz w:val="18"/>
        </w:rPr>
        <w:t>X-Admin-Key</w:t>
      </w:r>
      <w:r>
        <w:t>. For beta this can work if the key is strong and private, but public launch should move to authenticated org/admin accounts with role-based access and audit logs.</w:t>
      </w:r>
    </w:p>
    <w:p>
      <w:pPr>
        <w:pStyle w:val="ListNumber"/>
      </w:pPr>
      <w:r>
        <w:rPr>
          <w:b/>
        </w:rPr>
        <w:t>RWA remains pre-production.</w:t>
      </w:r>
      <w:r>
        <w:t xml:space="preserve"> Contracts pass tests, but real securities use still requires counsel-approved rules, Safe/multisig addresses on Base/Arbitrum/Polygon/Avalanche, KYC/accreditation provider integration, final deployment scripts, production identity/risk oracle operators, and a fresh post-configuration security re-review.</w:t>
      </w:r>
    </w:p>
    <w:p>
      <w:pPr>
        <w:pStyle w:val="Heading2"/>
      </w:pPr>
      <w:r>
        <w:t>Recommended production cron jobs</w:t>
      </w:r>
    </w:p>
    <w:p>
      <w:r>
        <w:t xml:space="preserve">Run these from </w:t>
      </w:r>
      <w:r>
        <w:rPr>
          <w:rFonts w:ascii="Courier New" w:hAnsi="Courier New"/>
          <w:sz w:val="18"/>
        </w:rPr>
        <w:t>backend</w:t>
      </w:r>
      <w:r>
        <w:t xml:space="preserve"> after the latest deploy:</w:t>
      </w:r>
    </w:p>
    <w:p>
      <w:pPr>
        <w:shd w:fill="F3F6FA"/>
      </w:pPr>
      <w:r>
        <w:rPr>
          <w:rFonts w:ascii="Courier New" w:hAnsi="Courier New"/>
          <w:sz w:val="17"/>
        </w:rPr>
        <w:t>node src/scripts/ingest-ofac-sdn-crypto.js</w:t>
        <w:br/>
        <w:t>node src/scripts/ingest-public-sanctions-lists.js</w:t>
        <w:br/>
        <w:t>node src/scripts/ingest-curated-risk-labels.js</w:t>
        <w:br/>
        <w:t>node src/scripts/calibrate-risk-scoring.js</w:t>
      </w:r>
    </w:p>
    <w:p>
      <w:r>
        <w:t>Recommended schedule:</w:t>
      </w:r>
    </w:p>
    <w:p>
      <w:pPr>
        <w:pStyle w:val="ListBullet"/>
      </w:pPr>
      <w:r>
        <w:t>OFAC + public sanctions: every 6–12 hours.</w:t>
      </w:r>
    </w:p>
    <w:p>
      <w:pPr>
        <w:pStyle w:val="ListBullet"/>
      </w:pPr>
      <w:r>
        <w:t>Curated labels: every deploy or every hour if the JSON is managed through internal review tooling.</w:t>
      </w:r>
    </w:p>
    <w:p>
      <w:pPr>
        <w:pStyle w:val="ListBullet"/>
      </w:pPr>
      <w:r>
        <w:t>Calibration: after every label/weight change and before major sales demos.</w:t>
      </w:r>
    </w:p>
    <w:p>
      <w:pPr>
        <w:pStyle w:val="ListBullet"/>
      </w:pPr>
      <w:r>
        <w:t>Alchemy backfills: per onboarded address/contract, then periodically for gaps.</w:t>
      </w:r>
    </w:p>
    <w:p>
      <w:pPr>
        <w:pStyle w:val="ListBullet"/>
      </w:pPr>
      <w:r>
        <w:t>Shield monitor: every 5–15 minutes until event-driven watchers replace polling.</w:t>
      </w:r>
    </w:p>
    <w:p>
      <w:pPr>
        <w:pStyle w:val="Heading2"/>
      </w:pPr>
      <w:r>
        <w:t>Alchemy production checklist</w:t>
      </w:r>
    </w:p>
    <w:p>
      <w:pPr>
        <w:pStyle w:val="ListBullet"/>
      </w:pPr>
      <w:r>
        <w:t>Create one Address Activity webhook per chain.</w:t>
      </w:r>
    </w:p>
    <w:p>
      <w:pPr>
        <w:pStyle w:val="ListBullet"/>
      </w:pPr>
      <w:r>
        <w:t>Add the chain-specific DecaFlow router address and any customer/pilot addresses for that chain.</w:t>
      </w:r>
    </w:p>
    <w:p>
      <w:pPr>
        <w:pStyle w:val="ListBullet"/>
      </w:pPr>
      <w:r>
        <w:t xml:space="preserve">Point every webhook to </w:t>
      </w:r>
      <w:r>
        <w:rPr>
          <w:rFonts w:ascii="Courier New" w:hAnsi="Courier New"/>
          <w:sz w:val="18"/>
        </w:rPr>
        <w:t>/v1/risk/webhooks/alchemy</w:t>
      </w:r>
      <w:r>
        <w:t>.</w:t>
      </w:r>
    </w:p>
    <w:p>
      <w:pPr>
        <w:pStyle w:val="ListBullet"/>
      </w:pPr>
      <w:r>
        <w:t xml:space="preserve">Store all webhook signing keys in </w:t>
      </w:r>
      <w:r>
        <w:rPr>
          <w:rFonts w:ascii="Courier New" w:hAnsi="Courier New"/>
          <w:sz w:val="18"/>
        </w:rPr>
        <w:t>ALCHEMY_WEBHOOK_SIGNING_KEYS</w:t>
      </w:r>
      <w:r>
        <w:t>, comma-separated, no spaces.</w:t>
      </w:r>
    </w:p>
    <w:p>
      <w:pPr>
        <w:pStyle w:val="ListBullet"/>
      </w:pPr>
      <w:r>
        <w:t xml:space="preserve">Store the app key in </w:t>
      </w:r>
      <w:r>
        <w:rPr>
          <w:rFonts w:ascii="Courier New" w:hAnsi="Courier New"/>
          <w:sz w:val="18"/>
        </w:rPr>
        <w:t>ALCHEMY_API_KEY</w:t>
      </w:r>
      <w:r>
        <w:t>.</w:t>
      </w:r>
    </w:p>
    <w:p>
      <w:pPr>
        <w:pStyle w:val="ListBullet"/>
      </w:pPr>
      <w:r>
        <w:t xml:space="preserve">Send test webhooks and verify rows appear in </w:t>
      </w:r>
      <w:r>
        <w:rPr>
          <w:rFonts w:ascii="Courier New" w:hAnsi="Courier New"/>
          <w:sz w:val="18"/>
        </w:rPr>
        <w:t>risk_graph_edges</w:t>
      </w:r>
      <w:r>
        <w:t>.</w:t>
      </w:r>
    </w:p>
    <w:p>
      <w:pPr>
        <w:pStyle w:val="ListBullet"/>
      </w:pPr>
      <w:r>
        <w:t>Confirm bad signatures return 401.</w:t>
      </w:r>
    </w:p>
    <w:p>
      <w:pPr>
        <w:pStyle w:val="Heading1"/>
      </w:pPr>
      <w:r>
        <w:t>Immediate hardening update — production DB, Shield scanner, and admin keys</w:t>
      </w:r>
    </w:p>
    <w:p>
      <w:pPr>
        <w:pStyle w:val="Heading2"/>
      </w:pPr>
      <w:r>
        <w:t>Production DB ingestion runbook</w:t>
      </w:r>
    </w:p>
    <w:p>
      <w:r>
        <w:t xml:space="preserve">Run the ingestion jobs from the deployed backend environment so they use Render’s production </w:t>
      </w:r>
      <w:r>
        <w:rPr>
          <w:rFonts w:ascii="Courier New" w:hAnsi="Courier New"/>
          <w:sz w:val="18"/>
        </w:rPr>
        <w:t>DATABASE_URL</w:t>
      </w:r>
      <w:r>
        <w:t xml:space="preserve">, </w:t>
      </w:r>
      <w:r>
        <w:rPr>
          <w:rFonts w:ascii="Courier New" w:hAnsi="Courier New"/>
          <w:sz w:val="18"/>
        </w:rPr>
        <w:t>DATABASE_CA_CERT</w:t>
      </w:r>
      <w:r>
        <w:t>, Alchemy key, and the same network settings as the API.</w:t>
      </w:r>
    </w:p>
    <w:p>
      <w:r>
        <w:t>Preferred Render path:</w:t>
      </w:r>
    </w:p>
    <w:p>
      <w:pPr>
        <w:pStyle w:val="ListNumber"/>
      </w:pPr>
      <w:r>
        <w:t>Open Render dashboard.</w:t>
      </w:r>
    </w:p>
    <w:p>
      <w:pPr>
        <w:pStyle w:val="ListNumber"/>
      </w:pPr>
      <w:r>
        <w:t>Open the DecaFlow backend service.</w:t>
      </w:r>
    </w:p>
    <w:p>
      <w:pPr>
        <w:pStyle w:val="ListNumber"/>
      </w:pPr>
      <w:r>
        <w:t xml:space="preserve">Make sure the latest </w:t>
      </w:r>
      <w:r>
        <w:rPr>
          <w:rFonts w:ascii="Courier New" w:hAnsi="Courier New"/>
          <w:sz w:val="18"/>
        </w:rPr>
        <w:t>main</w:t>
      </w:r>
      <w:r>
        <w:t xml:space="preserve"> deploy is live.</w:t>
      </w:r>
    </w:p>
    <w:p>
      <w:pPr>
        <w:pStyle w:val="ListNumber"/>
      </w:pPr>
      <w:r>
        <w:t xml:space="preserve">Open </w:t>
      </w:r>
      <w:r>
        <w:rPr>
          <w:b/>
        </w:rPr>
        <w:t>Shell</w:t>
      </w:r>
      <w:r>
        <w:t xml:space="preserve"> if enabled, or create a </w:t>
      </w:r>
      <w:r>
        <w:rPr>
          <w:b/>
        </w:rPr>
        <w:t>Render Job/Cron Job</w:t>
      </w:r>
      <w:r>
        <w:t xml:space="preserve"> using the same repo and environment group.</w:t>
      </w:r>
    </w:p>
    <w:p>
      <w:pPr>
        <w:pStyle w:val="ListNumber"/>
      </w:pPr>
      <w:r>
        <w:t xml:space="preserve">Set the command working directory to </w:t>
      </w:r>
      <w:r>
        <w:rPr>
          <w:rFonts w:ascii="Courier New" w:hAnsi="Courier New"/>
          <w:sz w:val="18"/>
        </w:rPr>
        <w:t>affidexlab/new/backend</w:t>
      </w:r>
      <w:r>
        <w:t xml:space="preserve"> if Render checks out the repo root.</w:t>
      </w:r>
    </w:p>
    <w:p>
      <w:pPr>
        <w:pStyle w:val="ListNumber"/>
      </w:pPr>
      <w:r>
        <w:t>Run:</w:t>
      </w:r>
    </w:p>
    <w:p>
      <w:pPr>
        <w:shd w:fill="F3F6FA"/>
      </w:pPr>
      <w:r>
        <w:rPr>
          <w:rFonts w:ascii="Courier New" w:hAnsi="Courier New"/>
          <w:sz w:val="17"/>
        </w:rPr>
        <w:t>npm run ingest:ofac</w:t>
        <w:br/>
        <w:t>npm run ingest:sanctions</w:t>
        <w:br/>
        <w:t>npm run ingest:curated</w:t>
        <w:br/>
        <w:t>npm run risk:calibrate</w:t>
      </w:r>
    </w:p>
    <w:p>
      <w:r>
        <w:t>If Render Shell is unavailable, create one-off Render Jobs with these commands:</w:t>
      </w:r>
    </w:p>
    <w:p>
      <w:pPr>
        <w:shd w:fill="F3F6FA"/>
      </w:pPr>
      <w:r>
        <w:rPr>
          <w:rFonts w:ascii="Courier New" w:hAnsi="Courier New"/>
          <w:sz w:val="17"/>
        </w:rPr>
        <w:t>cd affidexlab/new/backend &amp;&amp; npm ci &amp;&amp; npm run ingest:ofac</w:t>
        <w:br/>
        <w:t>cd affidexlab/new/backend &amp;&amp; npm ci &amp;&amp; npm run ingest:sanctions</w:t>
        <w:br/>
        <w:t>cd affidexlab/new/backend &amp;&amp; npm ci &amp;&amp; npm run ingest:curated</w:t>
        <w:br/>
        <w:t>cd affidexlab/new/backend &amp;&amp; npm ci &amp;&amp; npm run risk:calibrate</w:t>
      </w:r>
    </w:p>
    <w:p>
      <w:r>
        <w:t xml:space="preserve">Local execution against production is possible but less safe. Only do it from a trusted machine, then export production </w:t>
      </w:r>
      <w:r>
        <w:rPr>
          <w:rFonts w:ascii="Courier New" w:hAnsi="Courier New"/>
          <w:sz w:val="18"/>
        </w:rPr>
        <w:t>DATABASE_URL</w:t>
      </w:r>
      <w:r>
        <w:t xml:space="preserve"> and </w:t>
      </w:r>
      <w:r>
        <w:rPr>
          <w:rFonts w:ascii="Courier New" w:hAnsi="Courier New"/>
          <w:sz w:val="18"/>
        </w:rPr>
        <w:t>DATABASE_CA_CERT</w:t>
      </w:r>
      <w:r>
        <w:t xml:space="preserve"> exactly as Render has them before running the same commands.</w:t>
      </w:r>
    </w:p>
    <w:p>
      <w:pPr>
        <w:pStyle w:val="Heading2"/>
      </w:pPr>
      <w:r>
        <w:t>Shield security scanner now added</w:t>
      </w:r>
    </w:p>
    <w:p>
      <w:r>
        <w:t xml:space="preserve">Shield now includes </w:t>
      </w:r>
      <w:r>
        <w:rPr>
          <w:rFonts w:ascii="Courier New" w:hAnsi="Courier New"/>
          <w:sz w:val="18"/>
        </w:rPr>
        <w:t>shieldSecurityScanner.js</w:t>
      </w:r>
      <w:r>
        <w:t xml:space="preserve"> plus </w:t>
      </w:r>
      <w:r>
        <w:rPr>
          <w:rFonts w:ascii="Courier New" w:hAnsi="Courier New"/>
          <w:sz w:val="18"/>
        </w:rPr>
        <w:t>npm run shield:scan-security</w:t>
      </w:r>
      <w:r>
        <w:t>. It watches active Shield contracts and DecaFlow dogfood contracts for:</w:t>
      </w:r>
    </w:p>
    <w:p>
      <w:pPr>
        <w:pStyle w:val="ListBullet"/>
      </w:pPr>
      <w:r>
        <w:t>Ownership transfer events.</w:t>
      </w:r>
    </w:p>
    <w:p>
      <w:pPr>
        <w:pStyle w:val="ListBullet"/>
      </w:pPr>
      <w:r>
        <w:t>Role grants and revocations.</w:t>
      </w:r>
    </w:p>
    <w:p>
      <w:pPr>
        <w:pStyle w:val="ListBullet"/>
      </w:pPr>
      <w:r>
        <w:t>Proxy implementation upgrades.</w:t>
      </w:r>
    </w:p>
    <w:p>
      <w:pPr>
        <w:pStyle w:val="ListBullet"/>
      </w:pPr>
      <w:r>
        <w:t>Proxy admin changes.</w:t>
      </w:r>
    </w:p>
    <w:p>
      <w:pPr>
        <w:pStyle w:val="ListBullet"/>
      </w:pPr>
      <w:r>
        <w:t>ERC-20 approval events.</w:t>
      </w:r>
    </w:p>
    <w:p>
      <w:pPr>
        <w:pStyle w:val="ListBullet"/>
      </w:pPr>
      <w:r>
        <w:t>ERC-721/ERC-1155 approval-for-all events.</w:t>
      </w:r>
    </w:p>
    <w:p>
      <w:pPr>
        <w:pStyle w:val="ListBullet"/>
      </w:pPr>
      <w:r>
        <w:t>Transfer events emitted by watched contracts.</w:t>
      </w:r>
    </w:p>
    <w:p>
      <w:pPr>
        <w:pStyle w:val="ListBullet"/>
      </w:pPr>
      <w:r>
        <w:t>Runtime bytecode hash changes.</w:t>
      </w:r>
    </w:p>
    <w:p>
      <w:r>
        <w:t>Run it manually through the admin endpoint:</w:t>
      </w:r>
    </w:p>
    <w:p>
      <w:pPr>
        <w:shd w:fill="F3F6FA"/>
      </w:pPr>
      <w:r>
        <w:rPr>
          <w:rFonts w:ascii="Courier New" w:hAnsi="Courier New"/>
          <w:sz w:val="17"/>
        </w:rPr>
        <w:t>curl -X POST https://decaflow-backend.onrender.com/v1/shield/scan/security \</w:t>
        <w:br/>
        <w:t xml:space="preserve">  -H "Content-Type: application/json" \</w:t>
        <w:br/>
        <w:t xml:space="preserve">  -H "Authorization: Bearer $DECAFLOW_ADMIN_API_KEY" \</w:t>
        <w:br/>
        <w:t xml:space="preserve">  -d '{}'</w:t>
      </w:r>
    </w:p>
    <w:p>
      <w:r>
        <w:t>Or schedule it as a Render Cron Job:</w:t>
      </w:r>
    </w:p>
    <w:p>
      <w:pPr>
        <w:shd w:fill="F3F6FA"/>
      </w:pPr>
      <w:r>
        <w:rPr>
          <w:rFonts w:ascii="Courier New" w:hAnsi="Courier New"/>
          <w:sz w:val="17"/>
        </w:rPr>
        <w:t>cd affidexlab/new/backend &amp;&amp; npm ci &amp;&amp; npm run shield:scan-security</w:t>
      </w:r>
    </w:p>
    <w:p>
      <w:r>
        <w:t>Required RPC env vars:</w:t>
      </w:r>
    </w:p>
    <w:p>
      <w:pPr>
        <w:pStyle w:val="ListBullet"/>
      </w:pPr>
      <w:r>
        <w:rPr>
          <w:rFonts w:ascii="Courier New" w:hAnsi="Courier New"/>
          <w:sz w:val="18"/>
        </w:rPr>
        <w:t>RPC_ARBITRUM</w:t>
      </w:r>
    </w:p>
    <w:p>
      <w:pPr>
        <w:pStyle w:val="ListBullet"/>
      </w:pPr>
      <w:r>
        <w:rPr>
          <w:rFonts w:ascii="Courier New" w:hAnsi="Courier New"/>
          <w:sz w:val="18"/>
        </w:rPr>
        <w:t>RPC_BASE</w:t>
      </w:r>
    </w:p>
    <w:p>
      <w:pPr>
        <w:pStyle w:val="ListBullet"/>
      </w:pPr>
      <w:r>
        <w:rPr>
          <w:rFonts w:ascii="Courier New" w:hAnsi="Courier New"/>
          <w:sz w:val="18"/>
        </w:rPr>
        <w:t>RPC_POLYGON</w:t>
      </w:r>
    </w:p>
    <w:p>
      <w:pPr>
        <w:pStyle w:val="ListBullet"/>
      </w:pPr>
      <w:r>
        <w:rPr>
          <w:rFonts w:ascii="Courier New" w:hAnsi="Courier New"/>
          <w:sz w:val="18"/>
        </w:rPr>
        <w:t>RPC_AVALANCHE</w:t>
      </w:r>
    </w:p>
    <w:p>
      <w:pPr>
        <w:pStyle w:val="ListBullet"/>
      </w:pPr>
      <w:r>
        <w:t xml:space="preserve">Optional: </w:t>
      </w:r>
      <w:r>
        <w:rPr>
          <w:rFonts w:ascii="Courier New" w:hAnsi="Courier New"/>
          <w:sz w:val="18"/>
        </w:rPr>
        <w:t>RPC_ETHEREUM</w:t>
      </w:r>
      <w:r>
        <w:t xml:space="preserve">, </w:t>
      </w:r>
      <w:r>
        <w:rPr>
          <w:rFonts w:ascii="Courier New" w:hAnsi="Courier New"/>
          <w:sz w:val="18"/>
        </w:rPr>
        <w:t>RPC_OPTIMISM</w:t>
      </w:r>
    </w:p>
    <w:p>
      <w:pPr>
        <w:pStyle w:val="Heading2"/>
      </w:pPr>
      <w:r>
        <w:t>Admin key upgrade</w:t>
      </w:r>
    </w:p>
    <w:p>
      <w:r>
        <w:t xml:space="preserve">Admin APIs now support hashed scoped admin keys, while the old </w:t>
      </w:r>
      <w:r>
        <w:rPr>
          <w:rFonts w:ascii="Courier New" w:hAnsi="Courier New"/>
          <w:sz w:val="18"/>
        </w:rPr>
        <w:t>ADMIN_KEY</w:t>
      </w:r>
      <w:r>
        <w:t xml:space="preserve"> remains as a temporary fallback. Create a production admin key from Render Shell or a one-off job:</w:t>
      </w:r>
    </w:p>
    <w:p>
      <w:pPr>
        <w:shd w:fill="F3F6FA"/>
      </w:pPr>
      <w:r>
        <w:rPr>
          <w:rFonts w:ascii="Courier New" w:hAnsi="Courier New"/>
          <w:sz w:val="17"/>
        </w:rPr>
        <w:t>cd affidexlab/new/backend</w:t>
        <w:br/>
        <w:t>node src/scripts/create-admin-api-key.js "Launch Admin" "*"</w:t>
      </w:r>
    </w:p>
    <w:p>
      <w:r>
        <w:t xml:space="preserve">The script prints the raw </w:t>
      </w:r>
      <w:r>
        <w:rPr>
          <w:rFonts w:ascii="Courier New" w:hAnsi="Courier New"/>
          <w:sz w:val="18"/>
        </w:rPr>
        <w:t>df_admin_...</w:t>
      </w:r>
      <w:r>
        <w:t xml:space="preserve"> key once. Store it in a password manager. Use it as:</w:t>
      </w:r>
    </w:p>
    <w:p>
      <w:pPr>
        <w:shd w:fill="F3F6FA"/>
      </w:pPr>
      <w:r>
        <w:rPr>
          <w:rFonts w:ascii="Courier New" w:hAnsi="Courier New"/>
          <w:sz w:val="17"/>
        </w:rPr>
        <w:t>Authorization: Bearer df_admin_...</w:t>
      </w:r>
    </w:p>
    <w:p>
      <w:r>
        <w:t xml:space="preserve">After confirming the new key works, remove or rotate the legacy </w:t>
      </w:r>
      <w:r>
        <w:rPr>
          <w:rFonts w:ascii="Courier New" w:hAnsi="Courier New"/>
          <w:sz w:val="18"/>
        </w:rPr>
        <w:t>ADMIN_KEY</w:t>
      </w:r>
      <w:r>
        <w:t xml:space="preserve">. The database stores only the SHA-256 hash and logs admin attempts to </w:t>
      </w:r>
      <w:r>
        <w:rPr>
          <w:rFonts w:ascii="Courier New" w:hAnsi="Courier New"/>
          <w:sz w:val="18"/>
        </w:rPr>
        <w:t>admin_audit_logs</w:t>
      </w:r>
      <w:r>
        <w:t>.</w:t>
      </w:r>
    </w:p>
    <w:p>
      <w:pPr>
        <w:pStyle w:val="Heading1"/>
      </w:pPr>
      <w:r>
        <w:t>Render Shell alternative — GitHub Actions ops runner</w:t>
      </w:r>
    </w:p>
    <w:p>
      <w:r>
        <w:t>Render Shell is not required. The repo now includes GitHub Actions workflows that run production operations against the production database using GitHub encrypted secrets:</w:t>
      </w:r>
    </w:p>
    <w:p>
      <w:pPr>
        <w:pStyle w:val="ListBullet"/>
      </w:pPr>
      <w:r>
        <w:rPr>
          <w:rFonts w:ascii="Courier New" w:hAnsi="Courier New"/>
          <w:sz w:val="18"/>
        </w:rPr>
        <w:t>.github/workflows/production-risk-ingestion.yml</w:t>
      </w:r>
      <w:r>
        <w:t xml:space="preserve"> runs OFAC, public sanctions, public scam/phishing feeds, curated labels, and calibration every 6 hours, and can also be triggered manually from the GitHub Actions tab.</w:t>
      </w:r>
    </w:p>
    <w:p>
      <w:pPr>
        <w:pStyle w:val="ListBullet"/>
      </w:pPr>
      <w:r>
        <w:rPr>
          <w:rFonts w:ascii="Courier New" w:hAnsi="Courier New"/>
          <w:sz w:val="18"/>
        </w:rPr>
        <w:t>.github/workflows/shield-monitor.yml</w:t>
      </w:r>
      <w:r>
        <w:t xml:space="preserve"> runs the Shield balance monitor plus the Shield security scanner every 15 minutes.</w:t>
      </w:r>
    </w:p>
    <w:p>
      <w:r>
        <w:t>Required GitHub repository secrets:</w:t>
      </w:r>
    </w:p>
    <w:p>
      <w:pPr>
        <w:pStyle w:val="ListBullet"/>
      </w:pPr>
      <w:r>
        <w:rPr>
          <w:rFonts w:ascii="Courier New" w:hAnsi="Courier New"/>
          <w:sz w:val="18"/>
        </w:rPr>
        <w:t>DATABASE_URL</w:t>
      </w:r>
    </w:p>
    <w:p>
      <w:pPr>
        <w:pStyle w:val="ListBullet"/>
      </w:pPr>
      <w:r>
        <w:rPr>
          <w:rFonts w:ascii="Courier New" w:hAnsi="Courier New"/>
          <w:sz w:val="18"/>
        </w:rPr>
        <w:t>DATABASE_CA_CERT</w:t>
      </w:r>
    </w:p>
    <w:p>
      <w:pPr>
        <w:pStyle w:val="ListBullet"/>
      </w:pPr>
      <w:r>
        <w:rPr>
          <w:rFonts w:ascii="Courier New" w:hAnsi="Courier New"/>
          <w:sz w:val="18"/>
        </w:rPr>
        <w:t>ALCHEMY_API_KEY</w:t>
      </w:r>
    </w:p>
    <w:p>
      <w:pPr>
        <w:pStyle w:val="ListBullet"/>
      </w:pPr>
      <w:r>
        <w:rPr>
          <w:rFonts w:ascii="Courier New" w:hAnsi="Courier New"/>
          <w:sz w:val="18"/>
        </w:rPr>
        <w:t>RPC_ARBITRUM</w:t>
      </w:r>
    </w:p>
    <w:p>
      <w:pPr>
        <w:pStyle w:val="ListBullet"/>
      </w:pPr>
      <w:r>
        <w:rPr>
          <w:rFonts w:ascii="Courier New" w:hAnsi="Courier New"/>
          <w:sz w:val="18"/>
        </w:rPr>
        <w:t>RPC_BASE</w:t>
      </w:r>
    </w:p>
    <w:p>
      <w:pPr>
        <w:pStyle w:val="ListBullet"/>
      </w:pPr>
      <w:r>
        <w:rPr>
          <w:rFonts w:ascii="Courier New" w:hAnsi="Courier New"/>
          <w:sz w:val="18"/>
        </w:rPr>
        <w:t>RPC_POLYGON</w:t>
      </w:r>
    </w:p>
    <w:p>
      <w:pPr>
        <w:pStyle w:val="ListBullet"/>
      </w:pPr>
      <w:r>
        <w:rPr>
          <w:rFonts w:ascii="Courier New" w:hAnsi="Courier New"/>
          <w:sz w:val="18"/>
        </w:rPr>
        <w:t>RPC_AVALANCHE</w:t>
      </w:r>
    </w:p>
    <w:p>
      <w:pPr>
        <w:pStyle w:val="ListBullet"/>
      </w:pPr>
      <w:r>
        <w:rPr>
          <w:rFonts w:ascii="Courier New" w:hAnsi="Courier New"/>
          <w:sz w:val="18"/>
        </w:rPr>
        <w:t>SMTP_HOST</w:t>
      </w:r>
    </w:p>
    <w:p>
      <w:pPr>
        <w:pStyle w:val="ListBullet"/>
      </w:pPr>
      <w:r>
        <w:rPr>
          <w:rFonts w:ascii="Courier New" w:hAnsi="Courier New"/>
          <w:sz w:val="18"/>
        </w:rPr>
        <w:t>SMTP_PORT</w:t>
      </w:r>
    </w:p>
    <w:p>
      <w:pPr>
        <w:pStyle w:val="ListBullet"/>
      </w:pPr>
      <w:r>
        <w:rPr>
          <w:rFonts w:ascii="Courier New" w:hAnsi="Courier New"/>
          <w:sz w:val="18"/>
        </w:rPr>
        <w:t>SMTP_USER</w:t>
      </w:r>
    </w:p>
    <w:p>
      <w:pPr>
        <w:pStyle w:val="ListBullet"/>
      </w:pPr>
      <w:r>
        <w:rPr>
          <w:rFonts w:ascii="Courier New" w:hAnsi="Courier New"/>
          <w:sz w:val="18"/>
        </w:rPr>
        <w:t>SMTP_PASS</w:t>
      </w:r>
    </w:p>
    <w:p>
      <w:pPr>
        <w:pStyle w:val="ListBullet"/>
      </w:pPr>
      <w:r>
        <w:rPr>
          <w:rFonts w:ascii="Courier New" w:hAnsi="Courier New"/>
          <w:sz w:val="18"/>
        </w:rPr>
        <w:t>NOTIFY_EMAIL</w:t>
      </w:r>
    </w:p>
    <w:p>
      <w:pPr>
        <w:pStyle w:val="ListBullet"/>
      </w:pPr>
      <w:r>
        <w:rPr>
          <w:rFonts w:ascii="Courier New" w:hAnsi="Courier New"/>
          <w:sz w:val="18"/>
        </w:rPr>
        <w:t>SHIELD_ALERT_EMAIL</w:t>
      </w:r>
    </w:p>
    <w:p>
      <w:r>
        <w:t>Optional override secrets:</w:t>
      </w:r>
    </w:p>
    <w:p>
      <w:pPr>
        <w:pStyle w:val="ListBullet"/>
      </w:pPr>
      <w:r>
        <w:rPr>
          <w:rFonts w:ascii="Courier New" w:hAnsi="Courier New"/>
          <w:sz w:val="18"/>
        </w:rPr>
        <w:t>RPC_ETHEREUM</w:t>
      </w:r>
    </w:p>
    <w:p>
      <w:pPr>
        <w:pStyle w:val="ListBullet"/>
      </w:pPr>
      <w:r>
        <w:rPr>
          <w:rFonts w:ascii="Courier New" w:hAnsi="Courier New"/>
          <w:sz w:val="18"/>
        </w:rPr>
        <w:t>RPC_OPTIMISM</w:t>
      </w:r>
    </w:p>
    <w:p>
      <w:pPr>
        <w:pStyle w:val="ListBullet"/>
      </w:pPr>
      <w:r>
        <w:rPr>
          <w:rFonts w:ascii="Courier New" w:hAnsi="Courier New"/>
          <w:sz w:val="18"/>
        </w:rPr>
        <w:t>UN_CONSOLIDATED_SANCTIONS_URL</w:t>
      </w:r>
    </w:p>
    <w:p>
      <w:pPr>
        <w:pStyle w:val="ListBullet"/>
      </w:pPr>
      <w:r>
        <w:rPr>
          <w:rFonts w:ascii="Courier New" w:hAnsi="Courier New"/>
          <w:sz w:val="18"/>
        </w:rPr>
        <w:t>EU_CONSOLIDATED_SANCTIONS_URL</w:t>
      </w:r>
    </w:p>
    <w:p>
      <w:pPr>
        <w:pStyle w:val="ListBullet"/>
      </w:pPr>
      <w:r>
        <w:rPr>
          <w:rFonts w:ascii="Courier New" w:hAnsi="Courier New"/>
          <w:sz w:val="18"/>
        </w:rPr>
        <w:t>UK_HMT_CONSOLIDATED_SANCTIONS_URL</w:t>
      </w:r>
    </w:p>
    <w:p>
      <w:r>
        <w:t>How to run manually:</w:t>
      </w:r>
    </w:p>
    <w:p>
      <w:pPr>
        <w:pStyle w:val="ListNumber"/>
      </w:pPr>
      <w:r>
        <w:t>Open GitHub repo.</w:t>
      </w:r>
    </w:p>
    <w:p>
      <w:pPr>
        <w:pStyle w:val="ListNumber"/>
      </w:pPr>
      <w:r>
        <w:t xml:space="preserve">Go to </w:t>
      </w:r>
      <w:r>
        <w:rPr>
          <w:b/>
        </w:rPr>
        <w:t>Actions</w:t>
      </w:r>
      <w:r>
        <w:t>.</w:t>
      </w:r>
    </w:p>
    <w:p>
      <w:pPr>
        <w:pStyle w:val="ListNumber"/>
      </w:pPr>
      <w:r>
        <w:t xml:space="preserve">Open </w:t>
      </w:r>
      <w:r>
        <w:rPr>
          <w:b/>
        </w:rPr>
        <w:t>Production Risk Ingestion</w:t>
      </w:r>
      <w:r>
        <w:t>.</w:t>
      </w:r>
    </w:p>
    <w:p>
      <w:pPr>
        <w:pStyle w:val="ListNumber"/>
      </w:pPr>
      <w:r>
        <w:t xml:space="preserve">Click </w:t>
      </w:r>
      <w:r>
        <w:rPr>
          <w:b/>
        </w:rPr>
        <w:t>Run workflow</w:t>
      </w:r>
      <w:r>
        <w:t>.</w:t>
      </w:r>
    </w:p>
    <w:p>
      <w:pPr>
        <w:pStyle w:val="ListNumber"/>
      </w:pPr>
      <w:r>
        <w:t xml:space="preserve">Choose </w:t>
      </w:r>
      <w:r>
        <w:rPr>
          <w:rFonts w:ascii="Courier New" w:hAnsi="Courier New"/>
          <w:sz w:val="18"/>
        </w:rPr>
        <w:t>all</w:t>
      </w:r>
      <w:r>
        <w:t xml:space="preserve">, </w:t>
      </w:r>
      <w:r>
        <w:rPr>
          <w:rFonts w:ascii="Courier New" w:hAnsi="Courier New"/>
          <w:sz w:val="18"/>
        </w:rPr>
        <w:t>ofac</w:t>
      </w:r>
      <w:r>
        <w:t xml:space="preserve">, </w:t>
      </w:r>
      <w:r>
        <w:rPr>
          <w:rFonts w:ascii="Courier New" w:hAnsi="Courier New"/>
          <w:sz w:val="18"/>
        </w:rPr>
        <w:t>sanctions</w:t>
      </w:r>
      <w:r>
        <w:t xml:space="preserve">, </w:t>
      </w:r>
      <w:r>
        <w:rPr>
          <w:rFonts w:ascii="Courier New" w:hAnsi="Courier New"/>
          <w:sz w:val="18"/>
        </w:rPr>
        <w:t>public-feeds</w:t>
      </w:r>
      <w:r>
        <w:t xml:space="preserve">, </w:t>
      </w:r>
      <w:r>
        <w:rPr>
          <w:rFonts w:ascii="Courier New" w:hAnsi="Courier New"/>
          <w:sz w:val="18"/>
        </w:rPr>
        <w:t>curated</w:t>
      </w:r>
      <w:r>
        <w:t xml:space="preserve">, or </w:t>
      </w:r>
      <w:r>
        <w:rPr>
          <w:rFonts w:ascii="Courier New" w:hAnsi="Courier New"/>
          <w:sz w:val="18"/>
        </w:rPr>
        <w:t>calibrate</w:t>
      </w:r>
      <w:r>
        <w:t>.</w:t>
      </w:r>
    </w:p>
    <w:p>
      <w:pPr>
        <w:pStyle w:val="ListNumber"/>
      </w:pPr>
      <w:r>
        <w:t>Run it and check logs.</w:t>
      </w:r>
    </w:p>
    <w:p>
      <w:r>
        <w:t>This is the best free/low-friction replacement for Render Shell because it uses the same production DB secrets, creates logs, supports scheduling, and avoids exposing production database credentials on a personal laptop.</w:t>
      </w:r>
    </w:p>
    <w:p>
      <w:pPr>
        <w:pStyle w:val="Heading1"/>
      </w:pPr>
      <w:r>
        <w:t>Post-run review update — ingestion and scanner truthfulness</w:t>
      </w:r>
    </w:p>
    <w:p>
      <w:r>
        <w:t>The first successful GitHub Actions run proved the runner can reach production secrets and the database, but the logs showed three operational issues that must be treated as launch blockers, not ignored:</w:t>
      </w:r>
    </w:p>
    <w:p>
      <w:pPr>
        <w:pStyle w:val="ListNumber"/>
      </w:pPr>
      <w:r>
        <w:t xml:space="preserve">OFAC ingestion returned zero labels because OFAC now publishes most crypto addresses in </w:t>
      </w:r>
      <w:r>
        <w:rPr>
          <w:rFonts w:ascii="Courier New" w:hAnsi="Courier New"/>
          <w:sz w:val="18"/>
        </w:rPr>
        <w:t>idList</w:t>
      </w:r>
      <w:r>
        <w:t xml:space="preserve"> fields, not only in remarks. The parser has been updated to read both formats and to fail loudly if it ever finds zero digital-currency labels again.</w:t>
      </w:r>
    </w:p>
    <w:p>
      <w:pPr>
        <w:pStyle w:val="ListNumber"/>
      </w:pPr>
      <w:r>
        <w:t xml:space="preserve">EU sanctions ingestion returned 403 from the default EU endpoint. This requires a proper EU FSF crawler/token URL stored in </w:t>
      </w:r>
      <w:r>
        <w:rPr>
          <w:rFonts w:ascii="Courier New" w:hAnsi="Courier New"/>
          <w:sz w:val="18"/>
        </w:rPr>
        <w:t>EU_CONSOLIDATED_SANCTIONS_URL</w:t>
      </w:r>
      <w:r>
        <w:t>, or the pipeline will now fail instead of pretending partial coverage is complete.</w:t>
      </w:r>
    </w:p>
    <w:p>
      <w:pPr>
        <w:pStyle w:val="ListNumber"/>
      </w:pPr>
      <w:r>
        <w:t xml:space="preserve">The Alchemy free tier limits </w:t>
      </w:r>
      <w:r>
        <w:rPr>
          <w:rFonts w:ascii="Courier New" w:hAnsi="Courier New"/>
          <w:sz w:val="18"/>
        </w:rPr>
        <w:t>eth_getLogs</w:t>
      </w:r>
      <w:r>
        <w:t xml:space="preserve"> requests to a 10-block range. Shield scanner defaults are now set to 10 blocks so scans work on the free tier, but production-grade monitoring should use PAYG/private RPCs or chain-specific indexed webhooks for wider catch-up windows.</w:t>
      </w:r>
    </w:p>
    <w:p>
      <w:r>
        <w:t xml:space="preserve">Calibration now exits non-zero when a known risky/sanctioned calibration case fails, unless deliberately run with </w:t>
      </w:r>
      <w:r>
        <w:rPr>
          <w:rFonts w:ascii="Courier New" w:hAnsi="Courier New"/>
          <w:sz w:val="18"/>
        </w:rPr>
        <w:t>--allow-fail</w:t>
      </w:r>
      <w:r>
        <w:t>. This prevents a green workflow from hiding an ineffective risk dataset.</w:t>
      </w:r>
    </w:p>
    <w:p>
      <w:pPr>
        <w:pStyle w:val="Heading1"/>
      </w:pPr>
      <w:r>
        <w:t>Founder console, checkout, and branding update — 2026-08-08</w:t>
      </w:r>
    </w:p>
    <w:p>
      <w:pPr>
        <w:pStyle w:val="Heading2"/>
      </w:pPr>
      <w:r>
        <w:t>Founder control center</w:t>
      </w:r>
    </w:p>
    <w:p>
      <w:r>
        <w:t xml:space="preserve">DecaFlow now has a behind-the-scenes founder console at </w:t>
      </w:r>
      <w:r>
        <w:rPr>
          <w:rFonts w:ascii="Courier New" w:hAnsi="Courier New"/>
          <w:sz w:val="18"/>
        </w:rPr>
        <w:t>/founder-control</w:t>
      </w:r>
      <w:r>
        <w:t xml:space="preserve">. It is protected by the founder/admin </w:t>
      </w:r>
      <w:r>
        <w:rPr>
          <w:rFonts w:ascii="Courier New" w:hAnsi="Courier New"/>
          <w:sz w:val="18"/>
        </w:rPr>
        <w:t>df_admin_...</w:t>
      </w:r>
      <w:r>
        <w:t xml:space="preserve"> key and lets the founder operate the platform without opening the repository for normal business tasks.</w:t>
      </w:r>
    </w:p>
    <w:p>
      <w:r>
        <w:t>Current console capabilities:</w:t>
      </w:r>
    </w:p>
    <w:p>
      <w:pPr>
        <w:pStyle w:val="ListBullet"/>
      </w:pPr>
      <w:r>
        <w:t>Product control settings for Verify, Compliance, Shield, Agents, Institutional/RWA, Audit, Swap/Bridge, Analytics/MEV, and Staking.</w:t>
      </w:r>
    </w:p>
    <w:p>
      <w:pPr>
        <w:pStyle w:val="ListBullet"/>
      </w:pPr>
      <w:r>
        <w:t xml:space="preserve">Public product gating: </w:t>
      </w:r>
      <w:r>
        <w:rPr>
          <w:rFonts w:ascii="Courier New" w:hAnsi="Courier New"/>
          <w:sz w:val="18"/>
        </w:rPr>
        <w:t>active</w:t>
      </w:r>
      <w:r>
        <w:t xml:space="preserve">, </w:t>
      </w:r>
      <w:r>
        <w:rPr>
          <w:rFonts w:ascii="Courier New" w:hAnsi="Courier New"/>
          <w:sz w:val="18"/>
        </w:rPr>
        <w:t>beta</w:t>
      </w:r>
      <w:r>
        <w:t xml:space="preserve">, </w:t>
      </w:r>
      <w:r>
        <w:rPr>
          <w:rFonts w:ascii="Courier New" w:hAnsi="Courier New"/>
          <w:sz w:val="18"/>
        </w:rPr>
        <w:t>pre-production</w:t>
      </w:r>
      <w:r>
        <w:t xml:space="preserve">, </w:t>
      </w:r>
      <w:r>
        <w:rPr>
          <w:rFonts w:ascii="Courier New" w:hAnsi="Courier New"/>
          <w:sz w:val="18"/>
        </w:rPr>
        <w:t>paused</w:t>
      </w:r>
      <w:r>
        <w:t xml:space="preserve">, </w:t>
      </w:r>
      <w:r>
        <w:rPr>
          <w:rFonts w:ascii="Courier New" w:hAnsi="Courier New"/>
          <w:sz w:val="18"/>
        </w:rPr>
        <w:t>internal-only</w:t>
      </w:r>
      <w:r>
        <w:t xml:space="preserve">, and </w:t>
      </w:r>
      <w:r>
        <w:rPr>
          <w:rFonts w:ascii="Courier New" w:hAnsi="Courier New"/>
          <w:sz w:val="18"/>
        </w:rPr>
        <w:t>accepting customers</w:t>
      </w:r>
      <w:r>
        <w:t xml:space="preserve"> settings now affect public pages through </w:t>
      </w:r>
      <w:r>
        <w:rPr>
          <w:rFonts w:ascii="Courier New" w:hAnsi="Courier New"/>
          <w:sz w:val="18"/>
        </w:rPr>
        <w:t>ProductGate</w:t>
      </w:r>
      <w:r>
        <w:t>.</w:t>
      </w:r>
    </w:p>
    <w:p>
      <w:pPr>
        <w:pStyle w:val="ListBullet"/>
      </w:pPr>
      <w:r>
        <w:t>Founder/customer overview counts and recent operational records.</w:t>
      </w:r>
    </w:p>
    <w:p>
      <w:pPr>
        <w:pStyle w:val="ListBullet"/>
      </w:pPr>
      <w:r>
        <w:t>Customer and payment views across orgs, Shield, Agents, Institutional, Verify, Compliance, and Audit.</w:t>
      </w:r>
    </w:p>
    <w:p>
      <w:pPr>
        <w:pStyle w:val="ListBullet"/>
      </w:pPr>
      <w:r>
        <w:t>Organization/customer creation with org-scoped API keys.</w:t>
      </w:r>
    </w:p>
    <w:p>
      <w:pPr>
        <w:pStyle w:val="ListBullet"/>
      </w:pPr>
      <w:r>
        <w:t>Free founder test-customer access across Verify, Compliance, Shield, Agents, Institutional/RWA, and Audit without payment.</w:t>
      </w:r>
    </w:p>
    <w:p>
      <w:pPr>
        <w:pStyle w:val="ListBullet"/>
      </w:pPr>
      <w:r>
        <w:t>Organization member role management.</w:t>
      </w:r>
    </w:p>
    <w:p>
      <w:pPr>
        <w:pStyle w:val="ListBullet"/>
      </w:pPr>
      <w:r>
        <w:t>Organization API-key revoke/reactivate controls.</w:t>
      </w:r>
    </w:p>
    <w:p>
      <w:pPr>
        <w:pStyle w:val="ListBullet"/>
      </w:pPr>
      <w:r>
        <w:t>Founder/admin key creation.</w:t>
      </w:r>
    </w:p>
    <w:p>
      <w:pPr>
        <w:pStyle w:val="ListBullet"/>
      </w:pPr>
      <w:r>
        <w:t>Shield incident status/assignee editing.</w:t>
      </w:r>
    </w:p>
    <w:p>
      <w:pPr>
        <w:pStyle w:val="ListBullet"/>
      </w:pPr>
      <w:r>
        <w:t>Manual risk-label creation.</w:t>
      </w:r>
    </w:p>
    <w:p>
      <w:pPr>
        <w:pStyle w:val="ListBullet"/>
      </w:pPr>
      <w:r>
        <w:t>Shield security scan trigger.</w:t>
      </w:r>
    </w:p>
    <w:p>
      <w:pPr>
        <w:pStyle w:val="ListBullet"/>
      </w:pPr>
      <w:r>
        <w:t>Audit-log filtering.</w:t>
      </w:r>
    </w:p>
    <w:p>
      <w:pPr>
        <w:pStyle w:val="ListBullet"/>
      </w:pPr>
      <w:r>
        <w:t>Ops links to GitHub Actions ingestion/scanner/admin/org workflows.</w:t>
      </w:r>
    </w:p>
    <w:p>
      <w:r>
        <w:t>The console stores the founder key in browser localStorage only. It should not be used on shared machines. A later hardening pass should replace direct key entry with the org magic-link/session UI and server-side session cookies.</w:t>
      </w:r>
    </w:p>
    <w:p>
      <w:pPr>
        <w:pStyle w:val="Heading2"/>
      </w:pPr>
      <w:r>
        <w:t>Product-control enforcement</w:t>
      </w:r>
    </w:p>
    <w:p>
      <w:r>
        <w:t>The backend now exposes public product status through:</w:t>
      </w:r>
    </w:p>
    <w:p>
      <w:pPr>
        <w:pStyle w:val="ListBullet"/>
      </w:pPr>
      <w:r>
        <w:rPr>
          <w:rFonts w:ascii="Courier New" w:hAnsi="Courier New"/>
          <w:sz w:val="18"/>
        </w:rPr>
        <w:t>GET /v1/products/status</w:t>
      </w:r>
    </w:p>
    <w:p>
      <w:pPr>
        <w:pStyle w:val="ListBullet"/>
      </w:pPr>
      <w:r>
        <w:rPr>
          <w:rFonts w:ascii="Courier New" w:hAnsi="Courier New"/>
          <w:sz w:val="18"/>
        </w:rPr>
        <w:t>GET /v1/products/status/:productKey</w:t>
      </w:r>
    </w:p>
    <w:p>
      <w:r>
        <w:t xml:space="preserve">The frontend wraps public product pages in </w:t>
      </w:r>
      <w:r>
        <w:rPr>
          <w:rFonts w:ascii="Courier New" w:hAnsi="Courier New"/>
          <w:sz w:val="18"/>
        </w:rPr>
        <w:t>ProductGate</w:t>
      </w:r>
      <w:r>
        <w:t xml:space="preserve">. If a product is paused, internal-only, or not accepting customers, the public page is blocked and replaced with a product-status message and contact CTA. If a product is </w:t>
      </w:r>
      <w:r>
        <w:rPr>
          <w:rFonts w:ascii="Courier New" w:hAnsi="Courier New"/>
          <w:sz w:val="18"/>
        </w:rPr>
        <w:t>beta</w:t>
      </w:r>
      <w:r>
        <w:t xml:space="preserve"> or </w:t>
      </w:r>
      <w:r>
        <w:rPr>
          <w:rFonts w:ascii="Courier New" w:hAnsi="Courier New"/>
          <w:sz w:val="18"/>
        </w:rPr>
        <w:t>pre-production</w:t>
      </w:r>
      <w:r>
        <w:t>, the page stays visible but displays the founder-controlled status banner.</w:t>
      </w:r>
    </w:p>
    <w:p>
      <w:pPr>
        <w:pStyle w:val="Heading2"/>
      </w:pPr>
      <w:r>
        <w:t>NOWPayments checkout expansion</w:t>
      </w:r>
    </w:p>
    <w:p>
      <w:r>
        <w:t>NOWPayments checkout now covers more than Shield:</w:t>
      </w:r>
    </w:p>
    <w:p>
      <w:pPr>
        <w:pStyle w:val="ListBullet"/>
      </w:pPr>
      <w:r>
        <w:t xml:space="preserve">Compliance paid plans use </w:t>
      </w:r>
      <w:r>
        <w:rPr>
          <w:rFonts w:ascii="Courier New" w:hAnsi="Courier New"/>
          <w:sz w:val="18"/>
        </w:rPr>
        <w:t>POST /v1/compliance/nowpayments/create-invoice</w:t>
      </w:r>
      <w:r>
        <w:t xml:space="preserve"> and </w:t>
      </w:r>
      <w:r>
        <w:rPr>
          <w:rFonts w:ascii="Courier New" w:hAnsi="Courier New"/>
          <w:sz w:val="18"/>
        </w:rPr>
        <w:t>POST /v1/compliance/nowpayments/callback</w:t>
      </w:r>
      <w:r>
        <w:t>.</w:t>
      </w:r>
    </w:p>
    <w:p>
      <w:pPr>
        <w:pStyle w:val="ListBullet"/>
      </w:pPr>
      <w:r>
        <w:t xml:space="preserve">Verify paid Growth/Business plans use </w:t>
      </w:r>
      <w:r>
        <w:rPr>
          <w:rFonts w:ascii="Courier New" w:hAnsi="Courier New"/>
          <w:sz w:val="18"/>
        </w:rPr>
        <w:t>POST /v1/verify/nowpayments/create-invoice</w:t>
      </w:r>
      <w:r>
        <w:t xml:space="preserve"> and </w:t>
      </w:r>
      <w:r>
        <w:rPr>
          <w:rFonts w:ascii="Courier New" w:hAnsi="Courier New"/>
          <w:sz w:val="18"/>
        </w:rPr>
        <w:t>POST /v1/verify/nowpayments/callback</w:t>
      </w:r>
      <w:r>
        <w:t>.</w:t>
      </w:r>
    </w:p>
    <w:p>
      <w:pPr>
        <w:pStyle w:val="ListBullet"/>
      </w:pPr>
      <w:r>
        <w:t xml:space="preserve">Audit packages use </w:t>
      </w:r>
      <w:r>
        <w:rPr>
          <w:rFonts w:ascii="Courier New" w:hAnsi="Courier New"/>
          <w:sz w:val="18"/>
        </w:rPr>
        <w:t>POST /v1/audit/nowpayments/create-invoice</w:t>
      </w:r>
      <w:r>
        <w:t xml:space="preserve"> and </w:t>
      </w:r>
      <w:r>
        <w:rPr>
          <w:rFonts w:ascii="Courier New" w:hAnsi="Courier New"/>
          <w:sz w:val="18"/>
        </w:rPr>
        <w:t>POST /v1/audit/nowpayments/callback</w:t>
      </w:r>
      <w:r>
        <w:t>.</w:t>
      </w:r>
    </w:p>
    <w:p>
      <w:pPr>
        <w:pStyle w:val="ListBullet"/>
      </w:pPr>
      <w:r>
        <w:t>Shield, Agents, and Institutional/RWA already have NOWPayments checkout flows.</w:t>
      </w:r>
    </w:p>
    <w:p>
      <w:r>
        <w:t>Bank transfer remains manual. The public pages collect the request, store it as pending/manual in the backend, and DecaFlow sends payment instructions manually by email.</w:t>
      </w:r>
    </w:p>
    <w:p>
      <w:r>
        <w:t>New database/payment fields were added to Compliance, Verify, and Audit enquiry tables:</w:t>
      </w:r>
    </w:p>
    <w:p>
      <w:pPr>
        <w:pStyle w:val="ListBullet"/>
      </w:pPr>
      <w:r>
        <w:rPr>
          <w:rFonts w:ascii="Courier New" w:hAnsi="Courier New"/>
          <w:sz w:val="18"/>
        </w:rPr>
        <w:t>payment_gateway</w:t>
      </w:r>
    </w:p>
    <w:p>
      <w:pPr>
        <w:pStyle w:val="ListBullet"/>
      </w:pPr>
      <w:r>
        <w:rPr>
          <w:rFonts w:ascii="Courier New" w:hAnsi="Courier New"/>
          <w:sz w:val="18"/>
        </w:rPr>
        <w:t>gateway_order_id</w:t>
      </w:r>
    </w:p>
    <w:p>
      <w:pPr>
        <w:pStyle w:val="ListBullet"/>
      </w:pPr>
      <w:r>
        <w:rPr>
          <w:rFonts w:ascii="Courier New" w:hAnsi="Courier New"/>
          <w:sz w:val="18"/>
        </w:rPr>
        <w:t>payment_status</w:t>
      </w:r>
    </w:p>
    <w:p>
      <w:r>
        <w:t xml:space="preserve">The shared backend service </w:t>
      </w:r>
      <w:r>
        <w:rPr>
          <w:rFonts w:ascii="Courier New" w:hAnsi="Courier New"/>
          <w:sz w:val="18"/>
        </w:rPr>
        <w:t>nowpaymentsService.js</w:t>
      </w:r>
      <w:r>
        <w:t xml:space="preserve"> now centralizes invoice creation and IPN signature verification.</w:t>
      </w:r>
    </w:p>
    <w:p>
      <w:pPr>
        <w:pStyle w:val="Heading2"/>
      </w:pPr>
      <w:r>
        <w:t>Branding update</w:t>
      </w:r>
    </w:p>
    <w:p>
      <w:r>
        <w:t>The public-facing affected pages were harmonized toward DecaFlow’s dark-blue/blue visual system. Loud standalone purple/orange styling was removed from Compliance, Verify, Audit, Agents, Institutional, Issuer Portal, and landing-page accents where it was being used as primary brand color. Risk/severity colors can still use red/yellow/green where they communicate status; product identity should stay dark-blue/blue.</w:t>
      </w:r>
    </w:p>
    <w:p>
      <w:pPr>
        <w:pStyle w:val="Heading2"/>
      </w:pPr>
      <w:r>
        <w:t>Operational requirement</w:t>
      </w:r>
    </w:p>
    <w:p>
      <w:r>
        <w:t xml:space="preserve">Before public promotion, confirm Render and Vercel have deployed at least commit </w:t>
      </w:r>
      <w:r>
        <w:rPr>
          <w:rFonts w:ascii="Courier New" w:hAnsi="Courier New"/>
          <w:sz w:val="18"/>
        </w:rPr>
        <w:t>e1c85be98a094ea8777093191039209bc58041db</w:t>
      </w:r>
      <w:r>
        <w:t>, because that includes the latest risk-feed expansion, org hardening, Agents public-copy update, Shield scanner range fix, Compliance/Audit/Verify NOWPayments checkout, and color harmonization.</w:t>
      </w:r>
    </w:p>
    <w:p>
      <w:pPr>
        <w:pStyle w:val="Heading1"/>
      </w:pPr>
      <w:r>
        <w:t>Risk coverage and org hardening update — 2026-08-09</w:t>
      </w:r>
    </w:p>
    <w:p>
      <w:pPr>
        <w:pStyle w:val="Heading2"/>
      </w:pPr>
      <w:r>
        <w:t>Risk intelligence coverage expansion</w:t>
      </w:r>
    </w:p>
    <w:p>
      <w:r>
        <w:t>The internal engine has moved beyond OFAC/public sanctions/curated seeds and now has a production public-feed ingestion layer:</w:t>
      </w:r>
    </w:p>
    <w:p>
      <w:pPr>
        <w:pStyle w:val="ListBullet"/>
      </w:pPr>
      <w:r>
        <w:rPr>
          <w:rFonts w:ascii="Courier New" w:hAnsi="Courier New"/>
          <w:sz w:val="18"/>
        </w:rPr>
        <w:t>publicRiskFeedIngestion.js</w:t>
      </w:r>
      <w:r>
        <w:t xml:space="preserve"> fetches and normalizes public scam/phishing address lists.</w:t>
      </w:r>
    </w:p>
    <w:p>
      <w:pPr>
        <w:pStyle w:val="ListBullet"/>
      </w:pPr>
      <w:r>
        <w:rPr>
          <w:rFonts w:ascii="Courier New" w:hAnsi="Courier New"/>
          <w:sz w:val="18"/>
        </w:rPr>
        <w:t>npm run ingest:public-feeds</w:t>
      </w:r>
      <w:r>
        <w:t xml:space="preserve"> runs the public-feed loader.</w:t>
      </w:r>
    </w:p>
    <w:p>
      <w:pPr>
        <w:pStyle w:val="ListBullet"/>
      </w:pPr>
      <w:r>
        <w:rPr>
          <w:rFonts w:ascii="Courier New" w:hAnsi="Courier New"/>
          <w:sz w:val="18"/>
        </w:rPr>
        <w:t>.github/workflows/production-risk-ingestion.yml</w:t>
      </w:r>
      <w:r>
        <w:t xml:space="preserve"> now supports the </w:t>
      </w:r>
      <w:r>
        <w:rPr>
          <w:rFonts w:ascii="Courier New" w:hAnsi="Courier New"/>
          <w:sz w:val="18"/>
        </w:rPr>
        <w:t>public-feeds</w:t>
      </w:r>
      <w:r>
        <w:t xml:space="preserve"> job and includes it in the scheduled </w:t>
      </w:r>
      <w:r>
        <w:rPr>
          <w:rFonts w:ascii="Courier New" w:hAnsi="Courier New"/>
          <w:sz w:val="18"/>
        </w:rPr>
        <w:t>all</w:t>
      </w:r>
      <w:r>
        <w:t xml:space="preserve"> run.</w:t>
      </w:r>
    </w:p>
    <w:p>
      <w:pPr>
        <w:pStyle w:val="ListBullet"/>
      </w:pPr>
      <w:r>
        <w:rPr>
          <w:rFonts w:ascii="Courier New" w:hAnsi="Courier New"/>
          <w:sz w:val="18"/>
        </w:rPr>
        <w:t>risk_ingestion_runs</w:t>
      </w:r>
      <w:r>
        <w:t xml:space="preserve"> records feed status, label count, byte count, errors, and timestamps.</w:t>
      </w:r>
    </w:p>
    <w:p>
      <w:pPr>
        <w:pStyle w:val="ListBullet"/>
      </w:pPr>
      <w:r>
        <w:rPr>
          <w:rFonts w:ascii="Courier New" w:hAnsi="Courier New"/>
          <w:sz w:val="18"/>
        </w:rPr>
        <w:t>riskCoverageService.js</w:t>
      </w:r>
      <w:r>
        <w:t xml:space="preserve"> summarizes current label coverage by category, source, chain, and recent ingestion run.</w:t>
      </w:r>
    </w:p>
    <w:p>
      <w:pPr>
        <w:pStyle w:val="ListBullet"/>
      </w:pPr>
      <w:r>
        <w:rPr>
          <w:rFonts w:ascii="Courier New" w:hAnsi="Courier New"/>
          <w:sz w:val="18"/>
        </w:rPr>
        <w:t>GET /v1/risk/coverage</w:t>
      </w:r>
      <w:r>
        <w:t xml:space="preserve"> exposes that coverage summary to admins/founder-console integrations.</w:t>
      </w:r>
    </w:p>
    <w:p>
      <w:r>
        <w:t xml:space="preserve">The verified production run on commit </w:t>
      </w:r>
      <w:r>
        <w:rPr>
          <w:rFonts w:ascii="Courier New" w:hAnsi="Courier New"/>
          <w:sz w:val="18"/>
        </w:rPr>
        <w:t>a48176342ab5bc98445c1c6fa2df35778005ec93</w:t>
      </w:r>
      <w:r>
        <w:t xml:space="preserve"> loaded:</w:t>
      </w:r>
    </w:p>
    <w:p>
      <w:pPr>
        <w:pStyle w:val="ListBullet"/>
      </w:pPr>
      <w:r>
        <w:t>ScamSniffer address blacklist: 2,530 labels.</w:t>
      </w:r>
    </w:p>
    <w:p>
      <w:pPr>
        <w:pStyle w:val="ListBullet"/>
      </w:pPr>
      <w:r>
        <w:t>MyEtherWallet address darklist: 652 labels.</w:t>
      </w:r>
    </w:p>
    <w:p>
      <w:r>
        <w:t xml:space="preserve">Calibration also passed after this update for known sanctioned, mixer, and exploit-linked wallets. A live backend check against a ScamSniffer-listed wallet returned </w:t>
      </w:r>
      <w:r>
        <w:rPr>
          <w:rFonts w:ascii="Courier New" w:hAnsi="Courier New"/>
          <w:sz w:val="18"/>
        </w:rPr>
        <w:t>provider: decaflow-internal</w:t>
      </w:r>
      <w:r>
        <w:t xml:space="preserve">, a direct scam flag, and </w:t>
      </w:r>
      <w:r>
        <w:rPr>
          <w:rFonts w:ascii="Courier New" w:hAnsi="Courier New"/>
          <w:sz w:val="18"/>
        </w:rPr>
        <w:t>recommendation: REVIEW</w:t>
      </w:r>
      <w:r>
        <w:t>.</w:t>
      </w:r>
    </w:p>
    <w:p>
      <w:r>
        <w:t>This is still not a claim of Chainalysis/TRM parity. The system now has the ingestion architecture, coverage accounting, and first broader public feeds, but parity requires a continuously operated DecaFlow data program: exploit reports, court filings, takedown notices, chain explorer tags, customer cases, analyst reviews, darknet/ransomware reports, and verified internal investigations.</w:t>
      </w:r>
    </w:p>
    <w:p>
      <w:pPr>
        <w:pStyle w:val="Heading2"/>
      </w:pPr>
      <w:r>
        <w:t>Organization and Agents hardening</w:t>
      </w:r>
    </w:p>
    <w:p>
      <w:r>
        <w:t>The org/auth layer now has self-service endpoints for customer organizations, not only founder/admin workflows:</w:t>
      </w:r>
    </w:p>
    <w:p>
      <w:pPr>
        <w:pStyle w:val="ListBullet"/>
      </w:pPr>
      <w:r>
        <w:rPr>
          <w:rFonts w:ascii="Courier New" w:hAnsi="Courier New"/>
          <w:sz w:val="18"/>
        </w:rPr>
        <w:t>GET /v1/orgs/me</w:t>
      </w:r>
    </w:p>
    <w:p>
      <w:pPr>
        <w:pStyle w:val="ListBullet"/>
      </w:pPr>
      <w:r>
        <w:rPr>
          <w:rFonts w:ascii="Courier New" w:hAnsi="Courier New"/>
          <w:sz w:val="18"/>
        </w:rPr>
        <w:t>GET /v1/orgs/me/members</w:t>
      </w:r>
    </w:p>
    <w:p>
      <w:pPr>
        <w:pStyle w:val="ListBullet"/>
      </w:pPr>
      <w:r>
        <w:rPr>
          <w:rFonts w:ascii="Courier New" w:hAnsi="Courier New"/>
          <w:sz w:val="18"/>
        </w:rPr>
        <w:t>POST /v1/orgs/me/members</w:t>
      </w:r>
    </w:p>
    <w:p>
      <w:pPr>
        <w:pStyle w:val="ListBullet"/>
      </w:pPr>
      <w:r>
        <w:rPr>
          <w:rFonts w:ascii="Courier New" w:hAnsi="Courier New"/>
          <w:sz w:val="18"/>
        </w:rPr>
        <w:t>PATCH /v1/orgs/me/members/:membershipId</w:t>
      </w:r>
    </w:p>
    <w:p>
      <w:pPr>
        <w:pStyle w:val="ListBullet"/>
      </w:pPr>
      <w:r>
        <w:rPr>
          <w:rFonts w:ascii="Courier New" w:hAnsi="Courier New"/>
          <w:sz w:val="18"/>
        </w:rPr>
        <w:t>GET /v1/orgs/me/api-keys</w:t>
      </w:r>
    </w:p>
    <w:p>
      <w:pPr>
        <w:pStyle w:val="ListBullet"/>
      </w:pPr>
      <w:r>
        <w:rPr>
          <w:rFonts w:ascii="Courier New" w:hAnsi="Courier New"/>
          <w:sz w:val="18"/>
        </w:rPr>
        <w:t>POST /v1/orgs/me/api-keys</w:t>
      </w:r>
    </w:p>
    <w:p>
      <w:pPr>
        <w:pStyle w:val="ListBullet"/>
      </w:pPr>
      <w:r>
        <w:rPr>
          <w:rFonts w:ascii="Courier New" w:hAnsi="Courier New"/>
          <w:sz w:val="18"/>
        </w:rPr>
        <w:t>PATCH /v1/orgs/me/api-keys/:keyId</w:t>
      </w:r>
    </w:p>
    <w:p>
      <w:r>
        <w:t xml:space="preserve">Humans authenticate through org sessions. Machine integrations use org API keys with explicit scopes such as </w:t>
      </w:r>
      <w:r>
        <w:rPr>
          <w:rFonts w:ascii="Courier New" w:hAnsi="Courier New"/>
          <w:sz w:val="18"/>
        </w:rPr>
        <w:t>verify:check</w:t>
      </w:r>
      <w:r>
        <w:t xml:space="preserve">, </w:t>
      </w:r>
      <w:r>
        <w:rPr>
          <w:rFonts w:ascii="Courier New" w:hAnsi="Courier New"/>
          <w:sz w:val="18"/>
        </w:rPr>
        <w:t>agents:rules</w:t>
      </w:r>
      <w:r>
        <w:t xml:space="preserve">, </w:t>
      </w:r>
      <w:r>
        <w:rPr>
          <w:rFonts w:ascii="Courier New" w:hAnsi="Courier New"/>
          <w:sz w:val="18"/>
        </w:rPr>
        <w:t>agents:evaluate</w:t>
      </w:r>
      <w:r>
        <w:t xml:space="preserve">, and </w:t>
      </w:r>
      <w:r>
        <w:rPr>
          <w:rFonts w:ascii="Courier New" w:hAnsi="Courier New"/>
          <w:sz w:val="18"/>
        </w:rPr>
        <w:t>agents:review</w:t>
      </w:r>
      <w:r>
        <w:t>.</w:t>
      </w:r>
    </w:p>
    <w:p>
      <w:r>
        <w:t>Agents workflow endpoints were hardened so production rule creation, rule listing, evaluation, suggestions, review queue access, decisions, and automation opt-in require either:</w:t>
      </w:r>
    </w:p>
    <w:p>
      <w:pPr>
        <w:pStyle w:val="ListNumber"/>
      </w:pPr>
      <w:r>
        <w:t>an authenticated org session with an allowed role, or</w:t>
      </w:r>
    </w:p>
    <w:p>
      <w:pPr>
        <w:pStyle w:val="ListNumber"/>
      </w:pPr>
      <w:r>
        <w:t>a scoped org API key.</w:t>
      </w:r>
    </w:p>
    <w:p>
      <w:r>
        <w:t xml:space="preserve">Unauthenticated email-only Agents access is now disabled unless </w:t>
      </w:r>
      <w:r>
        <w:rPr>
          <w:rFonts w:ascii="Courier New" w:hAnsi="Courier New"/>
          <w:sz w:val="18"/>
        </w:rPr>
        <w:t>ALLOW_PUBLIC_AGENT_RULES=true</w:t>
      </w:r>
      <w:r>
        <w:t xml:space="preserve"> is deliberately set for a sandbox. The public Agents page was updated to describe the authenticated workflow console instead of advertising an unauthenticated live rule-builder demo.</w:t>
      </w:r>
    </w:p>
    <w:p>
      <w:pPr>
        <w:pStyle w:val="Heading2"/>
      </w:pPr>
      <w:r>
        <w:t>Current production readiness interpretation</w:t>
      </w:r>
    </w:p>
    <w:p>
      <w:r>
        <w:t xml:space="preserve">The technical team can now treat Verify, Compliance, Shield, Audit, and Agents as materially stronger beta/public-launch surfaces, provided production deployment is confirmed at or beyond </w:t>
      </w:r>
      <w:r>
        <w:rPr>
          <w:rFonts w:ascii="Courier New" w:hAnsi="Courier New"/>
          <w:sz w:val="18"/>
        </w:rPr>
        <w:t>e1c85be98a094ea8777093191039209bc58041db</w:t>
      </w:r>
      <w:r>
        <w:t>. The correct engineering claim is:</w:t>
      </w:r>
    </w:p>
    <w:p>
      <w:pPr>
        <w:ind w:left="360"/>
      </w:pPr>
      <w:r>
        <w:rPr>
          <w:i/>
        </w:rPr>
        <w:t>DecaFlow operates an internal risk engine with sanctions, public scam/phishing feeds, curated labels, graph ingestion, case feedback, calibration, and coverage reporting.</w:t>
      </w:r>
    </w:p>
    <w:p>
      <w:r>
        <w:t>The incorrect claim is:</w:t>
      </w:r>
    </w:p>
    <w:p>
      <w:pPr>
        <w:ind w:left="360"/>
      </w:pPr>
      <w:r>
        <w:rPr>
          <w:i/>
        </w:rPr>
        <w:t>DecaFlow has already achieved fully comprehensive Chainalysis/TRM-equivalent coverage.</w:t>
      </w:r>
    </w:p>
    <w:p>
      <w:r>
        <w:t>That second statement becomes defensible only after the coverage dashboard shows large, diverse, continuously refreshed datasets across sanctions, mixers, scam/phishing, darknet/ransomware, exploit/stolen-fund, high-risk-service, and customer-verified case categories.</w:t>
      </w:r>
    </w:p>
    <w:p>
      <w:pPr>
        <w:pStyle w:val="Heading1"/>
      </w:pPr>
      <w:r>
        <w:t>DecaFlow Institutional compliance suite — 2026-08-09</w:t>
      </w:r>
    </w:p>
    <w:p>
      <w:r>
        <w:t>Per the strategic roadmap (Pivot 3), DecaFlow Institutional is the compliance layer for RWA issuers, not an RWA issuer itself. DecaFlow provides three pillars as a product:</w:t>
      </w:r>
    </w:p>
    <w:p>
      <w:pPr>
        <w:pStyle w:val="ListNumber"/>
      </w:pPr>
      <w:r>
        <w:rPr>
          <w:b/>
        </w:rPr>
        <w:t>On-chain identity verification (ZK-KYC).</w:t>
      </w:r>
      <w:r>
        <w:t xml:space="preserve"> DecaFlow issues identity attestations (</w:t>
      </w:r>
      <w:r>
        <w:rPr>
          <w:rFonts w:ascii="Courier New" w:hAnsi="Courier New"/>
          <w:sz w:val="18"/>
        </w:rPr>
        <w:t>institutional_identity_attestations</w:t>
      </w:r>
      <w:r>
        <w:t xml:space="preserve">): KYC status, jurisdiction eligibility, accreditation status, and an evidence hash that anchors the off-chain record. The evidence hash goes on-chain through </w:t>
      </w:r>
      <w:r>
        <w:rPr>
          <w:rFonts w:ascii="Courier New" w:hAnsi="Courier New"/>
          <w:sz w:val="18"/>
        </w:rPr>
        <w:t>IdentityRegistry.setIdentity</w:t>
      </w:r>
      <w:r>
        <w:t xml:space="preserve">; raw KYC evidence never does. </w:t>
      </w:r>
      <w:r>
        <w:rPr>
          <w:rFonts w:ascii="Courier New" w:hAnsi="Courier New"/>
          <w:sz w:val="18"/>
        </w:rPr>
        <w:t>ZKIdentityGate.sol</w:t>
      </w:r>
      <w:r>
        <w:t xml:space="preserve"> provides privacy-preserving group-membership verification with proof-to-wallet binding.</w:t>
      </w:r>
    </w:p>
    <w:p>
      <w:pPr>
        <w:pStyle w:val="ListNumber"/>
      </w:pPr>
      <w:r>
        <w:rPr>
          <w:b/>
        </w:rPr>
        <w:t>Automated accredited-investor compliance checks.</w:t>
      </w:r>
      <w:r>
        <w:t xml:space="preserve"> </w:t>
      </w:r>
      <w:r>
        <w:rPr>
          <w:rFonts w:ascii="Courier New" w:hAnsi="Courier New"/>
          <w:sz w:val="18"/>
        </w:rPr>
        <w:t>POST /v1/institutional/compliance/check-investor</w:t>
      </w:r>
      <w:r>
        <w:t xml:space="preserve"> combines the wallet's DecaFlow attestation (KYC approved, jurisdiction-eligible, accredited, unexpired, unrevoked) with a live DecaFlow internal risk screen (sanctions/mixer/scam/graph exposure) and returns APPROVE / REVIEW / REJECT with reasons. Every check is recorded in </w:t>
      </w:r>
      <w:r>
        <w:rPr>
          <w:rFonts w:ascii="Courier New" w:hAnsi="Courier New"/>
          <w:sz w:val="18"/>
        </w:rPr>
        <w:t>institutional_investor_checks</w:t>
      </w:r>
      <w:r>
        <w:t xml:space="preserve"> as the issuer's compliance evidence trail.</w:t>
      </w:r>
    </w:p>
    <w:p>
      <w:pPr>
        <w:pStyle w:val="ListNumber"/>
      </w:pPr>
      <w:r>
        <w:rPr>
          <w:b/>
        </w:rPr>
        <w:t>Pre-audited smart contract templates.</w:t>
      </w:r>
      <w:r>
        <w:t xml:space="preserve"> </w:t>
      </w:r>
      <w:r>
        <w:rPr>
          <w:rFonts w:ascii="Courier New" w:hAnsi="Courier New"/>
          <w:sz w:val="18"/>
        </w:rPr>
        <w:t>GET /v1/institutional/templates</w:t>
      </w:r>
      <w:r>
        <w:t xml:space="preserve"> serves the template catalog (</w:t>
      </w:r>
      <w:r>
        <w:rPr>
          <w:rFonts w:ascii="Courier New" w:hAnsi="Courier New"/>
          <w:sz w:val="18"/>
        </w:rPr>
        <w:t>institutional_contract_templates</w:t>
      </w:r>
      <w:r>
        <w:t>): IdentityRegistry, ComplianceRules, RiskOracle, RWAToken, and ZKIdentityGate — Guardian audit findings addressed, 53-test regression suite passing, with a final pre-deployment re-review required per issuer engagement.</w:t>
      </w:r>
    </w:p>
    <w:p>
      <w:r>
        <w:t xml:space="preserve">Issuer API surface (org API key scopes </w:t>
      </w:r>
      <w:r>
        <w:rPr>
          <w:rFonts w:ascii="Courier New" w:hAnsi="Courier New"/>
          <w:sz w:val="18"/>
        </w:rPr>
        <w:t>institutional:attest</w:t>
      </w:r>
      <w:r>
        <w:t xml:space="preserve"> / </w:t>
      </w:r>
      <w:r>
        <w:rPr>
          <w:rFonts w:ascii="Courier New" w:hAnsi="Courier New"/>
          <w:sz w:val="18"/>
        </w:rPr>
        <w:t>institutional:check</w:t>
      </w:r>
      <w:r>
        <w:t xml:space="preserve">, or admin scope </w:t>
      </w:r>
      <w:r>
        <w:rPr>
          <w:rFonts w:ascii="Courier New" w:hAnsi="Courier New"/>
          <w:sz w:val="18"/>
        </w:rPr>
        <w:t>institutional:admin</w:t>
      </w:r>
      <w:r>
        <w:t>):</w:t>
      </w:r>
    </w:p>
    <w:p>
      <w:pPr>
        <w:pStyle w:val="ListBullet"/>
      </w:pPr>
      <w:r>
        <w:rPr>
          <w:rFonts w:ascii="Courier New" w:hAnsi="Courier New"/>
          <w:sz w:val="18"/>
        </w:rPr>
        <w:t>POST /v1/institutional/identity/attestations</w:t>
      </w:r>
      <w:r>
        <w:t xml:space="preserve"> — record/update a wallet attestation; returns the evidence hash for the on-chain commitment.</w:t>
      </w:r>
    </w:p>
    <w:p>
      <w:pPr>
        <w:pStyle w:val="ListBullet"/>
      </w:pPr>
      <w:r>
        <w:rPr>
          <w:rFonts w:ascii="Courier New" w:hAnsi="Courier New"/>
          <w:sz w:val="18"/>
        </w:rPr>
        <w:t>GET /v1/institutional/identity/attestations/:chain/:wallet</w:t>
      </w:r>
      <w:r>
        <w:t xml:space="preserve"> — attestation status.</w:t>
      </w:r>
    </w:p>
    <w:p>
      <w:pPr>
        <w:pStyle w:val="ListBullet"/>
      </w:pPr>
      <w:r>
        <w:rPr>
          <w:rFonts w:ascii="Courier New" w:hAnsi="Courier New"/>
          <w:sz w:val="18"/>
        </w:rPr>
        <w:t>DELETE /v1/institutional/identity/attestations/:chain/:wallet</w:t>
      </w:r>
      <w:r>
        <w:t xml:space="preserve"> — revoke.</w:t>
      </w:r>
    </w:p>
    <w:p>
      <w:pPr>
        <w:pStyle w:val="ListBullet"/>
      </w:pPr>
      <w:r>
        <w:rPr>
          <w:rFonts w:ascii="Courier New" w:hAnsi="Courier New"/>
          <w:sz w:val="18"/>
        </w:rPr>
        <w:t>POST /v1/institutional/compliance/check-investor</w:t>
      </w:r>
      <w:r>
        <w:t xml:space="preserve"> — automated accredited-investor eligibility decision.</w:t>
      </w:r>
    </w:p>
    <w:p>
      <w:pPr>
        <w:pStyle w:val="ListBullet"/>
      </w:pPr>
      <w:r>
        <w:rPr>
          <w:rFonts w:ascii="Courier New" w:hAnsi="Courier New"/>
          <w:sz w:val="18"/>
        </w:rPr>
        <w:t>POST /v1/institutional/identity/evidence-hash</w:t>
      </w:r>
      <w:r>
        <w:t xml:space="preserve"> — compute an evidence hash without storing.</w:t>
      </w:r>
    </w:p>
    <w:p>
      <w:pPr>
        <w:pStyle w:val="ListBullet"/>
      </w:pPr>
      <w:r>
        <w:rPr>
          <w:rFonts w:ascii="Courier New" w:hAnsi="Courier New"/>
          <w:sz w:val="18"/>
        </w:rPr>
        <w:t>GET /v1/institutional/templates</w:t>
      </w:r>
      <w:r>
        <w:t xml:space="preserve"> — public template catalog.</w:t>
      </w:r>
    </w:p>
    <w:p>
      <w:r>
        <w:t>Positioning note: DecaFlow sells this suite to issuers. Each issuer still owns its securities-law obligations for its own offering; DecaFlow provides the identity, compliance-check, and contract infrastructure they build on.</w:t>
      </w:r>
    </w:p>
    <w:p>
      <w:pPr>
        <w:pStyle w:val="Heading1"/>
      </w:pPr>
      <w:r>
        <w:t>Product manuals and operator runbooks — 2026-08-09</w:t>
      </w:r>
    </w:p>
    <w:p>
      <w:pPr>
        <w:pStyle w:val="Heading2"/>
      </w:pPr>
      <w:r>
        <w:t>Product renaming note</w:t>
      </w:r>
    </w:p>
    <w:p>
      <w:r>
        <w:t xml:space="preserve">The Agents product is publicly branded </w:t>
      </w:r>
      <w:r>
        <w:rPr>
          <w:b/>
        </w:rPr>
        <w:t>DecaFlow Autopilot (Agentic Compliance)</w:t>
      </w:r>
      <w:r>
        <w:t xml:space="preserve">. The URL stays </w:t>
      </w:r>
      <w:r>
        <w:rPr>
          <w:rFonts w:ascii="Courier New" w:hAnsi="Courier New"/>
          <w:sz w:val="18"/>
        </w:rPr>
        <w:t>/agents</w:t>
      </w:r>
      <w:r>
        <w:t xml:space="preserve"> and the API stays </w:t>
      </w:r>
      <w:r>
        <w:rPr>
          <w:rFonts w:ascii="Courier New" w:hAnsi="Courier New"/>
          <w:sz w:val="18"/>
        </w:rPr>
        <w:t>/v1/agents/*</w:t>
      </w:r>
      <w:r>
        <w:t xml:space="preserve"> for compatibility; only display naming changed.</w:t>
      </w:r>
    </w:p>
    <w:p>
      <w:pPr>
        <w:pStyle w:val="Heading2"/>
      </w:pPr>
      <w:r>
        <w:t>Customer portal</w:t>
      </w:r>
    </w:p>
    <w:p>
      <w:r>
        <w:t xml:space="preserve">Customers log in at </w:t>
      </w:r>
      <w:r>
        <w:rPr>
          <w:rFonts w:ascii="Courier New" w:hAnsi="Courier New"/>
          <w:sz w:val="18"/>
        </w:rPr>
        <w:t>/login</w:t>
      </w:r>
      <w:r>
        <w:t xml:space="preserve"> with an email magic link (no passwords). After login, </w:t>
      </w:r>
      <w:r>
        <w:rPr>
          <w:rFonts w:ascii="Courier New" w:hAnsi="Courier New"/>
          <w:sz w:val="18"/>
        </w:rPr>
        <w:t>/account</w:t>
      </w:r>
      <w:r>
        <w:t xml:space="preserve"> shows their organization, team members, and self-service API keys (create/revoke), plus links to every product. Sessions last 30 days. Backend: </w:t>
      </w:r>
      <w:r>
        <w:rPr>
          <w:rFonts w:ascii="Courier New" w:hAnsi="Courier New"/>
          <w:sz w:val="18"/>
        </w:rPr>
        <w:t>/v1/org-auth/magic-link/request</w:t>
      </w:r>
      <w:r>
        <w:t xml:space="preserve">, </w:t>
      </w:r>
      <w:r>
        <w:rPr>
          <w:rFonts w:ascii="Courier New" w:hAnsi="Courier New"/>
          <w:sz w:val="18"/>
        </w:rPr>
        <w:t>/v1/org-auth/magic-link/verify</w:t>
      </w:r>
      <w:r>
        <w:t xml:space="preserve">, </w:t>
      </w:r>
      <w:r>
        <w:rPr>
          <w:rFonts w:ascii="Courier New" w:hAnsi="Courier New"/>
          <w:sz w:val="18"/>
        </w:rPr>
        <w:t>/v1/orgs/me*</w:t>
      </w:r>
      <w:r>
        <w:t>.</w:t>
      </w:r>
    </w:p>
    <w:p>
      <w:pPr>
        <w:pStyle w:val="Heading2"/>
      </w:pPr>
      <w:r>
        <w:t>Per-product step-by-step and operator runbook</w:t>
      </w:r>
    </w:p>
    <w:p>
      <w:r>
        <w:rPr>
          <w:b/>
        </w:rPr>
        <w:t>Verify API</w:t>
      </w:r>
      <w:r>
        <w:t xml:space="preserve"> — wallet screening.</w:t>
      </w:r>
    </w:p>
    <w:p>
      <w:r>
        <w:t xml:space="preserve">Customer flow: 1) buy/receive a plan (NOWPayments checkout or founder-issued), 2) get an org or Verify API key, 3) call </w:t>
      </w:r>
      <w:r>
        <w:rPr>
          <w:rFonts w:ascii="Courier New" w:hAnsi="Courier New"/>
          <w:sz w:val="18"/>
        </w:rPr>
        <w:t>POST /v1/verify/check</w:t>
      </w:r>
      <w:r>
        <w:t xml:space="preserve"> with </w:t>
      </w:r>
      <w:r>
        <w:rPr>
          <w:rFonts w:ascii="Courier New" w:hAnsi="Courier New"/>
          <w:sz w:val="18"/>
        </w:rPr>
        <w:t>x-api-key</w:t>
      </w:r>
      <w:r>
        <w:t xml:space="preserve"> and </w:t>
      </w:r>
      <w:r>
        <w:rPr>
          <w:rFonts w:ascii="Courier New" w:hAnsi="Courier New"/>
          <w:sz w:val="18"/>
        </w:rPr>
        <w:t>{address, chain}</w:t>
      </w:r>
      <w:r>
        <w:t xml:space="preserve">, 4) receive score/level/recommendation/flags/exposures, 5) every check is recorded in </w:t>
      </w:r>
      <w:r>
        <w:rPr>
          <w:rFonts w:ascii="Courier New" w:hAnsi="Courier New"/>
          <w:sz w:val="18"/>
        </w:rPr>
        <w:t>risk_screenings</w:t>
      </w:r>
      <w:r>
        <w:t>.</w:t>
      </w:r>
    </w:p>
    <w:p>
      <w:r>
        <w:t xml:space="preserve">Operator runbook (Risk Intelligence Owner): daily — check Production Risk Ingestion run is green in GitHub Actions; weekly — review </w:t>
      </w:r>
      <w:r>
        <w:rPr>
          <w:rFonts w:ascii="Courier New" w:hAnsi="Courier New"/>
          <w:sz w:val="18"/>
        </w:rPr>
        <w:t>GET /v1/risk/coverage</w:t>
      </w:r>
      <w:r>
        <w:t xml:space="preserve"> label counts, add curated labels from incident reports via </w:t>
      </w:r>
      <w:r>
        <w:rPr>
          <w:rFonts w:ascii="Courier New" w:hAnsi="Courier New"/>
          <w:sz w:val="18"/>
        </w:rPr>
        <w:t>POST /v1/risk/labels</w:t>
      </w:r>
      <w:r>
        <w:t xml:space="preserve">, process case reviews with </w:t>
      </w:r>
      <w:r>
        <w:rPr>
          <w:rFonts w:ascii="Courier New" w:hAnsi="Courier New"/>
          <w:sz w:val="18"/>
        </w:rPr>
        <w:t>POST /v1/risk/case-reviews</w:t>
      </w:r>
      <w:r>
        <w:t xml:space="preserve">; monthly — run calibration and expand </w:t>
      </w:r>
      <w:r>
        <w:rPr>
          <w:rFonts w:ascii="Courier New" w:hAnsi="Courier New"/>
          <w:sz w:val="18"/>
        </w:rPr>
        <w:t>riskCalibrationCases.json</w:t>
      </w:r>
      <w:r>
        <w:t>.</w:t>
      </w:r>
    </w:p>
    <w:p>
      <w:r>
        <w:rPr>
          <w:b/>
        </w:rPr>
        <w:t>Compliance</w:t>
      </w:r>
      <w:r>
        <w:t xml:space="preserve"> — screening workflow product.</w:t>
      </w:r>
    </w:p>
    <w:p>
      <w:r>
        <w:t>Customer flow: 1) checkout (crypto or bank), 2) team contact and onboarding, 3) screening + review workflow through the API and analyst process.</w:t>
      </w:r>
    </w:p>
    <w:p>
      <w:r>
        <w:t xml:space="preserve">Operator runbook (Compliance Ops): monitor </w:t>
      </w:r>
      <w:r>
        <w:rPr>
          <w:rFonts w:ascii="Courier New" w:hAnsi="Courier New"/>
          <w:sz w:val="18"/>
        </w:rPr>
        <w:t>compliance_enquiries</w:t>
      </w:r>
      <w:r>
        <w:t xml:space="preserve"> in the founder console; respond to paid enquiries within 24h; send bank details for manual transfers; record decisions through case reviews so labels improve.</w:t>
      </w:r>
    </w:p>
    <w:p>
      <w:r>
        <w:rPr>
          <w:b/>
        </w:rPr>
        <w:t>Shield</w:t>
      </w:r>
      <w:r>
        <w:t xml:space="preserve"> — continuous security monitoring.</w:t>
      </w:r>
    </w:p>
    <w:p>
      <w:r>
        <w:t xml:space="preserve">Customer flow: 1) checkout or waitlist, 2) provide chain, contract addresses, labels, alert emails, and contract ABIs, 3) DecaFlow registers contracts in </w:t>
      </w:r>
      <w:r>
        <w:rPr>
          <w:rFonts w:ascii="Courier New" w:hAnsi="Courier New"/>
          <w:sz w:val="18"/>
        </w:rPr>
        <w:t>shield_contracts</w:t>
      </w:r>
      <w:r>
        <w:t xml:space="preserve"> and uploads ABIs via </w:t>
      </w:r>
      <w:r>
        <w:rPr>
          <w:rFonts w:ascii="Courier New" w:hAnsi="Courier New"/>
          <w:sz w:val="18"/>
        </w:rPr>
        <w:t>POST /v1/shield/contracts/:chain/:address/abi</w:t>
      </w:r>
      <w:r>
        <w:t>, 4) scanning runs every 15 minutes.</w:t>
      </w:r>
    </w:p>
    <w:p>
      <w:r>
        <w:t>Operator runbook (Security Operator): daily — review open alerts (</w:t>
      </w:r>
      <w:r>
        <w:rPr>
          <w:rFonts w:ascii="Courier New" w:hAnsi="Courier New"/>
          <w:sz w:val="18"/>
        </w:rPr>
        <w:t>GET /v1/shield/alerts</w:t>
      </w:r>
      <w:r>
        <w:t>), incidents, and vulnerability findings (</w:t>
      </w:r>
      <w:r>
        <w:rPr>
          <w:rFonts w:ascii="Courier New" w:hAnsi="Courier New"/>
          <w:sz w:val="18"/>
        </w:rPr>
        <w:t>GET /v1/shield/vulnerability-findings</w:t>
      </w:r>
      <w:r>
        <w:t xml:space="preserve">); triage incidents using their playbook steps; update statuses; weekly — tune </w:t>
      </w:r>
      <w:r>
        <w:rPr>
          <w:rFonts w:ascii="Courier New" w:hAnsi="Courier New"/>
          <w:sz w:val="18"/>
        </w:rPr>
        <w:t>POST /v1/shield/anomaly-thresholds</w:t>
      </w:r>
      <w:r>
        <w:t xml:space="preserve"> per customer and confirm the Shield Monitor workflow is green.</w:t>
      </w:r>
    </w:p>
    <w:p>
      <w:r>
        <w:rPr>
          <w:b/>
        </w:rPr>
        <w:t>Autopilot (Agents)</w:t>
      </w:r>
      <w:r>
        <w:t xml:space="preserve"> — agentic compliance workflows.</w:t>
      </w:r>
    </w:p>
    <w:p>
      <w:r>
        <w:t>Customer flow: 1) checkout, 2) org account + scoped API key issued, 3) define rules (</w:t>
      </w:r>
      <w:r>
        <w:rPr>
          <w:rFonts w:ascii="Courier New" w:hAnsi="Courier New"/>
          <w:sz w:val="18"/>
        </w:rPr>
        <w:t>POST /v1/agents/rules</w:t>
      </w:r>
      <w:r>
        <w:t>), 4) evaluations route flagged wallets into the review queue, 5) named humans decide; after ≥5 consistent decisions at ≥90%, Autopilot suggests automation the customer must explicitly enable.</w:t>
      </w:r>
    </w:p>
    <w:p>
      <w:r>
        <w:t>Operator runbook (Compliance Ops): monitor review queues for stuck items; verify automation enablements have named owners; never enable auto-decisions on a customer's behalf.</w:t>
      </w:r>
    </w:p>
    <w:p>
      <w:r>
        <w:rPr>
          <w:b/>
        </w:rPr>
        <w:t>Institutional/RWA</w:t>
      </w:r>
      <w:r>
        <w:t xml:space="preserve"> — compliance suite for issuers.</w:t>
      </w:r>
    </w:p>
    <w:p>
      <w:r>
        <w:t xml:space="preserve">Customer flow: 1) issuer signs up (Issuer/Scale plan), 2) DecaFlow issues an org API key with </w:t>
      </w:r>
      <w:r>
        <w:rPr>
          <w:rFonts w:ascii="Courier New" w:hAnsi="Courier New"/>
          <w:sz w:val="18"/>
        </w:rPr>
        <w:t>institutional:attest</w:t>
      </w:r>
      <w:r>
        <w:t>/</w:t>
      </w:r>
      <w:r>
        <w:rPr>
          <w:rFonts w:ascii="Courier New" w:hAnsi="Courier New"/>
          <w:sz w:val="18"/>
        </w:rPr>
        <w:t>institutional:check</w:t>
      </w:r>
      <w:r>
        <w:t xml:space="preserve"> scopes, 3) issuer records ZK-KYC attestations (</w:t>
      </w:r>
      <w:r>
        <w:rPr>
          <w:rFonts w:ascii="Courier New" w:hAnsi="Courier New"/>
          <w:sz w:val="18"/>
        </w:rPr>
        <w:t>POST /v1/institutional/identity/attestations</w:t>
      </w:r>
      <w:r>
        <w:t>), 4) issuer runs investor checks before mint/transfer (</w:t>
      </w:r>
      <w:r>
        <w:rPr>
          <w:rFonts w:ascii="Courier New" w:hAnsi="Courier New"/>
          <w:sz w:val="18"/>
        </w:rPr>
        <w:t>POST /v1/institutional/compliance/check-investor</w:t>
      </w:r>
      <w:r>
        <w:t xml:space="preserve">), 5) issuer deploys the pre-audited templates (catalog at </w:t>
      </w:r>
      <w:r>
        <w:rPr>
          <w:rFonts w:ascii="Courier New" w:hAnsi="Courier New"/>
          <w:sz w:val="18"/>
        </w:rPr>
        <w:t>GET /v1/institutional/templates</w:t>
      </w:r>
      <w:r>
        <w:t>) with their own Safe/multisig and counsel.</w:t>
      </w:r>
    </w:p>
    <w:p>
      <w:r>
        <w:t xml:space="preserve">Operator runbook (Institutional Lead): review each issuer's engagement before granting attestation scopes; keep </w:t>
      </w:r>
      <w:r>
        <w:rPr>
          <w:rFonts w:ascii="Courier New" w:hAnsi="Courier New"/>
          <w:sz w:val="18"/>
        </w:rPr>
        <w:t>APPROVED_IDENTITY_REGISTRIES</w:t>
      </w:r>
      <w:r>
        <w:t xml:space="preserve"> current per deployed registry; coordinate the final pre-deployment re-review per engagement.</w:t>
      </w:r>
    </w:p>
    <w:p>
      <w:r>
        <w:rPr>
          <w:b/>
        </w:rPr>
        <w:t>Audit</w:t>
      </w:r>
      <w:r>
        <w:t xml:space="preserve"> — manual security review engagements.</w:t>
      </w:r>
    </w:p>
    <w:p>
      <w:r>
        <w:t>Customer flow: checkout a package → scoping call → audit delivery → optional Shield upsell.</w:t>
      </w:r>
    </w:p>
    <w:p>
      <w:r>
        <w:t xml:space="preserve">Operator runbook: respond to </w:t>
      </w:r>
      <w:r>
        <w:rPr>
          <w:rFonts w:ascii="Courier New" w:hAnsi="Courier New"/>
          <w:sz w:val="18"/>
        </w:rPr>
        <w:t>audit_enquiries</w:t>
      </w:r>
      <w:r>
        <w:t xml:space="preserve"> with </w:t>
      </w:r>
      <w:r>
        <w:rPr>
          <w:rFonts w:ascii="Courier New" w:hAnsi="Courier New"/>
          <w:sz w:val="18"/>
        </w:rPr>
        <w:t>paid_ready_to_scope</w:t>
      </w:r>
      <w:r>
        <w:t xml:space="preserve"> status within 24h.</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