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DecaFlow CEO Brief — Non-Technical Overview</w:t>
      </w:r>
    </w:p>
    <w:p>
      <w:pPr>
        <w:pStyle w:val="Heading2"/>
      </w:pPr>
      <w:r>
        <w:t>The simple version</w:t>
      </w:r>
    </w:p>
    <w:p>
      <w:r>
        <w:t>DecaFlow is a Web3 infrastructure company focused on security, compliance, and transaction protection. The company is building its own intelligence layer instead of depending on another risk vendor as the product. That matters because the long-term value of DecaFlow is not a website or a few forms; it is the proprietary risk graph, monitoring system, compliance workflow, and institutional trust layer.</w:t>
      </w:r>
    </w:p>
    <w:p>
      <w:pPr>
        <w:pStyle w:val="Heading2"/>
      </w:pPr>
      <w:r>
        <w:t>What DecaFlow is becoming</w:t>
      </w:r>
    </w:p>
    <w:p>
      <w:r>
        <w:t>DecaFlow has five major product lines:</w:t>
      </w:r>
    </w:p>
    <w:p>
      <w:pPr>
        <w:pStyle w:val="ListNumber"/>
      </w:pPr>
      <w:r>
        <w:rPr>
          <w:b/>
        </w:rPr>
        <w:t>Verify API</w:t>
      </w:r>
      <w:r>
        <w:t xml:space="preserve"> — checks wallets and gives a risk decision.</w:t>
      </w:r>
    </w:p>
    <w:p>
      <w:pPr>
        <w:pStyle w:val="ListNumber"/>
      </w:pPr>
      <w:r>
        <w:rPr>
          <w:b/>
        </w:rPr>
        <w:t>Compliance</w:t>
      </w:r>
      <w:r>
        <w:t xml:space="preserve"> — helps crypto companies review risky users, wallets, and transactions.</w:t>
      </w:r>
    </w:p>
    <w:p>
      <w:pPr>
        <w:pStyle w:val="ListNumber"/>
      </w:pPr>
      <w:r>
        <w:rPr>
          <w:b/>
        </w:rPr>
        <w:t>Shield</w:t>
      </w:r>
      <w:r>
        <w:t xml:space="preserve"> — monitors smart contracts continuously and alerts customers when something dangerous happens.</w:t>
      </w:r>
    </w:p>
    <w:p>
      <w:pPr>
        <w:pStyle w:val="ListNumber"/>
      </w:pPr>
      <w:r>
        <w:rPr>
          <w:b/>
        </w:rPr>
        <w:t>Agents</w:t>
      </w:r>
      <w:r>
        <w:t xml:space="preserve"> — turns compliance decisions into workflows, with humans approving automation before it acts.</w:t>
      </w:r>
    </w:p>
    <w:p>
      <w:pPr>
        <w:pStyle w:val="ListNumber"/>
      </w:pPr>
      <w:r>
        <w:rPr>
          <w:b/>
        </w:rPr>
        <w:t>Institutional/RWA</w:t>
      </w:r>
      <w:r>
        <w:t xml:space="preserve"> — infrastructure for tokenized real-world assets, including identity, transfer rules, and compliance-ready security token contracts.</w:t>
      </w:r>
    </w:p>
    <w:p>
      <w:pPr>
        <w:pStyle w:val="Heading2"/>
      </w:pPr>
      <w:r>
        <w:t>What has been built</w:t>
      </w:r>
    </w:p>
    <w:p>
      <w:pPr>
        <w:pStyle w:val="Heading3"/>
      </w:pPr>
      <w:r>
        <w:t>Public product surface</w:t>
      </w:r>
    </w:p>
    <w:p>
      <w:r>
        <w:t>The public website has product pages for Compliance, Security Audits, Verify API, Shield, Institutional, and Agents. The site is live and reachable. It positions DecaFlow globally, not only as a regional company.</w:t>
      </w:r>
    </w:p>
    <w:p>
      <w:pPr>
        <w:pStyle w:val="Heading3"/>
      </w:pPr>
      <w:r>
        <w:t>Backend platform</w:t>
      </w:r>
    </w:p>
    <w:p>
      <w:r>
        <w:t>The backend now supports:</w:t>
      </w:r>
    </w:p>
    <w:p>
      <w:pPr>
        <w:pStyle w:val="ListBullet"/>
      </w:pPr>
      <w:r>
        <w:t>Customer enquiries.</w:t>
      </w:r>
    </w:p>
    <w:p>
      <w:pPr>
        <w:pStyle w:val="ListBullet"/>
      </w:pPr>
      <w:r>
        <w:t>Verify API signups.</w:t>
      </w:r>
    </w:p>
    <w:p>
      <w:pPr>
        <w:pStyle w:val="ListBullet"/>
      </w:pPr>
      <w:r>
        <w:t>Demo and authenticated wallet screening paths.</w:t>
      </w:r>
    </w:p>
    <w:p>
      <w:pPr>
        <w:pStyle w:val="ListBullet"/>
      </w:pPr>
      <w:r>
        <w:t>Shield customer onboarding and monitoring records.</w:t>
      </w:r>
    </w:p>
    <w:p>
      <w:pPr>
        <w:pStyle w:val="ListBullet"/>
      </w:pPr>
      <w:r>
        <w:t>Agents rules and review queues.</w:t>
      </w:r>
    </w:p>
    <w:p>
      <w:pPr>
        <w:pStyle w:val="ListBullet"/>
      </w:pPr>
      <w:r>
        <w:t>Institutional/RWA waitlist and eligibility checks.</w:t>
      </w:r>
    </w:p>
    <w:p>
      <w:pPr>
        <w:pStyle w:val="ListBullet"/>
      </w:pPr>
      <w:r>
        <w:t>Partner dashboard endpoints.</w:t>
      </w:r>
    </w:p>
    <w:p>
      <w:pPr>
        <w:pStyle w:val="ListBullet"/>
      </w:pPr>
      <w:r>
        <w:t>Database migrations for product data.</w:t>
      </w:r>
    </w:p>
    <w:p>
      <w:pPr>
        <w:pStyle w:val="Heading3"/>
      </w:pPr>
      <w:r>
        <w:t>Proprietary risk engine foundation</w:t>
      </w:r>
    </w:p>
    <w:p>
      <w:r>
        <w:t>This is the most important strategic work. DecaFlow now has its own internal risk-intelligence model:</w:t>
      </w:r>
    </w:p>
    <w:p>
      <w:pPr>
        <w:pStyle w:val="ListBullet"/>
      </w:pPr>
      <w:r>
        <w:t>Risk labels: known sanctioned, mixer, darknet, stolen-fund, scam, exploit, and high-risk addresses.</w:t>
      </w:r>
    </w:p>
    <w:p>
      <w:pPr>
        <w:pStyle w:val="ListBullet"/>
      </w:pPr>
      <w:r>
        <w:t>Risk graph: wallet-to-wallet transaction relationships.</w:t>
      </w:r>
    </w:p>
    <w:p>
      <w:pPr>
        <w:pStyle w:val="ListBullet"/>
      </w:pPr>
      <w:r>
        <w:t>Risk scoring: direct and indirect exposure scoring.</w:t>
      </w:r>
    </w:p>
    <w:p>
      <w:pPr>
        <w:pStyle w:val="ListBullet"/>
      </w:pPr>
      <w:r>
        <w:t>Case feedback: analyst decisions can improve future risk intelligence.</w:t>
      </w:r>
    </w:p>
    <w:p>
      <w:r>
        <w:t>This means DecaFlow is no longer positioned as a wrapper around TRM, Chainalysis, Tenderly, or another vendor. Those services can still be used for infrastructure or reference data if needed, but DecaFlow’s product direction is owned intelligence.</w:t>
      </w:r>
    </w:p>
    <w:p>
      <w:pPr>
        <w:pStyle w:val="Heading3"/>
      </w:pPr>
      <w:r>
        <w:t>Shield foundation</w:t>
      </w:r>
    </w:p>
    <w:p>
      <w:r>
        <w:t>Shield now has alert history, incident records, action rules, and email-based actions. It can accept on-chain events from DecaFlow-owned watchers and create incidents. This is the foundation of a continuous security SaaS.</w:t>
      </w:r>
    </w:p>
    <w:p>
      <w:pPr>
        <w:pStyle w:val="Heading3"/>
      </w:pPr>
      <w:r>
        <w:t>Institutional/RWA foundation</w:t>
      </w:r>
    </w:p>
    <w:p>
      <w:r>
        <w:t>The smart contracts exist and have tests passing. They are not ready for live securities issuance yet, but the technical foundation is real.</w:t>
      </w:r>
    </w:p>
    <w:p>
      <w:pPr>
        <w:pStyle w:val="Heading2"/>
      </w:pPr>
      <w:r>
        <w:t>What is still left</w:t>
      </w:r>
    </w:p>
    <w:p>
      <w:pPr>
        <w:pStyle w:val="Heading3"/>
      </w:pPr>
      <w:r>
        <w:t>The risk engine needs constant data expansion</w:t>
      </w:r>
    </w:p>
    <w:p>
      <w:r>
        <w:t>A risk system is only as good as its dataset. The code exists, but DecaFlow must now build the proprietary dataset:</w:t>
      </w:r>
    </w:p>
    <w:p>
      <w:pPr>
        <w:pStyle w:val="ListBullet"/>
      </w:pPr>
      <w:r>
        <w:t>Public sanctions lists.</w:t>
      </w:r>
    </w:p>
    <w:p>
      <w:pPr>
        <w:pStyle w:val="ListBullet"/>
      </w:pPr>
      <w:r>
        <w:t>Public exploit and scam labels.</w:t>
      </w:r>
    </w:p>
    <w:p>
      <w:pPr>
        <w:pStyle w:val="ListBullet"/>
      </w:pPr>
      <w:r>
        <w:t>Mixer and darknet labels.</w:t>
      </w:r>
    </w:p>
    <w:p>
      <w:pPr>
        <w:pStyle w:val="ListBullet"/>
      </w:pPr>
      <w:r>
        <w:t>Wallet transaction graph data.</w:t>
      </w:r>
    </w:p>
    <w:p>
      <w:pPr>
        <w:pStyle w:val="ListBullet"/>
      </w:pPr>
      <w:r>
        <w:t>Analyst-reviewed cases.</w:t>
      </w:r>
    </w:p>
    <w:p>
      <w:r>
        <w:t>This is not a one-day task. It is the core data moat of the company.</w:t>
      </w:r>
    </w:p>
    <w:p>
      <w:pPr>
        <w:pStyle w:val="Heading3"/>
      </w:pPr>
      <w:r>
        <w:t>Shield needs deeper watchers</w:t>
      </w:r>
    </w:p>
    <w:p>
      <w:r>
        <w:t>Shield needs watchers for admin changes, proxy upgrades, suspicious transfers, risky counterparties, approvals, failed transaction spikes, and role changes. The database and workflow are ready for these signals, but the watchers must be built and run continuously.</w:t>
      </w:r>
    </w:p>
    <w:p>
      <w:pPr>
        <w:pStyle w:val="Heading3"/>
      </w:pPr>
      <w:r>
        <w:t>RWA needs legal and operational readiness</w:t>
      </w:r>
    </w:p>
    <w:p>
      <w:r>
        <w:t>RWA cannot be launched as real securities infrastructure until legal counsel confirms the offering model. Tokenized securities are still securities. The blockchain wrapper does not remove legal obligations.</w:t>
      </w:r>
    </w:p>
    <w:p>
      <w:pPr>
        <w:pStyle w:val="Heading2"/>
      </w:pPr>
      <w:r>
        <w:t>What the CEO should say publicly right now</w:t>
      </w:r>
    </w:p>
    <w:p>
      <w:r>
        <w:t>Safe message:</w:t>
      </w:r>
    </w:p>
    <w:p>
      <w:pPr>
        <w:pStyle w:val="Quote"/>
      </w:pPr>
      <w:r>
        <w:t>DecaFlow is launching a public beta for Web3 compliance, wallet screening, continuous security monitoring, and institutional tokenization infrastructure. We are building DecaFlow-owned risk intelligence and monitoring systems rather than reselling another vendor’s product. Early customers can join as design partners while we expand our proprietary risk graph and Shield monitoring engine.</w:t>
      </w:r>
    </w:p>
    <w:p>
      <w:r>
        <w:t>Avoid saying:</w:t>
      </w:r>
    </w:p>
    <w:p>
      <w:pPr>
        <w:pStyle w:val="ListBullet"/>
      </w:pPr>
      <w:r>
        <w:t>“Fully autonomous compliance.”</w:t>
      </w:r>
    </w:p>
    <w:p>
      <w:pPr>
        <w:pStyle w:val="ListBullet"/>
      </w:pPr>
      <w:r>
        <w:t>“Guaranteed securities compliance.”</w:t>
      </w:r>
    </w:p>
    <w:p>
      <w:pPr>
        <w:pStyle w:val="ListBullet"/>
      </w:pPr>
      <w:r>
        <w:t>“Audited production RWA issuance.”</w:t>
      </w:r>
    </w:p>
    <w:p>
      <w:pPr>
        <w:pStyle w:val="ListBullet"/>
      </w:pPr>
      <w:r>
        <w:t>“Chainalysis/TRM replacement today.”</w:t>
      </w:r>
    </w:p>
    <w:p>
      <w:pPr>
        <w:pStyle w:val="ListBullet"/>
      </w:pPr>
      <w:r>
        <w:t>“Real-time exploit prevention for all contracts.”</w:t>
      </w:r>
    </w:p>
    <w:p>
      <w:r>
        <w:t>Better wording:</w:t>
      </w:r>
    </w:p>
    <w:p>
      <w:pPr>
        <w:pStyle w:val="ListBullet"/>
      </w:pPr>
      <w:r>
        <w:t>“Public beta.”</w:t>
      </w:r>
    </w:p>
    <w:p>
      <w:pPr>
        <w:pStyle w:val="ListBullet"/>
      </w:pPr>
      <w:r>
        <w:t>“Design partners.”</w:t>
      </w:r>
    </w:p>
    <w:p>
      <w:pPr>
        <w:pStyle w:val="ListBullet"/>
      </w:pPr>
      <w:r>
        <w:t>“Proprietary risk graph in active expansion.”</w:t>
      </w:r>
    </w:p>
    <w:p>
      <w:pPr>
        <w:pStyle w:val="ListBullet"/>
      </w:pPr>
      <w:r>
        <w:t>“Continuous monitoring foundation.”</w:t>
      </w:r>
    </w:p>
    <w:p>
      <w:pPr>
        <w:pStyle w:val="ListBullet"/>
      </w:pPr>
      <w:r>
        <w:t>“Human-approved automation.”</w:t>
      </w:r>
    </w:p>
    <w:p>
      <w:pPr>
        <w:pStyle w:val="ListBullet"/>
      </w:pPr>
      <w:r>
        <w:t>“RWA infrastructure under legal and security review.”</w:t>
      </w:r>
    </w:p>
    <w:p>
      <w:pPr>
        <w:pStyle w:val="Heading2"/>
      </w:pPr>
      <w:r>
        <w:t>What leadership must decide</w:t>
      </w:r>
    </w:p>
    <w:p>
      <w:pPr>
        <w:pStyle w:val="ListNumber"/>
      </w:pPr>
      <w:r>
        <w:t>Which product launches first as revenue-generating beta: Verify, Shield, or Compliance.</w:t>
      </w:r>
    </w:p>
    <w:p>
      <w:pPr>
        <w:pStyle w:val="ListNumber"/>
      </w:pPr>
      <w:r>
        <w:t>Whether manual audits remain a service or become only an entry point into Shield.</w:t>
      </w:r>
    </w:p>
    <w:p>
      <w:pPr>
        <w:pStyle w:val="ListNumber"/>
      </w:pPr>
      <w:r>
        <w:t>Who owns analyst review and label curation internally.</w:t>
      </w:r>
    </w:p>
    <w:p>
      <w:pPr>
        <w:pStyle w:val="ListNumber"/>
      </w:pPr>
      <w:r>
        <w:t>Which customers become design partners.</w:t>
      </w:r>
    </w:p>
    <w:p>
      <w:pPr>
        <w:pStyle w:val="ListNumber"/>
      </w:pPr>
      <w:r>
        <w:t>Which jurisdictions RWA targets first.</w:t>
      </w:r>
    </w:p>
    <w:p>
      <w:pPr>
        <w:pStyle w:val="ListNumber"/>
      </w:pPr>
      <w:r>
        <w:t>Budget for RPC/indexing infrastructure.</w:t>
      </w:r>
    </w:p>
    <w:p>
      <w:pPr>
        <w:pStyle w:val="ListNumber"/>
      </w:pPr>
      <w:r>
        <w:t>Budget for legal counsel before securities deployment.</w:t>
      </w:r>
    </w:p>
    <w:p>
      <w:pPr>
        <w:pStyle w:val="Heading2"/>
      </w:pPr>
      <w:r>
        <w:t>Immediate CEO action list</w:t>
      </w:r>
    </w:p>
    <w:p>
      <w:pPr>
        <w:pStyle w:val="ListNumber"/>
      </w:pPr>
      <w:r>
        <w:t>Approve “public beta” language.</w:t>
      </w:r>
    </w:p>
    <w:p>
      <w:pPr>
        <w:pStyle w:val="ListNumber"/>
      </w:pPr>
      <w:r>
        <w:t>Assign one person to own risk-label research.</w:t>
      </w:r>
    </w:p>
    <w:p>
      <w:pPr>
        <w:pStyle w:val="ListNumber"/>
      </w:pPr>
      <w:r>
        <w:t>Assign one engineer to own graph ingestion/indexers.</w:t>
      </w:r>
    </w:p>
    <w:p>
      <w:pPr>
        <w:pStyle w:val="ListNumber"/>
      </w:pPr>
      <w:r>
        <w:t>Assign one operator to handle Shield incidents and customer communication.</w:t>
      </w:r>
    </w:p>
    <w:p>
      <w:pPr>
        <w:pStyle w:val="ListNumber"/>
      </w:pPr>
      <w:r>
        <w:t>Create Safe multisigs for RWA on Base, Arbitrum, Polygon, and Avalanche when ready.</w:t>
      </w:r>
    </w:p>
    <w:p>
      <w:pPr>
        <w:pStyle w:val="ListNumber"/>
      </w:pPr>
      <w:r>
        <w:t>Engage securities counsel before any real RWA customer deployment.</w:t>
      </w:r>
    </w:p>
    <w:p>
      <w:pPr>
        <w:pStyle w:val="Heading2"/>
      </w:pPr>
      <w:r>
        <w:t>Strategic moat</w:t>
      </w:r>
    </w:p>
    <w:p>
      <w:r>
        <w:t>The moat is not the frontend. The moat is DecaFlow’s internal graph and review loop:</w:t>
      </w:r>
    </w:p>
    <w:p>
      <w:pPr>
        <w:pStyle w:val="ListBullet"/>
      </w:pPr>
      <w:r>
        <w:t>More watched wallets create more graph data.</w:t>
      </w:r>
    </w:p>
    <w:p>
      <w:pPr>
        <w:pStyle w:val="ListBullet"/>
      </w:pPr>
      <w:r>
        <w:t>More analyst decisions create better labels.</w:t>
      </w:r>
    </w:p>
    <w:p>
      <w:pPr>
        <w:pStyle w:val="ListBullet"/>
      </w:pPr>
      <w:r>
        <w:t>Better labels create better risk scores.</w:t>
      </w:r>
    </w:p>
    <w:p>
      <w:pPr>
        <w:pStyle w:val="ListBullet"/>
      </w:pPr>
      <w:r>
        <w:t>Better scores power Compliance, Verify, Shield, Agents, and RWA.</w:t>
      </w:r>
    </w:p>
    <w:p>
      <w:pPr>
        <w:pStyle w:val="ListBullet"/>
      </w:pPr>
      <w:r>
        <w:t>Each product strengthens the same intelligence core.</w:t>
      </w:r>
    </w:p>
    <w:p>
      <w:r>
        <w:t>That is how DecaFlow becomes a real platform rather than a collection of pages.</w:t>
      </w:r>
    </w:p>
    <w:p>
      <w:pPr>
        <w:pStyle w:val="Heading2"/>
      </w:pPr>
      <w:r>
        <w:t>Launch readiness re-review — 2026-08-08</w:t>
      </w:r>
    </w:p>
    <w:p>
      <w:pPr>
        <w:pStyle w:val="Heading3"/>
      </w:pPr>
      <w:r>
        <w:t>CEO answer: are we ready to go public?</w:t>
      </w:r>
    </w:p>
    <w:p>
      <w:r>
        <w:t>DecaFlow can go public as a serious public beta / design-partner program now. DecaFlow should not yet go public claiming “100% complete enterprise-grade coverage,” because risk intelligence and security monitoring become trustworthy through live data, scheduled ingestion, customer feedback, and repeated case review, not just code.</w:t>
      </w:r>
    </w:p>
    <w:p>
      <w:r>
        <w:t>The most important improvement is that DecaFlow now owns the core risk engine direction. We are not simply wrapping another company’s wallet-risk API. The system now has DecaFlow-owned label ingestion, graph ingestion, scoring, case review, Shield alerts/incidents, and human-approved compliance automation.</w:t>
      </w:r>
    </w:p>
    <w:p>
      <w:pPr>
        <w:pStyle w:val="Heading3"/>
      </w:pPr>
      <w:r>
        <w:t>What is done now</w:t>
      </w:r>
    </w:p>
    <w:p>
      <w:pPr>
        <w:pStyle w:val="ListBullet"/>
      </w:pPr>
      <w:r>
        <w:t>The internal risk engine exists and is wired into authenticated Verify checks.</w:t>
      </w:r>
    </w:p>
    <w:p>
      <w:pPr>
        <w:pStyle w:val="ListBullet"/>
      </w:pPr>
      <w:r>
        <w:t>OFAC, public sanctions extraction, curated labels, Alchemy graph ingestion, calibration checks, and analyst case review are implemented.</w:t>
      </w:r>
    </w:p>
    <w:p>
      <w:pPr>
        <w:pStyle w:val="ListBullet"/>
      </w:pPr>
      <w:r>
        <w:t>Shield has alerts, incidents, action rules, and email action infrastructure.</w:t>
      </w:r>
    </w:p>
    <w:p>
      <w:pPr>
        <w:pStyle w:val="ListBullet"/>
      </w:pPr>
      <w:r>
        <w:t>Agents has human-approved automation and review queues.</w:t>
      </w:r>
    </w:p>
    <w:p>
      <w:pPr>
        <w:pStyle w:val="ListBullet"/>
      </w:pPr>
      <w:r>
        <w:t>RWA contracts have passing tests after the prior audit fixes.</w:t>
      </w:r>
    </w:p>
    <w:p>
      <w:pPr>
        <w:pStyle w:val="ListBullet"/>
      </w:pPr>
      <w:r>
        <w:t>The three launch documents now separate the technical, CEO, and BD messages.</w:t>
      </w:r>
    </w:p>
    <w:p>
      <w:pPr>
        <w:pStyle w:val="Heading3"/>
      </w:pPr>
      <w:r>
        <w:t>What still blocks a “100% complete” launch claim</w:t>
      </w:r>
    </w:p>
    <w:p>
      <w:pPr>
        <w:pStyle w:val="ListNumber"/>
      </w:pPr>
      <w:r>
        <w:rPr>
          <w:b/>
        </w:rPr>
        <w:t>Data must be populated and refreshed.</w:t>
      </w:r>
      <w:r>
        <w:t xml:space="preserve"> The product has ingestion scripts, but leadership should confirm they have run in production and are scheduled.</w:t>
      </w:r>
    </w:p>
    <w:p>
      <w:pPr>
        <w:pStyle w:val="ListNumber"/>
      </w:pPr>
      <w:r>
        <w:rPr>
          <w:b/>
        </w:rPr>
        <w:t>Alchemy must be tested live.</w:t>
      </w:r>
      <w:r>
        <w:t xml:space="preserve"> Webhooks are configured only when Alchemy successfully sends signed events and the backend stores graph edges.</w:t>
      </w:r>
    </w:p>
    <w:p>
      <w:pPr>
        <w:pStyle w:val="ListNumber"/>
      </w:pPr>
      <w:r>
        <w:rPr>
          <w:b/>
        </w:rPr>
        <w:t>Public copy must match reality.</w:t>
      </w:r>
      <w:r>
        <w:t xml:space="preserve"> Any page that still says risk scoring is only demo output must be updated or clearly limited to public demo widgets.</w:t>
      </w:r>
    </w:p>
    <w:p>
      <w:pPr>
        <w:pStyle w:val="ListNumber"/>
      </w:pPr>
      <w:r>
        <w:rPr>
          <w:b/>
        </w:rPr>
        <w:t>Shield is beta, not final enterprise monitoring.</w:t>
      </w:r>
      <w:r>
        <w:t xml:space="preserve"> It has the foundation, but still needs deeper admin-change, proxy-change, approval-spike, vulnerability, and incident workflow coverage before “full security SaaS” claims.</w:t>
      </w:r>
    </w:p>
    <w:p>
      <w:pPr>
        <w:pStyle w:val="ListNumber"/>
      </w:pPr>
      <w:r>
        <w:rPr>
          <w:b/>
        </w:rPr>
        <w:t>RWA is not public-production securities infrastructure yet.</w:t>
      </w:r>
      <w:r>
        <w:t xml:space="preserve"> It still needs legal approval, Safe/multisig setup, production deployments, KYC/accreditation provider integration, and a final re-review.</w:t>
      </w:r>
    </w:p>
    <w:p>
      <w:pPr>
        <w:pStyle w:val="ListNumber"/>
      </w:pPr>
      <w:r>
        <w:rPr>
          <w:b/>
        </w:rPr>
        <w:t>Admin security needs upgrading.</w:t>
      </w:r>
      <w:r>
        <w:t xml:space="preserve"> </w:t>
      </w:r>
      <w:r>
        <w:rPr>
          <w:rFonts w:ascii="Courier New" w:hAnsi="Courier New"/>
        </w:rPr>
        <w:t>X-Admin-Key</w:t>
      </w:r>
      <w:r>
        <w:t xml:space="preserve"> can protect beta tools, but a public platform should move to authenticated organization accounts, roles, and audit logs.</w:t>
      </w:r>
    </w:p>
    <w:p>
      <w:pPr>
        <w:pStyle w:val="Heading3"/>
      </w:pPr>
      <w:r>
        <w:t>CEO-approved public language</w:t>
      </w:r>
    </w:p>
    <w:p>
      <w:r>
        <w:t>Use this externally:</w:t>
      </w:r>
    </w:p>
    <w:p>
      <w:pPr>
        <w:pStyle w:val="Quote"/>
      </w:pPr>
      <w:r>
        <w:t>DecaFlow is launching a public beta for Web3 risk intelligence, compliance workflow automation, and continuous contract monitoring. The platform uses DecaFlow-owned labels, graph ingestion, scoring, alerts, and analyst feedback loops, with early design partners helping expand coverage across real wallets, contracts, and chains.</w:t>
      </w:r>
    </w:p>
    <w:p>
      <w:r>
        <w:t>Do not say:</w:t>
      </w:r>
    </w:p>
    <w:p>
      <w:pPr>
        <w:pStyle w:val="ListBullet"/>
      </w:pPr>
      <w:r>
        <w:t>“100% complete.”</w:t>
      </w:r>
    </w:p>
    <w:p>
      <w:pPr>
        <w:pStyle w:val="ListBullet"/>
      </w:pPr>
      <w:r>
        <w:t>“Guaranteed compliance.”</w:t>
      </w:r>
    </w:p>
    <w:p>
      <w:pPr>
        <w:pStyle w:val="ListBullet"/>
      </w:pPr>
      <w:r>
        <w:t>“Detects every exploit.”</w:t>
      </w:r>
    </w:p>
    <w:p>
      <w:pPr>
        <w:pStyle w:val="ListBullet"/>
      </w:pPr>
      <w:r>
        <w:t>“Chainalysis/TRM replacement today.”</w:t>
      </w:r>
    </w:p>
    <w:p>
      <w:pPr>
        <w:pStyle w:val="ListBullet"/>
      </w:pPr>
      <w:r>
        <w:t>“Fully autonomous enforcement.”</w:t>
      </w:r>
    </w:p>
    <w:p>
      <w:pPr>
        <w:pStyle w:val="ListBullet"/>
      </w:pPr>
      <w:r>
        <w:t>“Ready for live securities issuance without counsel.”</w:t>
      </w:r>
    </w:p>
    <w:p>
      <w:pPr>
        <w:pStyle w:val="Heading3"/>
      </w:pPr>
      <w:r>
        <w:t>CEO action list before the public announcement</w:t>
      </w:r>
    </w:p>
    <w:p>
      <w:pPr>
        <w:pStyle w:val="ListBullet"/>
      </w:pPr>
      <w:r>
        <w:t>Confirm Render has the final env vars and the latest deploy is live.</w:t>
      </w:r>
    </w:p>
    <w:p>
      <w:pPr>
        <w:pStyle w:val="ListBullet"/>
      </w:pPr>
      <w:r>
        <w:t>Confirm the Alchemy webhooks send successful signed test events.</w:t>
      </w:r>
    </w:p>
    <w:p>
      <w:pPr>
        <w:pStyle w:val="ListBullet"/>
      </w:pPr>
      <w:r>
        <w:t>Approve public beta language instead of final-enterprise language.</w:t>
      </w:r>
    </w:p>
    <w:p>
      <w:pPr>
        <w:pStyle w:val="ListBullet"/>
      </w:pPr>
      <w:r>
        <w:t>Pick the first launch motion: Shield design partners, Verify API beta, or Compliance workflows. Trying to sell all products equally on day one will dilute the message.</w:t>
      </w:r>
    </w:p>
    <w:p>
      <w:pPr>
        <w:pStyle w:val="ListBullet"/>
      </w:pPr>
      <w:r>
        <w:t>Assign one owner for data operations: sanctions refresh, label review, graph backfills, and calibration.</w:t>
      </w:r>
    </w:p>
    <w:p>
      <w:pPr>
        <w:pStyle w:val="ListBullet"/>
      </w:pPr>
      <w:r>
        <w:t>Rotate the temporary GitHub token used during implementation.</w:t>
      </w:r>
    </w:p>
    <w:p>
      <w:pPr>
        <w:pStyle w:val="Heading2"/>
      </w:pPr>
      <w:r>
        <w:t>Immediate hardening update — 2026-08-08</w:t>
      </w:r>
    </w:p>
    <w:p>
      <w:r>
        <w:t>The team has started moving DecaFlow from beta foundations toward stronger public operations. Three important pieces were added:</w:t>
      </w:r>
    </w:p>
    <w:p>
      <w:pPr>
        <w:pStyle w:val="ListNumber"/>
      </w:pPr>
      <w:r>
        <w:rPr>
          <w:b/>
        </w:rPr>
        <w:t>Production ingestion runbook.</w:t>
      </w:r>
      <w:r>
        <w:t xml:space="preserve"> The team now has exact commands for loading OFAC, public sanctions, curated labels, and calibration data into the production database from Render.</w:t>
      </w:r>
    </w:p>
    <w:p>
      <w:pPr>
        <w:pStyle w:val="ListNumber"/>
      </w:pPr>
      <w:r>
        <w:rPr>
          <w:b/>
        </w:rPr>
        <w:t>Shield security scanner.</w:t>
      </w:r>
      <w:r>
        <w:t xml:space="preserve"> Shield now has a scanner for ownership changes, role changes, proxy upgrades, proxy admin changes, approval events, transfer events, and code-hash changes on watched contracts.</w:t>
      </w:r>
    </w:p>
    <w:p>
      <w:pPr>
        <w:pStyle w:val="ListNumber"/>
      </w:pPr>
      <w:r>
        <w:rPr>
          <w:b/>
        </w:rPr>
        <w:t>Scoped admin keys.</w:t>
      </w:r>
      <w:r>
        <w:t xml:space="preserve"> Admin APIs now support hashed database-backed admin keys with scopes and audit logs, while the old single </w:t>
      </w:r>
      <w:r>
        <w:rPr>
          <w:rFonts w:ascii="Courier New" w:hAnsi="Courier New"/>
        </w:rPr>
        <w:t>ADMIN_KEY</w:t>
      </w:r>
      <w:r>
        <w:t xml:space="preserve"> remains only as a transition fallback.</w:t>
      </w:r>
    </w:p>
    <w:p>
      <w:r>
        <w:t>This improves launch readiness, but it does not remove the need for production operations. Leadership still needs to confirm the jobs actually ran in production, the Shield scanner is scheduled, and the first customer/pilot addresses are being monitored.</w:t>
      </w:r>
    </w:p>
    <w:p>
      <w:pPr>
        <w:pStyle w:val="Heading2"/>
      </w:pPr>
      <w:r>
        <w:t>Render Shell alternative approved</w:t>
      </w:r>
    </w:p>
    <w:p>
      <w:r>
        <w:t>The team does not need Render Shell to operate ingestion. GitHub Actions has been added as the production ops runner. It can refresh sanctions and curated labels every 6 hours, run calibration, and run Shield monitoring/scanning every 15 minutes using GitHub encrypted secrets.</w:t>
      </w:r>
    </w:p>
    <w:p>
      <w:r>
        <w:t>Leadership only needs to make sure the required production secrets are added to GitHub and that the first manual run succeeds from the Actions tab.</w:t>
      </w:r>
    </w:p>
    <w:p>
      <w:pPr>
        <w:pStyle w:val="Heading2"/>
      </w:pPr>
      <w:r>
        <w:t>Post-run review update</w:t>
      </w:r>
    </w:p>
    <w:p>
      <w:r>
        <w:t>The GitHub Actions runner works, but the first run exposed operational gaps: OFAC parsing needed an update, EU sanctions requires a proper tokenized download URL, and Alchemy free-tier RPCs require small scan ranges. The team updated the code so these issues fail loudly instead of producing misleading green runs. This is good governance: a security product should prefer a noisy failure over a quiet blind spot.</w:t>
      </w:r>
    </w:p>
    <w:p>
      <w:pPr>
        <w:pStyle w:val="Heading2"/>
      </w:pPr>
      <w:r>
        <w:t>Founder console and checkout update — 2026-08-08</w:t>
      </w:r>
    </w:p>
    <w:p>
      <w:r>
        <w:t xml:space="preserve">DecaFlow now has a founder control center at </w:t>
      </w:r>
      <w:r>
        <w:rPr>
          <w:rFonts w:ascii="Courier New" w:hAnsi="Courier New"/>
        </w:rPr>
        <w:t>/founder-control</w:t>
      </w:r>
      <w:r>
        <w:t>. This gives the founder one private place to manage products, customers, test access, API keys, incidents, payment/customer records, product availability, and operational links without using the repository for day-to-day control.</w:t>
      </w:r>
    </w:p>
    <w:p>
      <w:r>
        <w:t>The most important business change is that Compliance, Audit, and Verify now follow the same payment direction as Shield: crypto checkout uses NOWPayments, while bank transfer remains a manual request that DecaFlow handles by email. This keeps payment operations consistent and avoids splitting product revenue flows across multiple systems.</w:t>
      </w:r>
    </w:p>
    <w:p>
      <w:r>
        <w:t>Public product availability is also now controllable from the founder console. A product can be marked active, beta, pre-production, paused, internal-only, or not accepting customers, and those settings affect the public pages. This gives leadership a practical launch-control switch for each product line.</w:t>
      </w:r>
    </w:p>
    <w:p>
      <w:r>
        <w:t>The public pages also received brand harmonization. DecaFlow should use a dark-blue/blue system as the core identity; red/yellow/green should be reserved for risk/status communication, not broad product branding.</w:t>
      </w:r>
    </w:p>
    <w:p>
      <w:pPr>
        <w:pStyle w:val="Heading2"/>
      </w:pPr>
      <w:r>
        <w:t>Risk and enterprise hardening update — 2026-08-09</w:t>
      </w:r>
    </w:p>
    <w:p>
      <w:r>
        <w:t>DecaFlow has now expanded its own risk-intelligence dataset beyond the first sanctions and curated-label foundation. The platform ingests public scam/phishing feeds into DecaFlow’s database, records ingestion history, and exposes coverage reporting so leadership can see how many labels exist by category, source, and chain.</w:t>
      </w:r>
    </w:p>
    <w:p>
      <w:r>
        <w:t>The latest verified production run added 2,530 ScamSniffer labels and 652 MyEtherWallet darklist labels. Calibration also passed for known sanctioned, mixer, and exploit-linked wallets, and the live backend flagged a ScamSniffer-listed wallet through DecaFlow’s own internal scoring engine.</w:t>
      </w:r>
    </w:p>
    <w:p>
      <w:r>
        <w:t>This is a major step, but it is still not enough to claim Chainalysis/TRM-level market coverage. Those companies have years of proprietary investigations, exchange partnerships, law-enforcement feedback, ransomware/darknet datasets, and analyst operations. DecaFlow now has the system needed to build that moat, but the moat grows through continuous research and case review, not through one code deploy.</w:t>
      </w:r>
    </w:p>
    <w:p>
      <w:r>
        <w:t>Agents and customer accounts were also hardened. Customers now have organization-session and scoped API-key controls for member management, key management, rules, review queues, evaluation, and automation approval. The public Agents page no longer presents unauthenticated rule-building as the production model; production workflows require authenticated org access or scoped service keys.</w:t>
      </w:r>
    </w:p>
    <w:p>
      <w:r>
        <w:t>Leadership’s updated position should be:</w:t>
      </w:r>
    </w:p>
    <w:p>
      <w:pPr>
        <w:pStyle w:val="Quote"/>
      </w:pPr>
      <w:r>
        <w:t>DecaFlow has a real DecaFlow-owned risk engine and is expanding coverage through sanctions, scam/phishing feeds, curated intelligence, graph ingestion, calibration, and analyst feedback. We can onboard customers into controlled production/beta workflows now, while we continue scaling dataset coverage toward the largest market incumbents.</w:t>
      </w:r>
    </w:p>
    <w:p>
      <w:r>
        <w:t>Leadership should still avoid:</w:t>
      </w:r>
    </w:p>
    <w:p>
      <w:pPr>
        <w:pStyle w:val="ListBullet"/>
      </w:pPr>
      <w:r>
        <w:t>“We are already as broad as Chainalysis/TRM.”</w:t>
      </w:r>
    </w:p>
    <w:p>
      <w:pPr>
        <w:pStyle w:val="ListBullet"/>
      </w:pPr>
      <w:r>
        <w:t>“Fully comprehensive darknet/mixer/scam coverage is finished.”</w:t>
      </w:r>
    </w:p>
    <w:p>
      <w:pPr>
        <w:pStyle w:val="ListBullet"/>
      </w:pPr>
      <w:r>
        <w:t>“Agents can operate without accountable human or org-level controls.”</w:t>
      </w:r>
    </w:p>
    <w:p>
      <w:r>
        <w:t>The next CEO-level operating requirement is to assign a risk-intelligence owner who adds new public and internally verified sources every week, reviews false positives, tags new incidents, and uses customer pilot cases to improve DecaFlow’s proprietary graph.</w:t>
      </w:r>
    </w:p>
    <w:p>
      <w:pPr>
        <w:pStyle w:val="Heading2"/>
      </w:pPr>
      <w:r>
        <w:t>Product guide and staffing plan — 2026-08-09</w:t>
      </w:r>
    </w:p>
    <w:p>
      <w:pPr>
        <w:pStyle w:val="Heading3"/>
      </w:pPr>
      <w:r>
        <w:t>The product line, in plain language</w:t>
      </w:r>
    </w:p>
    <w:p>
      <w:pPr>
        <w:pStyle w:val="ListNumber"/>
      </w:pPr>
      <w:r>
        <w:rPr>
          <w:b/>
        </w:rPr>
        <w:t>Verify API</w:t>
      </w:r>
      <w:r>
        <w:t xml:space="preserve"> — a company sends us a wallet address through the API or their account dashboard; we answer approve, review, or reject, with reasons. Sold as monthly API plans.</w:t>
      </w:r>
    </w:p>
    <w:p>
      <w:pPr>
        <w:pStyle w:val="ListNumber"/>
      </w:pPr>
      <w:r>
        <w:rPr>
          <w:b/>
        </w:rPr>
        <w:t>Compliance</w:t>
      </w:r>
      <w:r>
        <w:t xml:space="preserve"> — the workflow around those answers: who reviewed what, what was decided, and the evidence trail. Sold as monthly plans with onboarding.</w:t>
      </w:r>
    </w:p>
    <w:p>
      <w:pPr>
        <w:pStyle w:val="ListNumber"/>
      </w:pPr>
      <w:r>
        <w:rPr>
          <w:b/>
        </w:rPr>
        <w:t>Shield</w:t>
      </w:r>
      <w:r>
        <w:t xml:space="preserve"> — a watchtower for deployed smart contracts. Customers can add watched contracts from their dashboard, and Shield checks every 15 minutes for ownership changes, upgrades, suspicious approvals/transfers, code changes, and exposed privileged functions, then opens alerts and incidents with step-by-step response playbooks. Sold per monitored contract.</w:t>
      </w:r>
    </w:p>
    <w:p>
      <w:pPr>
        <w:pStyle w:val="ListNumber"/>
      </w:pPr>
      <w:r>
        <w:rPr>
          <w:b/>
        </w:rPr>
        <w:t>Autopilot</w:t>
      </w:r>
      <w:r>
        <w:t xml:space="preserve"> (new name for "Agents") — agentic compliance workflows. Customers set rules from their dashboard; flagged wallets go to a human review queue; named users approve or reject items; after a team shows a consistent pattern, Autopilot asks permission to handle that pattern automatically. Automation is earned and approved, never assumed.</w:t>
      </w:r>
    </w:p>
    <w:p>
      <w:pPr>
        <w:pStyle w:val="ListNumber"/>
      </w:pPr>
      <w:r>
        <w:rPr>
          <w:b/>
        </w:rPr>
        <w:t>Institutional/RWA</w:t>
      </w:r>
      <w:r>
        <w:t xml:space="preserve"> — the compliance suite RWA issuers build on: ZK-KYC identity attestations, automated accredited-investor checks, and pre-audited smart contract templates. Issuers can record attestations and run checks from their dashboard. DecaFlow sells the rails; issuers own their offering and their counsel.</w:t>
      </w:r>
    </w:p>
    <w:p>
      <w:pPr>
        <w:pStyle w:val="ListNumber"/>
      </w:pPr>
      <w:r>
        <w:rPr>
          <w:b/>
        </w:rPr>
        <w:t>Audit</w:t>
      </w:r>
      <w:r>
        <w:t xml:space="preserve"> — paid one-time security reviews, and the natural entry point into Shield.</w:t>
      </w:r>
    </w:p>
    <w:p>
      <w:pPr>
        <w:pStyle w:val="Heading3"/>
      </w:pPr>
      <w:r>
        <w:t>Customer experience</w:t>
      </w:r>
    </w:p>
    <w:p>
      <w:r>
        <w:t>Customers log in at decaflow.xyz/login with an email link — no passwords. Their account page shows their team, their API keys, and interactive dashboards for the products they have paid for. Crypto payments run through NOWPayments and confirmation emails go out automatically when payment is confirmed; bank transfers stay manual by design.</w:t>
      </w:r>
    </w:p>
    <w:p>
      <w:r>
        <w:t>The account page is now a working product surface. Verify customers can run wallet screenings from the page. Shield customers can add watched contracts. Autopilot customers can create rules and approve or reject review-queue items. Institutional/RWA issuer customers can record identity attestations and run investor checks. Compliance and Audit customers can see the status of their engagements.</w:t>
      </w:r>
    </w:p>
    <w:p>
      <w:r>
        <w:t>Founder-created test accounts are the only exception to paid-product gating. New founder test accounts are automatically unlocked for all product dashboards and seeded with realistic preview data: Shield contract monitoring, Autopilot rules and pending queue items, Verify screenings, and Institutional attestation/check records. This gives the founder a true paid-customer preview without taking a payment. Older test accounts created before this seeding change will still look sparse unless recreated or populated through the dashboard forms.</w:t>
      </w:r>
    </w:p>
    <w:p>
      <w:pPr>
        <w:pStyle w:val="Heading3"/>
      </w:pPr>
      <w:r>
        <w:t>Who should man each product</w:t>
      </w:r>
    </w:p>
    <w:p>
      <w:pPr>
        <w:pStyle w:val="ListBullet"/>
      </w:pPr>
      <w:r>
        <w:rPr>
          <w:b/>
        </w:rPr>
        <w:t>Risk Intelligence Owner</w:t>
      </w:r>
      <w:r>
        <w:t xml:space="preserve"> (1 person): owns Verify/Compliance data quality. Weekly: add new risk labels from public incidents, review false positives, check the coverage dashboard. This person grows the moat.</w:t>
      </w:r>
    </w:p>
    <w:p>
      <w:pPr>
        <w:pStyle w:val="ListBullet"/>
      </w:pPr>
      <w:r>
        <w:rPr>
          <w:b/>
        </w:rPr>
        <w:t>Security Operator</w:t>
      </w:r>
      <w:r>
        <w:t xml:space="preserve"> (1 person): owns Shield. Daily: triage alerts, incidents, and vulnerability findings using the built-in playbooks; confirm scans are green.</w:t>
      </w:r>
    </w:p>
    <w:p>
      <w:pPr>
        <w:pStyle w:val="ListBullet"/>
      </w:pPr>
      <w:r>
        <w:rPr>
          <w:b/>
        </w:rPr>
        <w:t>Compliance Ops</w:t>
      </w:r>
      <w:r>
        <w:t xml:space="preserve"> (1 person, can be shared): owns Autopilot review queues and customer enquiries across Compliance/Verify/Audit; responds to paid enquiries within 24 hours; sends manual bank-transfer details.</w:t>
      </w:r>
    </w:p>
    <w:p>
      <w:pPr>
        <w:pStyle w:val="ListBullet"/>
      </w:pPr>
      <w:r>
        <w:rPr>
          <w:b/>
        </w:rPr>
        <w:t>Institutional Lead</w:t>
      </w:r>
      <w:r>
        <w:t xml:space="preserve"> (founder for now): approves each issuer engagement, grants attestation scopes, coordinates the final contract re-review per engagement.</w:t>
      </w:r>
    </w:p>
    <w:p>
      <w:pPr>
        <w:pStyle w:val="ListBullet"/>
      </w:pPr>
      <w:r>
        <w:rPr>
          <w:b/>
        </w:rPr>
        <w:t>Founder</w:t>
      </w:r>
      <w:r>
        <w:t xml:space="preserve">: uses </w:t>
      </w:r>
      <w:r>
        <w:rPr>
          <w:rFonts w:ascii="Courier New" w:hAnsi="Courier New"/>
        </w:rPr>
        <w:t>/founder-control</w:t>
      </w:r>
      <w:r>
        <w:t xml:space="preserve"> for product on/off switches, customers, payments, keys, incidents, and audit logs.</w:t>
      </w:r>
    </w:p>
    <w:p>
      <w:pPr>
        <w:pStyle w:val="Heading3"/>
      </w:pPr>
      <w:r>
        <w:t>On Pivot 4 honesty</w:t>
      </w:r>
    </w:p>
    <w:p>
      <w:r>
        <w:t>Autopilot delivers agentic compliance workflows with human-approved automation today. It does not yet auto-freeze transactions from predictive models — that capability is deliberately gated until the predictive models, legal posture, and customer risk ownership are in place. Sell the accountability story, not a hollow autonomy claim.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rPr>
      <w:rFonts w:ascii="Courier New" w:hAnsi="Courier New"/>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