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POLYLIQUID</w:t>
      </w:r>
      <w:r>
        <w:rPr>
          <w:rFonts w:ascii="Arial" w:cs="Arial" w:eastAsia="Arial" w:hAnsi="Arial"/>
          <w:color w:val="3F4E5F"/>
          <w:sz w:val="18"/>
          <w:szCs w:val="18"/>
        </w:rPr>
        <w:t xml:space="preserve">   Decentralized Delegated Reputation Oracle</w:t>
      </w:r>
    </w:p>
    <w:p>
      <w:pPr>
        <w:spacing w:after="20"/>
      </w:pPr>
      <w:r>
        <w:rPr>
          <w:rFonts w:ascii="Arial" w:cs="Arial" w:eastAsia="Arial" w:hAnsi="Arial"/>
          <w:color w:val="3F4E5F"/>
          <w:sz w:val="16"/>
          <w:szCs w:val="16"/>
        </w:rPr>
        <w:t xml:space="preserve">polyliquid.ai  •  March 2026  •  Whitepaper v3.1</w:t>
      </w:r>
    </w:p>
    <w:p>
      <w:pPr>
        <w:pBdr>
          <w:bottom w:val="single" w:color="0D9488" w:sz="6" w:space="1"/>
        </w:pBd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A1D23"/>
          <w:sz w:val="22"/>
          <w:szCs w:val="22"/>
        </w:rPr>
        <w:t xml:space="preserve">Oracle for Prediction Markets</w:t>
      </w:r>
    </w:p>
    <w:p>
      <w:pPr>
        <w:spacing w:after="60"/>
        <w:jc w:val="left"/>
      </w:pPr>
      <w:r>
        <w:rPr>
          <w:rFonts w:ascii="Arial" w:cs="Arial" w:eastAsia="Arial" w:hAnsi="Arial"/>
          <w:sz w:val="18"/>
          <w:szCs w:val="18"/>
        </w:rPr>
        <w:t xml:space="preserve">Polyliquid replaces UMA as the resolution oracle for prediction markets. Vote weight = </w:t>
      </w:r>
      <w:r>
        <w:rPr>
          <w:rFonts w:ascii="Arial" w:cs="Arial" w:eastAsia="Arial" w:hAnsi="Arial"/>
          <w:b/>
          <w:bCs/>
          <w:color w:val="0D9488"/>
          <w:sz w:val="18"/>
          <w:szCs w:val="18"/>
        </w:rPr>
        <w:t xml:space="preserve">Stake × Reputation</w:t>
      </w:r>
      <w:r>
        <w:rPr>
          <w:rFonts w:ascii="Arial" w:cs="Arial" w:eastAsia="Arial" w:hAnsi="Arial"/>
          <w:sz w:val="18"/>
          <w:szCs w:val="18"/>
        </w:rPr>
        <w:t xml:space="preserve"> (κ=1.0). Reputation is earned over months and cannot be purchased. Attack cost: </w:t>
      </w:r>
      <w:r>
        <w:rPr>
          <w:rFonts w:ascii="Arial" w:cs="Arial" w:eastAsia="Arial" w:hAnsi="Arial"/>
          <w:b/>
          <w:bCs/>
          <w:color w:val="0D9488"/>
          <w:sz w:val="18"/>
          <w:szCs w:val="18"/>
        </w:rPr>
        <w:t xml:space="preserve">110–219% of market size</w:t>
      </w:r>
      <w:r>
        <w:rPr>
          <w:rFonts w:ascii="Arial" w:cs="Arial" w:eastAsia="Arial" w:hAnsi="Arial"/>
          <w:sz w:val="18"/>
          <w:szCs w:val="18"/>
        </w:rPr>
        <w:t xml:space="preserve">. Dispute uses </w:t>
      </w:r>
      <w:r>
        <w:rPr>
          <w:rFonts w:ascii="Arial" w:cs="Arial" w:eastAsia="Arial" w:hAnsi="Arial"/>
          <w:b/>
          <w:bCs/>
          <w:color w:val="0D9488"/>
          <w:sz w:val="18"/>
          <w:szCs w:val="18"/>
        </w:rPr>
        <w:t xml:space="preserve">Dual DAO</w:t>
      </w:r>
      <w:r>
        <w:rPr>
          <w:rFonts w:ascii="Arial" w:cs="Arial" w:eastAsia="Arial" w:hAnsi="Arial"/>
          <w:sz w:val="18"/>
          <w:szCs w:val="18"/>
        </w:rPr>
        <w:t xml:space="preserve"> (PL DAO + Client DAO in parallel) = unbribable.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UMA (Current Oracle)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Polyliquid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Attack cost: $2.5M fixed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F4E5F"/>
                <w:sz w:val="16"/>
                <w:szCs w:val="16"/>
              </w:rPr>
              <w:t xml:space="preserve">Same for $1M and $1B markets. Tokens not slashed.</w:t>
            </w:r>
          </w:p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March 2025: $7M stolen</w:t>
            </w:r>
          </w:p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July 2025: $242M dispute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F4E5F"/>
                <w:sz w:val="16"/>
                <w:szCs w:val="16"/>
              </w:rPr>
              <w:t xml:space="preserve">Single DAO. Whitelist 37 addresses = centralization.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Attack cost: 110–219% of market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F4E5F"/>
                <w:sz w:val="16"/>
                <w:szCs w:val="16"/>
              </w:rPr>
              <w:t xml:space="preserve">100% slash = capital destroyed. Scales proportionally.</w:t>
            </w:r>
          </w:p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Dual DAO: PL DAO + Client DAO (e.g. Polymarket)</w:t>
            </w:r>
          </w:p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Client DAO FDV $10B+ = unbribable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F4E5F"/>
                <w:sz w:val="16"/>
                <w:szCs w:val="16"/>
              </w:rPr>
              <w:t xml:space="preserve">Resolution: 8–16h (99%). Dual DAO: +48h if disputed.</w:t>
            </w:r>
          </w:p>
        </w:tc>
      </w:tr>
    </w:tbl>
    <w:p>
      <w:pPr>
        <w:spacing w:after="40"/>
        <w:jc w:val="left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1A1D23"/>
          <w:sz w:val="22"/>
          <w:szCs w:val="22"/>
        </w:rPr>
        <w:t xml:space="preserve">Market Size &amp; Day-1 Revenue</w:t>
      </w:r>
    </w:p>
    <w:p>
      <w:pPr>
        <w:spacing w:after="60"/>
        <w:jc w:val="left"/>
      </w:pPr>
      <w:r>
        <w:rPr>
          <w:rFonts w:ascii="Arial" w:cs="Arial" w:eastAsia="Arial" w:hAnsi="Arial"/>
          <w:sz w:val="18"/>
          <w:szCs w:val="18"/>
        </w:rPr>
        <w:t xml:space="preserve">Polymarket resolved </w:t>
      </w:r>
      <w:r>
        <w:rPr>
          <w:rFonts w:ascii="Arial" w:cs="Arial" w:eastAsia="Arial" w:hAnsi="Arial"/>
          <w:b/>
          <w:bCs/>
          <w:color w:val="0D9488"/>
          <w:sz w:val="18"/>
          <w:szCs w:val="18"/>
        </w:rPr>
        <w:t xml:space="preserve">$2.5B/month</w:t>
      </w:r>
      <w:r>
        <w:rPr>
          <w:rFonts w:ascii="Arial" w:cs="Arial" w:eastAsia="Arial" w:hAnsi="Arial"/>
          <w:sz w:val="18"/>
          <w:szCs w:val="18"/>
        </w:rPr>
        <w:t xml:space="preserve"> through UMA in Jan–Feb 2026. Conservative annual extrapolation: </w:t>
      </w:r>
      <w:r>
        <w:rPr>
          <w:rFonts w:ascii="Arial" w:cs="Arial" w:eastAsia="Arial" w:hAnsi="Arial"/>
          <w:b/>
          <w:bCs/>
          <w:color w:val="0D9488"/>
          <w:sz w:val="18"/>
          <w:szCs w:val="18"/>
        </w:rPr>
        <w:t xml:space="preserve">$30B/year</w:t>
      </w:r>
      <w:r>
        <w:rPr>
          <w:rFonts w:ascii="Arial" w:cs="Arial" w:eastAsia="Arial" w:hAnsi="Arial"/>
          <w:sz w:val="18"/>
          <w:szCs w:val="18"/>
        </w:rPr>
        <w:t xml:space="preserve">. With market growth + other platforms: </w:t>
      </w:r>
      <w:r>
        <w:rPr>
          <w:rFonts w:ascii="Arial" w:cs="Arial" w:eastAsia="Arial" w:hAnsi="Arial"/>
          <w:b/>
          <w:bCs/>
          <w:color w:val="0D9488"/>
          <w:sz w:val="18"/>
          <w:szCs w:val="18"/>
        </w:rPr>
        <w:t xml:space="preserve">$100B/year</w:t>
      </w:r>
      <w:r>
        <w:rPr>
          <w:rFonts w:ascii="Arial" w:cs="Arial" w:eastAsia="Arial" w:hAnsi="Arial"/>
          <w:sz w:val="18"/>
          <w:szCs w:val="18"/>
        </w:rPr>
        <w:t xml:space="preserve">. At 0.1% fee: $30–100M/year oracle TAM. Foundation (10%): $250K–$833K/month.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Market OI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Fee (0.1%)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LP Locked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Slash 100%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Attack / Market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Dual DAO</w:t>
            </w:r>
          </w:p>
        </w:tc>
      </w:tr>
      <w:tr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$1M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$1K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$2.19M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$2.19M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219%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$100M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$100K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$109.5M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$109.5M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110%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∞</w:t>
            </w:r>
          </w:p>
        </w:tc>
      </w:tr>
      <w:tr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$1B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$1M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$1.095B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$1.095B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110%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∞</w:t>
            </w:r>
          </w:p>
        </w:tc>
      </w:tr>
    </w:tbl>
    <w:p>
      <w:pPr>
        <w:spacing w:after="40"/>
        <w:jc w:val="left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1A1D23"/>
          <w:sz w:val="22"/>
          <w:szCs w:val="22"/>
        </w:rPr>
        <w:t xml:space="preserve">Stress Test: $1B Market, $100M LP (Early Stage)</w:t>
      </w:r>
    </w:p>
    <w:p>
      <w:pPr>
        <w:spacing w:after="60"/>
        <w:jc w:val="left"/>
      </w:pPr>
      <w:r>
        <w:rPr>
          <w:rFonts w:ascii="Arial" w:cs="Arial" w:eastAsia="Arial" w:hAnsi="Arial"/>
          <w:sz w:val="18"/>
          <w:szCs w:val="18"/>
        </w:rPr>
        <w:t xml:space="preserve">Attacker buys $10M YES @ $0.01 (potential $990M profit). Bribes R1 voters for ~$75M. </w:t>
      </w: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R1 alone doesn’t protect</w:t>
      </w:r>
      <w:r>
        <w:rPr>
          <w:rFonts w:ascii="Arial" w:cs="Arial" w:eastAsia="Arial" w:hAnsi="Arial"/>
          <w:sz w:val="18"/>
          <w:szCs w:val="18"/>
        </w:rPr>
        <w:t xml:space="preserve"> (7.5% of profit). </w:t>
      </w:r>
      <w:r>
        <w:rPr>
          <w:rFonts w:ascii="Arial" w:cs="Arial" w:eastAsia="Arial" w:hAnsi="Arial"/>
          <w:b/>
          <w:bCs/>
          <w:color w:val="0D9488"/>
          <w:sz w:val="18"/>
          <w:szCs w:val="18"/>
        </w:rPr>
        <w:t xml:space="preserve">Dual DAO stops it:</w:t>
      </w:r>
      <w:r>
        <w:rPr>
          <w:rFonts w:ascii="Arial" w:cs="Arial" w:eastAsia="Arial" w:hAnsi="Arial"/>
          <w:sz w:val="18"/>
          <w:szCs w:val="18"/>
        </w:rPr>
        <w:t xml:space="preserve"> client DAO (e.g. Polymarket) FDV $10B+, need &gt;$5B to bribe &gt;50%. $990M &lt; $5B = impossible. </w:t>
      </w:r>
      <w:r>
        <w:rPr>
          <w:rFonts w:ascii="Arial" w:cs="Arial" w:eastAsia="Arial" w:hAnsi="Arial"/>
          <w:b/>
          <w:bCs/>
          <w:color w:val="0D9488"/>
          <w:sz w:val="18"/>
          <w:szCs w:val="18"/>
        </w:rPr>
        <w:t xml:space="preserve">Attacker loses $85M, gets $0.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3780"/>
        <w:gridCol w:w="5040"/>
      </w:tblGrid>
      <w:tr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Layer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Mechanism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Protection</w:t>
            </w:r>
          </w:p>
        </w:tc>
      </w:tr>
      <w:tr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R1: Voting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LP delegates to voters. Commit-reveal. W = Stake × Rep.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Attack 110–219%. LP exit detects collusion.</w:t>
            </w:r>
          </w:p>
        </w:tc>
      </w:tr>
      <w:tr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Dual DAO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2% bond → 48h parallel vote: PL DAO + Client DAO.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Must bribe BOTH. Client DAO FDV $10B+ = impossible.</w:t>
            </w:r>
          </w:p>
        </w:tc>
      </w:tr>
      <w:tr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Reputation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R(t) = Σ stake × 0.995^days. Half-life 138d. κ=1.0.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Cannot be bought. $10M + 0 rep = 0% influence.</w:t>
            </w:r>
          </w:p>
        </w:tc>
      </w:tr>
    </w:tbl>
    <w:p>
      <w:pPr>
        <w:spacing w:after="40"/>
        <w:jc w:val="left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Fee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0.1% of resolved OI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APY target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50%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LP slash R1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20% flat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LP slash Dispute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100% flat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Protocol share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10% → Foundation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Bond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2% of MaxPayout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Dispute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Dual DAO (48h parallel)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δ (decay)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0.995/day (138d half-life)</w:t>
            </w:r>
          </w:p>
        </w:tc>
      </w:tr>
    </w:tbl>
    <w:p>
      <w:pPr>
        <w:spacing w:after="40"/>
        <w:jc w:val="left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1: Q2–Q3 2026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2: Q3–Q4 2026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3: 2027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Wisdom Markets / SoftSwiss
B2B iGaming: 400+ casinos, 6M MAU
$100M/mo resolved, $100K/mo rev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Other prediction markets
Grow voters, points + airdrop
Prove reliability at scale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Polymarket: $2.5B+/mo resolved
Replace UMA. Permissionless mkts.
110–219% vs UMA’s $2.5M fixed</w:t>
            </w:r>
          </w:p>
        </w:tc>
      </w:tr>
    </w:tbl>
    <w:p>
      <w:pPr>
        <w:spacing w:after="40"/>
        <w:jc w:val="left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1A1D23"/>
          <w:sz w:val="22"/>
          <w:szCs w:val="22"/>
        </w:rPr>
        <w:t xml:space="preserve">Key Risks &amp; Mitigation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Polymarket integration delayed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F4E5F"/>
                <w:sz w:val="16"/>
                <w:szCs w:val="16"/>
              </w:rPr>
              <w:t xml:space="preserve">We don’t reach Polymarket as quickly as planned due to competition, regulatory, or technical barriers.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Service smaller clients → become industry standard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F4E5F"/>
                <w:sz w:val="16"/>
                <w:szCs w:val="16"/>
              </w:rPr>
              <w:t xml:space="preserve">We continue onboarding other prediction market platforms (Phase 2), growing the voter base and proving reliability until Polyliquid becomes the de facto oracle standard. The market comes to us.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Polymarket builds own oracle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F4E5F"/>
                <w:sz w:val="16"/>
                <w:szCs w:val="16"/>
              </w:rPr>
              <w:t xml:space="preserve">Polymarket develops an in-house oracle platform similar to Polyliquid, making our integration unnecessary.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Become first voters → earn $2–3M/year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3F4E5F"/>
                <w:sz w:val="16"/>
                <w:szCs w:val="16"/>
              </w:rPr>
              <w:t xml:space="preserve">Our experienced voter community becomes the first and largest voting block on Polymarket’s platform. With $2.5B/month resolved OI and established reputation, our voters earn $2–3M/year in oracle rewards.</w:t>
            </w:r>
          </w:p>
        </w:tc>
      </w:tr>
    </w:tbl>
    <w:p>
      <w:pPr>
        <w:spacing w:after="40"/>
        <w:jc w:val="left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top w:val="single" w:color="0D9488" w:sz="6" w:space="1"/>
        </w:pBdr>
        <w:spacing w:after="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0D9488"/>
          <w:sz w:val="18"/>
          <w:szCs w:val="18"/>
        </w:rPr>
        <w:t xml:space="preserve">polyliquid.ai</w:t>
      </w:r>
      <w:r>
        <w:rPr>
          <w:rFonts w:ascii="Arial" w:cs="Arial" w:eastAsia="Arial" w:hAnsi="Arial"/>
          <w:color w:val="3F4E5F"/>
          <w:sz w:val="16"/>
          <w:szCs w:val="16"/>
        </w:rPr>
        <w:t xml:space="preserve">  •  </w:t>
      </w:r>
      <w:r>
        <w:rPr>
          <w:rFonts w:ascii="Arial" w:cs="Arial" w:eastAsia="Arial" w:hAnsi="Arial"/>
          <w:color w:val="3F4E5F"/>
          <w:sz w:val="16"/>
          <w:szCs w:val="16"/>
        </w:rPr>
        <w:t xml:space="preserve">Money can be bought instantly. Trust cannot.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2026-03-09T12:17:07.694Z</dcterms:created>
  <dcterms:modified xsi:type="dcterms:W3CDTF">2026-03-09T12:17:07.695Z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