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4C33" w14:textId="3A349551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C</w:t>
      </w: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hmury punktów 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- zbiór bardzo dużej liczby punktów o określonej współrzędnej w jednorodnym układzie odniesienia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8792CB9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  <w:lang w:val="en-US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en-US"/>
        </w:rPr>
        <w:t>txt,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en-US"/>
        </w:rPr>
        <w:t>xyz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en-US"/>
        </w:rPr>
        <w:t>, 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en-US"/>
        </w:rPr>
        <w:t>pts</w:t>
      </w:r>
      <w:r w:rsidRPr="00DC6E55">
        <w:rPr>
          <w:rStyle w:val="eop"/>
          <w:rFonts w:ascii="Candara" w:eastAsiaTheme="majorEastAsia" w:hAnsi="Candara" w:cs="Calibri"/>
          <w:sz w:val="22"/>
          <w:szCs w:val="22"/>
          <w:lang w:val="en-US"/>
        </w:rPr>
        <w:t> </w:t>
      </w:r>
    </w:p>
    <w:p w14:paraId="6BB59A2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  <w:lang w:val="en-US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en-US"/>
        </w:rPr>
        <w:t>e57, las,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en-US"/>
        </w:rPr>
        <w:t>laz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  <w:lang w:val="en-US"/>
        </w:rPr>
        <w:t> </w:t>
      </w:r>
    </w:p>
    <w:p w14:paraId="30E6FDE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  <w:lang w:val="en-US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  <w:lang w:val="en-US"/>
        </w:rPr>
        <w:t> </w:t>
      </w:r>
    </w:p>
    <w:p w14:paraId="28A6F14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LAS - *.las, dane ALS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7828496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Pliki binarne zawierające chmurę punktów pochodzącą z lotniczego skaningu laserowego (LIDAR).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52541E3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Poza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xyz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zawierają wiele atrybutów, np. klasę, intensywność odbicia.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15D81AD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B44860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Przykłady klas: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ED61BD3" w14:textId="77777777" w:rsidR="00DC6E55" w:rsidRPr="00DC6E55" w:rsidRDefault="00DC6E55" w:rsidP="00DC6E5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Punkty przetwarzane ale nieklasyfikowane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6F6355D" w14:textId="77777777" w:rsidR="00DC6E55" w:rsidRPr="00DC6E55" w:rsidRDefault="00DC6E55" w:rsidP="00DC6E5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Punkty leżące na gruncie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E69DDBD" w14:textId="77777777" w:rsidR="00DC6E55" w:rsidRPr="00DC6E55" w:rsidRDefault="00DC6E55" w:rsidP="00DC6E5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Punkty reprezentujące niską wegetację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E6C9B43" w14:textId="77777777" w:rsidR="00DC6E55" w:rsidRPr="00DC6E55" w:rsidRDefault="00DC6E55" w:rsidP="00DC6E5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Punkty reprezentujące budynki, budowle oraz obiekty inżynierskie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78D4010" w14:textId="77777777" w:rsidR="00DC6E55" w:rsidRPr="00DC6E55" w:rsidRDefault="00DC6E55" w:rsidP="00DC6E5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Punkty reprezentujące szum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0DFA724" w14:textId="77777777" w:rsidR="00DC6E55" w:rsidRPr="00DC6E55" w:rsidRDefault="00DC6E55" w:rsidP="00DC6E55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Punkty reprezentujące obszary pod wodami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F1BD730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A1B0E60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LAZ - *.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laz</w:t>
      </w:r>
      <w:proofErr w:type="spellEnd"/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, dane ALS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B034CB8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Format uwzgledniający metodę kompresji chmur punktów LIDAR o nazwie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LASzip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8A31281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309824D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Od 2010 roku dane LIDAR w Polsce. LIDAR zbierany co ~10 lat.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ED8C0F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C6F299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12 pkt na metr w miastach, 4 punkty na metr w innych obszarach.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37EC114" w14:textId="77777777" w:rsidR="003B78C9" w:rsidRPr="00DC6E55" w:rsidRDefault="003B78C9">
      <w:pPr>
        <w:rPr>
          <w:rFonts w:ascii="Candara" w:hAnsi="Candara"/>
        </w:rPr>
      </w:pPr>
    </w:p>
    <w:p w14:paraId="6D2EEA27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Źródła danych wysokościowych: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BD9BF3F" w14:textId="77777777" w:rsidR="00DC6E55" w:rsidRPr="00DC6E55" w:rsidRDefault="00DC6E55" w:rsidP="00DC6E5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pomiar geodezyjny (GNSS, tachimetria, niwelacja) - dokładne ale rzadkie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B8AAF13" w14:textId="77777777" w:rsidR="00DC6E55" w:rsidRPr="00DC6E55" w:rsidRDefault="00DC6E55" w:rsidP="00DC6E5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skanowanie laserowe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26B47EB" w14:textId="77777777" w:rsidR="00DC6E55" w:rsidRPr="00DC6E55" w:rsidRDefault="00DC6E55" w:rsidP="00DC6E55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lotnicze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8B2B7F1" w14:textId="77777777" w:rsidR="00DC6E55" w:rsidRPr="00DC6E55" w:rsidRDefault="00DC6E55" w:rsidP="00DC6E55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satelitarne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B4793E3" w14:textId="77777777" w:rsidR="00DC6E55" w:rsidRPr="00DC6E55" w:rsidRDefault="00DC6E55" w:rsidP="00DC6E55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naziemne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4013531" w14:textId="77777777" w:rsidR="00DC6E55" w:rsidRPr="00DC6E55" w:rsidRDefault="00DC6E55" w:rsidP="00DC6E5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fotogrametria (lotnicza, satelitarna, naziemna)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D628ECF" w14:textId="77777777" w:rsidR="00DC6E55" w:rsidRPr="00DC6E55" w:rsidRDefault="00DC6E55" w:rsidP="00DC6E55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zdjęcia pionowe i ukośne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90D9EB2" w14:textId="77777777" w:rsidR="00DC6E55" w:rsidRPr="00DC6E55" w:rsidRDefault="00DC6E55" w:rsidP="00DC6E5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interferometria radarowa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A8E0A7A" w14:textId="77777777" w:rsidR="00DC6E55" w:rsidRPr="00DC6E55" w:rsidRDefault="00DC6E55" w:rsidP="00DC6E55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digitalizacja warstwic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634AEE1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E25CF4C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Numeryczny model rzeźby terenu: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B8E5D1E" w14:textId="77777777" w:rsidR="00DC6E55" w:rsidRPr="00DC6E55" w:rsidRDefault="00DC6E55" w:rsidP="00DC6E5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dyskretna (punktowa) reprezentacja wysokości topograficznej powierzchni terenu wraz z algorytmem interpolacyjnym umożliwiającym odtworzenie jej kształtu w określonym obszarze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F971ED1" w14:textId="77777777" w:rsidR="00DC6E55" w:rsidRPr="00DC6E55" w:rsidRDefault="00DC6E55" w:rsidP="00DC6E5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funkcja h (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x,y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) - zapis 2.5D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3860660" w14:textId="77777777" w:rsidR="00DC6E55" w:rsidRPr="00DC6E55" w:rsidRDefault="00DC6E55" w:rsidP="00DC6E5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nmt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,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dtm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– dopuszczalne i akceptowalne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7AF7188" w14:textId="77777777" w:rsidR="00DC6E55" w:rsidRPr="00DC6E55" w:rsidRDefault="00DC6E55" w:rsidP="00DC6E55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  <w:lang w:val="nl-NL"/>
        </w:rPr>
      </w:pP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dem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(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digital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 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elevation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 model), 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dhm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, 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dgm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(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digital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 </w:t>
      </w:r>
      <w:r w:rsidRPr="00DC6E55">
        <w:rPr>
          <w:rStyle w:val="spellingerror"/>
          <w:rFonts w:ascii="Candara" w:eastAsiaTheme="majorEastAsia" w:hAnsi="Candara" w:cs="Calibri"/>
          <w:sz w:val="22"/>
          <w:szCs w:val="22"/>
          <w:lang w:val="nl-NL"/>
        </w:rPr>
        <w:t>ground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  <w:lang w:val="nl-NL"/>
        </w:rPr>
        <w:t> model), - niedopuszczalne</w:t>
      </w:r>
      <w:r w:rsidRPr="00DC6E55">
        <w:rPr>
          <w:rStyle w:val="eop"/>
          <w:rFonts w:ascii="Candara" w:eastAsiaTheme="majorEastAsia" w:hAnsi="Candara" w:cs="Calibri"/>
          <w:sz w:val="22"/>
          <w:szCs w:val="22"/>
          <w:lang w:val="nl-NL"/>
        </w:rPr>
        <w:t> </w:t>
      </w:r>
    </w:p>
    <w:p w14:paraId="00A35463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  <w:lang w:val="nl-NL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  <w:lang w:val="nl-NL"/>
        </w:rPr>
        <w:t> </w:t>
      </w:r>
    </w:p>
    <w:p w14:paraId="3F35C53A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Numeryczny model pokrycia terenu: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CDC1DB6" w14:textId="77777777" w:rsidR="00DC6E55" w:rsidRPr="00DC6E55" w:rsidRDefault="00DC6E55" w:rsidP="00DC6E55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reprezentacja powierzchni terenu wraz z obiektami wystającymi ponad tę powierzchnię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36C8836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5B26931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Numeryczny model terenu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87A5418" w14:textId="77777777" w:rsidR="00DC6E55" w:rsidRPr="00DC6E55" w:rsidRDefault="00DC6E55" w:rsidP="00DC6E55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podstawowe struktury: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7F8E7A6" w14:textId="77777777" w:rsidR="00DC6E55" w:rsidRPr="00DC6E55" w:rsidRDefault="00DC6E55" w:rsidP="00DC6E55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nieregularna siatka trójkątów (TIN)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2DB975B" w14:textId="77777777" w:rsidR="00DC6E55" w:rsidRPr="00DC6E55" w:rsidRDefault="00DC6E55" w:rsidP="00DC6E55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lastRenderedPageBreak/>
        <w:t>regularna siatka kwadratów - model rastrowy (GRID)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D4A65E8" w14:textId="77777777" w:rsidR="00DC6E55" w:rsidRPr="00DC6E55" w:rsidRDefault="00DC6E55" w:rsidP="00DC6E55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model hybrydowy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A346C0B" w14:textId="77777777" w:rsidR="00DC6E55" w:rsidRPr="00DC6E55" w:rsidRDefault="00DC6E55" w:rsidP="00DC6E55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regularna siatka sześciokątów (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hexagonal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grid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821B817" w14:textId="77777777" w:rsidR="00DC6E55" w:rsidRPr="00DC6E55" w:rsidRDefault="00DC6E55" w:rsidP="00DC6E55">
      <w:pPr>
        <w:pStyle w:val="paragraph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model hierarchiczny –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hierarchical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grid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(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nested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0A018E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8E7575E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Esri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TIN – kilka plików stowarzyszonych ze sobą. ESRI nie rozwija już TIN-ów.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E0F6CA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0C7BD76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Intergraph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TIN -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Topological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Triangle Network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6AB9052" w14:textId="77777777" w:rsidR="00DC6E55" w:rsidRPr="00DC6E55" w:rsidRDefault="00DC6E55">
      <w:pPr>
        <w:rPr>
          <w:rFonts w:ascii="Candara" w:hAnsi="Candara"/>
          <w:lang w:val="nl-NL"/>
        </w:rPr>
      </w:pPr>
    </w:p>
    <w:p w14:paraId="6B2AFF8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Dane 3D w 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Pzgik</w:t>
      </w:r>
      <w:proofErr w:type="spellEnd"/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B990075" w14:textId="77777777" w:rsidR="00DC6E55" w:rsidRPr="00DC6E55" w:rsidRDefault="00DC6E55" w:rsidP="00DC6E55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Dane pomiarowe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7B36770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ASCII TBD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89412EB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LAS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3A6BC68" w14:textId="77777777" w:rsidR="00DC6E55" w:rsidRPr="00DC6E55" w:rsidRDefault="00DC6E55" w:rsidP="00DC6E55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Numeryczny model terenu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E969EFF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ASCII NMT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35E85D5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ASCII GRID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C413D7C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color w:val="FF0000"/>
          <w:sz w:val="22"/>
          <w:szCs w:val="22"/>
        </w:rPr>
        <w:t>ESRI TIN</w:t>
      </w:r>
      <w:r w:rsidRPr="00DC6E55">
        <w:rPr>
          <w:rStyle w:val="eop"/>
          <w:rFonts w:ascii="Candara" w:eastAsiaTheme="majorEastAsia" w:hAnsi="Candara" w:cs="Calibri"/>
          <w:color w:val="FF0000"/>
          <w:sz w:val="22"/>
          <w:szCs w:val="22"/>
        </w:rPr>
        <w:t> </w:t>
      </w:r>
    </w:p>
    <w:p w14:paraId="3DE07053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color w:val="FF0000"/>
          <w:sz w:val="22"/>
          <w:szCs w:val="22"/>
        </w:rPr>
        <w:t>Intergraph</w:t>
      </w:r>
      <w:proofErr w:type="spellEnd"/>
      <w:r w:rsidRPr="00DC6E55">
        <w:rPr>
          <w:rStyle w:val="normaltextrun"/>
          <w:rFonts w:ascii="Candara" w:eastAsiaTheme="majorEastAsia" w:hAnsi="Candara" w:cs="Calibri"/>
          <w:color w:val="FF0000"/>
          <w:sz w:val="22"/>
          <w:szCs w:val="22"/>
        </w:rPr>
        <w:t> TTN</w:t>
      </w:r>
      <w:r w:rsidRPr="00DC6E55">
        <w:rPr>
          <w:rStyle w:val="eop"/>
          <w:rFonts w:ascii="Candara" w:eastAsiaTheme="majorEastAsia" w:hAnsi="Candara" w:cs="Calibri"/>
          <w:color w:val="FF0000"/>
          <w:sz w:val="22"/>
          <w:szCs w:val="22"/>
        </w:rPr>
        <w:t> </w:t>
      </w:r>
    </w:p>
    <w:p w14:paraId="6641F56B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color w:val="FF0000"/>
          <w:sz w:val="22"/>
          <w:szCs w:val="22"/>
        </w:rPr>
        <w:t>Intergraph</w:t>
      </w:r>
      <w:proofErr w:type="spellEnd"/>
      <w:r w:rsidRPr="00DC6E55">
        <w:rPr>
          <w:rStyle w:val="normaltextrun"/>
          <w:rFonts w:ascii="Candara" w:eastAsiaTheme="majorEastAsia" w:hAnsi="Candara" w:cs="Calibri"/>
          <w:color w:val="FF0000"/>
          <w:sz w:val="22"/>
          <w:szCs w:val="22"/>
        </w:rPr>
        <w:t> GRD</w:t>
      </w:r>
      <w:r w:rsidRPr="00DC6E55">
        <w:rPr>
          <w:rStyle w:val="eop"/>
          <w:rFonts w:ascii="Candara" w:eastAsiaTheme="majorEastAsia" w:hAnsi="Candara" w:cs="Calibri"/>
          <w:color w:val="FF0000"/>
          <w:sz w:val="22"/>
          <w:szCs w:val="22"/>
        </w:rPr>
        <w:t> </w:t>
      </w:r>
    </w:p>
    <w:p w14:paraId="0B70FED6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color w:val="FF0000"/>
          <w:sz w:val="22"/>
          <w:szCs w:val="22"/>
        </w:rPr>
        <w:t>Warstwice DGN/DXF (kiedyś)</w:t>
      </w:r>
      <w:r w:rsidRPr="00DC6E55">
        <w:rPr>
          <w:rStyle w:val="eop"/>
          <w:rFonts w:ascii="Candara" w:eastAsiaTheme="majorEastAsia" w:hAnsi="Candara" w:cs="Calibri"/>
          <w:color w:val="FF0000"/>
          <w:sz w:val="22"/>
          <w:szCs w:val="22"/>
        </w:rPr>
        <w:t> </w:t>
      </w:r>
    </w:p>
    <w:p w14:paraId="08ED1FFA" w14:textId="77777777" w:rsidR="00DC6E55" w:rsidRPr="00DC6E55" w:rsidRDefault="00DC6E55" w:rsidP="00DC6E55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Numeryczny model pokrycia terenu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BF07132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ASCII NMPT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233478F" w14:textId="77777777" w:rsidR="00DC6E55" w:rsidRPr="00DC6E55" w:rsidRDefault="00DC6E55" w:rsidP="00DC6E55">
      <w:pPr>
        <w:pStyle w:val="paragraph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ASCII GRID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44CFBDD" w14:textId="77777777" w:rsidR="00DC6E55" w:rsidRPr="00DC6E55" w:rsidRDefault="00DC6E55" w:rsidP="00DC6E55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Zgeneralizowany NMT-10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86708A1" w14:textId="77777777" w:rsidR="00DC6E55" w:rsidRPr="00DC6E55" w:rsidRDefault="00DC6E55" w:rsidP="00DC6E55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Modele siatkowe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3C2DCEE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5A28B80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Siatka GRID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7CE7CB4" w14:textId="77777777" w:rsidR="00DC6E55" w:rsidRPr="00DC6E55" w:rsidRDefault="00DC6E55" w:rsidP="00DC6E55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Formaty rastra: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792B8A5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ASCII GRID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2C24EB5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TIFF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3525B82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IMG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98D577B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GeoTIFF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E61C793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JPG, JGW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8322D96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GTX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80BD5DE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GXF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9188196" w14:textId="77777777" w:rsidR="00DC6E55" w:rsidRPr="00DC6E55" w:rsidRDefault="00DC6E55" w:rsidP="00DC6E55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DEM, DAT (txt)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C302C75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2689DCA" w14:textId="5576A83E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Interpolacja wartości rastra NMT</w:t>
      </w:r>
    </w:p>
    <w:p w14:paraId="527A19E9" w14:textId="77777777" w:rsidR="00DC6E55" w:rsidRPr="00DC6E55" w:rsidRDefault="00DC6E55" w:rsidP="00DC6E55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metoda numeryczna polegająca na wyznaczaniu w danym obszarze wartości z użyciem określonej funkcji interpolacyjnej na podstawie istniejących danych pomiarowych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140DD15" w14:textId="77777777" w:rsidR="00DC6E55" w:rsidRPr="00DC6E55" w:rsidRDefault="00DC6E55" w:rsidP="00DC6E55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Triangulacja wraz z liniową interpolacją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06E3583" w14:textId="77777777" w:rsidR="00DC6E55" w:rsidRPr="00DC6E55" w:rsidRDefault="00DC6E55" w:rsidP="00DC6E55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Metoda odwrotności odległości (do potęgi)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F07B5FC" w14:textId="77777777" w:rsidR="00DC6E55" w:rsidRPr="00DC6E55" w:rsidRDefault="00DC6E55" w:rsidP="00DC6E55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Metoda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kriging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(domyślnie)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5DD64C2" w14:textId="77777777" w:rsidR="00DC6E55" w:rsidRPr="00DC6E55" w:rsidRDefault="00DC6E55" w:rsidP="00DC6E55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Metoda naturalnego sąsiada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96F22A5" w14:textId="77777777" w:rsidR="00DC6E55" w:rsidRPr="00DC6E55" w:rsidRDefault="00DC6E55" w:rsidP="00DC6E55">
      <w:pPr>
        <w:pStyle w:val="paragraph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Metoda najbliższego sąsiada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790E84F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D2D0CC6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Rozdzielczość przestrzenna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– parametr modelu terenu określający jakość i dokładność modelu. Określony przez wielkość oczka modelu utożsamianą z wielkością piksela modelu rastrowego.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44FB4F7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4BAE6EE" w14:textId="4BB1EF4A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Uzupełnianie braków danych (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void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filling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) kiedy np. Laser nie odbija się od wody.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13A333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lastRenderedPageBreak/>
        <w:t>ASCII NMT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(dawniej ASCII XYZ)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0CACD05" w14:textId="77777777" w:rsidR="00DC6E55" w:rsidRPr="00DC6E55" w:rsidRDefault="00DC6E55" w:rsidP="00DC6E55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Pliki tekstowe zawierające współrzędne X, Y, Z w regularnej siatce o oczu 1 m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F281A13" w14:textId="77777777" w:rsidR="00DC6E55" w:rsidRPr="00DC6E55" w:rsidRDefault="00DC6E55" w:rsidP="00DC6E55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Dokładność 0.2m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07D1C0D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AA9EDB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Model hybrydowy łączy raster z dodatkowymi elementami.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715DCDC" w14:textId="77777777" w:rsidR="00DC6E55" w:rsidRPr="00DC6E55" w:rsidRDefault="00DC6E55">
      <w:pPr>
        <w:rPr>
          <w:rFonts w:ascii="Candara" w:hAnsi="Candara"/>
        </w:rPr>
      </w:pPr>
    </w:p>
    <w:p w14:paraId="51FAEF6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ASCII TBD</w:t>
      </w: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– model o niższej rozdzielczości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2BE5FBD" w14:textId="77777777" w:rsidR="00DC6E55" w:rsidRPr="00DC6E55" w:rsidRDefault="00DC6E55" w:rsidP="00DC6E55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W postaci tekstowej organizowany w warstwach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C6BA707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 punkty siatki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8F3C1C9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J – obszary planarne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A5E1ACE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C - cieki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7372210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K – punkty wysokościowe, np. szczyty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9226F65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O – obiekty inżynieryjne 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9183647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Pz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– punkty na obszarach wydzielonych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0E731AA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S – linie nieciągłości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0690194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Sz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– linie nieciągłości w obszarach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wydzieleń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76E54CB" w14:textId="77777777" w:rsidR="00DC6E55" w:rsidRPr="00DC6E55" w:rsidRDefault="00DC6E55" w:rsidP="00DC6E55">
      <w:pPr>
        <w:pStyle w:val="paragraph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Candara" w:hAnsi="Candara" w:cs="Calibr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Z – obszaru wydzielone (o obniżonej dokładności, np. lasy)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EB7DB44" w14:textId="77777777" w:rsidR="00DC6E55" w:rsidRPr="00DC6E55" w:rsidRDefault="00DC6E55" w:rsidP="00DC6E55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Wykorzystywany do rzutowania zdjęć żeby robić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ortofotomapę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E63B2A5" w14:textId="77777777" w:rsidR="00DC6E55" w:rsidRPr="00DC6E55" w:rsidRDefault="00DC6E55" w:rsidP="00DC6E55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Bardziej topograficzny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1C92FFE" w14:textId="77777777" w:rsidR="00DC6E55" w:rsidRPr="00DC6E55" w:rsidRDefault="00DC6E55" w:rsidP="00DC6E55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Niefajny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E430B20" w14:textId="77777777" w:rsidR="00DC6E55" w:rsidRPr="00DC6E55" w:rsidRDefault="00DC6E55" w:rsidP="00DC6E55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Godło i rozszerzenie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D0E9B2B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463CAF1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Konwersja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geoplików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36D3F03" w14:textId="77777777" w:rsidR="00DC6E55" w:rsidRPr="00DC6E55" w:rsidRDefault="00DC6E55" w:rsidP="00DC6E55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Zamiana formy z analogowej do cyfrowej (rastrowej do wektorowej)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1175086" w14:textId="77777777" w:rsidR="00DC6E55" w:rsidRPr="00DC6E55" w:rsidRDefault="00DC6E55" w:rsidP="00DC6E55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Dodawanie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georeferencji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678F707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9A992EB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Konwersja TIN do GRID - proste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976373B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731C7EC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Konwersja GRID do TIN - trudniejsza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3BCF7B62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1BD1F7E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VIP – 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Very</w:t>
      </w:r>
      <w:proofErr w:type="spellEnd"/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 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Important</w:t>
      </w:r>
      <w:proofErr w:type="spellEnd"/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 Point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F6DE3C9" w14:textId="77777777" w:rsidR="00DC6E55" w:rsidRPr="00DC6E55" w:rsidRDefault="00DC6E55" w:rsidP="00DC6E55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ndara" w:hAnsi="Candara" w:cs="Segoe UI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Opracowany przez Chen i Guevara jako metoda pozyskiwania punktów istotnych dla tworzenia modelu o strukturze nieregularnej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4D72C2C" w14:textId="0435B5DD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0B279CA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TPI – 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Topographical</w:t>
      </w:r>
      <w:proofErr w:type="spellEnd"/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 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Position</w:t>
      </w:r>
      <w:proofErr w:type="spellEnd"/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 Index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9F72AFF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A397910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Algorytm wyszukiwania punktów istotnych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9E6416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DC6E55">
        <w:rPr>
          <w:rStyle w:val="normaltextrun"/>
          <w:rFonts w:ascii="Candara" w:eastAsiaTheme="majorEastAsia" w:hAnsi="Candara" w:cs="Calibri"/>
          <w:b/>
          <w:bCs/>
          <w:sz w:val="22"/>
          <w:szCs w:val="22"/>
        </w:rPr>
        <w:t>Z-</w:t>
      </w:r>
      <w:proofErr w:type="spellStart"/>
      <w:r w:rsidRPr="00DC6E55">
        <w:rPr>
          <w:rStyle w:val="spellingerror"/>
          <w:rFonts w:ascii="Candara" w:eastAsiaTheme="majorEastAsia" w:hAnsi="Candara" w:cs="Calibri"/>
          <w:b/>
          <w:bCs/>
          <w:sz w:val="22"/>
          <w:szCs w:val="22"/>
        </w:rPr>
        <w:t>tolerance</w:t>
      </w:r>
      <w:proofErr w:type="spellEnd"/>
    </w:p>
    <w:p w14:paraId="23B90DD6" w14:textId="77777777" w:rsidR="00DC6E55" w:rsidRPr="00DC6E55" w:rsidRDefault="00DC6E55">
      <w:pPr>
        <w:rPr>
          <w:rFonts w:ascii="Candara" w:hAnsi="Candara"/>
        </w:rPr>
      </w:pPr>
    </w:p>
    <w:p w14:paraId="3208BBAF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Podejścia w modelowaniu 3d miast: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1414FB73" w14:textId="77777777" w:rsidR="00DC6E55" w:rsidRPr="00DC6E55" w:rsidRDefault="00DC6E55" w:rsidP="00DC6E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Model-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based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3FF1A36" w14:textId="77777777" w:rsidR="00DC6E55" w:rsidRPr="00DC6E55" w:rsidRDefault="00DC6E55" w:rsidP="00DC6E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Data-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driven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C9D3C44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71DF4D0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Podział modeli 3d – struktura: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0345B000" w14:textId="77777777" w:rsidR="00DC6E55" w:rsidRPr="00DC6E55" w:rsidRDefault="00DC6E55" w:rsidP="00DC6E55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bryły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37D9AB6" w14:textId="77777777" w:rsidR="00DC6E55" w:rsidRPr="00DC6E55" w:rsidRDefault="00DC6E55" w:rsidP="00DC6E55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Powierzchnie siatkowe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4A50021" w14:textId="77777777" w:rsidR="00DC6E55" w:rsidRPr="00DC6E55" w:rsidRDefault="00DC6E55" w:rsidP="00DC6E55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Powierzchnie matematyczne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6902AB75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6788D8F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Model powierzchni trójkątów (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mesh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)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9DB698F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Powierzchnie NURB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16D7F25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lastRenderedPageBreak/>
        <w:t> </w:t>
      </w:r>
    </w:p>
    <w:p w14:paraId="10B3935F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SHP, VRML, X3D, KML,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Collada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(.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dae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), 3D PDF, PLY, OBJ, STL, 3DTiles, .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fbx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, .RVT, 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42970C3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54D7CD18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IFC – w BIM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5E3ECE7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4045C4B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CityJSON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– pod 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cityGML</w:t>
      </w:r>
      <w:proofErr w:type="spellEnd"/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 standard modelu 3d wg OGC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7655852E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49E3310B" w14:textId="77777777" w:rsidR="00DC6E55" w:rsidRPr="00DC6E55" w:rsidRDefault="00DC6E55" w:rsidP="00DC6E55">
      <w:pPr>
        <w:pStyle w:val="paragraph"/>
        <w:spacing w:before="0" w:beforeAutospacing="0" w:after="0" w:afterAutospacing="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Podejście data-</w:t>
      </w:r>
      <w:proofErr w:type="spellStart"/>
      <w:r w:rsidRPr="00DC6E55">
        <w:rPr>
          <w:rStyle w:val="spellingerror"/>
          <w:rFonts w:ascii="Candara" w:eastAsiaTheme="majorEastAsia" w:hAnsi="Candara" w:cs="Calibri"/>
          <w:sz w:val="22"/>
          <w:szCs w:val="22"/>
        </w:rPr>
        <w:t>driven</w:t>
      </w:r>
      <w:proofErr w:type="spellEnd"/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BDD4C3D" w14:textId="77777777" w:rsidR="00DC6E55" w:rsidRPr="00DC6E55" w:rsidRDefault="00DC6E55" w:rsidP="00DC6E55">
      <w:pPr>
        <w:pStyle w:val="paragraph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rFonts w:ascii="Candara" w:hAnsi="Candara"/>
          <w:sz w:val="22"/>
          <w:szCs w:val="22"/>
        </w:rPr>
      </w:pPr>
      <w:r w:rsidRPr="00DC6E55">
        <w:rPr>
          <w:rStyle w:val="normaltextrun"/>
          <w:rFonts w:ascii="Candara" w:eastAsiaTheme="majorEastAsia" w:hAnsi="Candara" w:cs="Calibri"/>
          <w:sz w:val="22"/>
          <w:szCs w:val="22"/>
        </w:rPr>
        <w:t>Próbujemy wpasować płaszczyzny w chmury</w:t>
      </w:r>
      <w:r w:rsidRPr="00DC6E55">
        <w:rPr>
          <w:rStyle w:val="eop"/>
          <w:rFonts w:ascii="Candara" w:eastAsiaTheme="majorEastAsia" w:hAnsi="Candara" w:cs="Calibri"/>
          <w:sz w:val="22"/>
          <w:szCs w:val="22"/>
        </w:rPr>
        <w:t> </w:t>
      </w:r>
    </w:p>
    <w:p w14:paraId="2B218BB4" w14:textId="77777777" w:rsidR="00DC6E55" w:rsidRPr="00DC6E55" w:rsidRDefault="00DC6E55">
      <w:pPr>
        <w:rPr>
          <w:rFonts w:ascii="Candara" w:hAnsi="Candara"/>
        </w:rPr>
      </w:pPr>
    </w:p>
    <w:sectPr w:rsidR="00DC6E55" w:rsidRPr="00DC6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10A"/>
    <w:multiLevelType w:val="multilevel"/>
    <w:tmpl w:val="17A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A3E3B"/>
    <w:multiLevelType w:val="multilevel"/>
    <w:tmpl w:val="479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A70B5"/>
    <w:multiLevelType w:val="multilevel"/>
    <w:tmpl w:val="2DE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85FB2"/>
    <w:multiLevelType w:val="multilevel"/>
    <w:tmpl w:val="0D2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B7CD0"/>
    <w:multiLevelType w:val="multilevel"/>
    <w:tmpl w:val="FE7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F693F"/>
    <w:multiLevelType w:val="multilevel"/>
    <w:tmpl w:val="C230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033ED"/>
    <w:multiLevelType w:val="multilevel"/>
    <w:tmpl w:val="B3F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05D6C"/>
    <w:multiLevelType w:val="multilevel"/>
    <w:tmpl w:val="8F62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8A020F"/>
    <w:multiLevelType w:val="multilevel"/>
    <w:tmpl w:val="2C4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DA57BA"/>
    <w:multiLevelType w:val="multilevel"/>
    <w:tmpl w:val="99EC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A152F"/>
    <w:multiLevelType w:val="multilevel"/>
    <w:tmpl w:val="AC8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C620A6"/>
    <w:multiLevelType w:val="multilevel"/>
    <w:tmpl w:val="683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0C4A65"/>
    <w:multiLevelType w:val="multilevel"/>
    <w:tmpl w:val="9F7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4970EE"/>
    <w:multiLevelType w:val="multilevel"/>
    <w:tmpl w:val="684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C20AF"/>
    <w:multiLevelType w:val="multilevel"/>
    <w:tmpl w:val="3D1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2266634">
    <w:abstractNumId w:val="5"/>
  </w:num>
  <w:num w:numId="2" w16cid:durableId="162940083">
    <w:abstractNumId w:val="1"/>
  </w:num>
  <w:num w:numId="3" w16cid:durableId="1831864378">
    <w:abstractNumId w:val="3"/>
  </w:num>
  <w:num w:numId="4" w16cid:durableId="1437602374">
    <w:abstractNumId w:val="11"/>
  </w:num>
  <w:num w:numId="5" w16cid:durableId="659314568">
    <w:abstractNumId w:val="13"/>
  </w:num>
  <w:num w:numId="6" w16cid:durableId="1588615471">
    <w:abstractNumId w:val="14"/>
  </w:num>
  <w:num w:numId="7" w16cid:durableId="777873139">
    <w:abstractNumId w:val="6"/>
  </w:num>
  <w:num w:numId="8" w16cid:durableId="2048751798">
    <w:abstractNumId w:val="12"/>
  </w:num>
  <w:num w:numId="9" w16cid:durableId="2105147416">
    <w:abstractNumId w:val="2"/>
  </w:num>
  <w:num w:numId="10" w16cid:durableId="481772128">
    <w:abstractNumId w:val="9"/>
  </w:num>
  <w:num w:numId="11" w16cid:durableId="192309713">
    <w:abstractNumId w:val="0"/>
  </w:num>
  <w:num w:numId="12" w16cid:durableId="619728302">
    <w:abstractNumId w:val="8"/>
  </w:num>
  <w:num w:numId="13" w16cid:durableId="1815754741">
    <w:abstractNumId w:val="7"/>
  </w:num>
  <w:num w:numId="14" w16cid:durableId="88695815">
    <w:abstractNumId w:val="10"/>
  </w:num>
  <w:num w:numId="15" w16cid:durableId="1526137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A1"/>
    <w:rsid w:val="003B78C9"/>
    <w:rsid w:val="0074747F"/>
    <w:rsid w:val="00C127A1"/>
    <w:rsid w:val="00D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8989"/>
  <w15:chartTrackingRefBased/>
  <w15:docId w15:val="{3E696F3F-AE31-43B3-86B2-2ED250E0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1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12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1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12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1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1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1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1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2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12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12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127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127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127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127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127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127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1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1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1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127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127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127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12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127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127A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DC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DC6E55"/>
  </w:style>
  <w:style w:type="character" w:customStyle="1" w:styleId="eop">
    <w:name w:val="eop"/>
    <w:basedOn w:val="Domylnaczcionkaakapitu"/>
    <w:rsid w:val="00DC6E55"/>
  </w:style>
  <w:style w:type="character" w:customStyle="1" w:styleId="spellingerror">
    <w:name w:val="spellingerror"/>
    <w:basedOn w:val="Domylnaczcionkaakapitu"/>
    <w:rsid w:val="00DC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646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Fabisiewicz</dc:creator>
  <cp:keywords/>
  <dc:description/>
  <cp:lastModifiedBy>Adrian Fabisiewicz</cp:lastModifiedBy>
  <cp:revision>2</cp:revision>
  <dcterms:created xsi:type="dcterms:W3CDTF">2024-03-03T15:42:00Z</dcterms:created>
  <dcterms:modified xsi:type="dcterms:W3CDTF">2024-03-03T15:44:00Z</dcterms:modified>
</cp:coreProperties>
</file>