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）算法处理功能。在算法覆盖面上，本系统是围绕滤波、图像增强、边缘检测、形态学操作、阈值分割和图像变换这六个模块展开的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分类这四类深度学习算法，经典算法与深度学习算法合计</w:t>
      </w:r>
      <w:r w:rsidR="00E61D95" w:rsidRPr="00755162">
        <w:rPr>
          <w:rStyle w:val="afa"/>
        </w:rPr>
        <w:t>34</w:t>
      </w:r>
      <w:r w:rsidR="00E61D95" w:rsidRPr="00755162">
        <w:rPr>
          <w:rStyle w:val="afa"/>
        </w:rPr>
        <w:t>种</w:t>
      </w:r>
      <w:r w:rsidRPr="00755162">
        <w:rPr>
          <w:rStyle w:val="afa"/>
        </w:rPr>
        <w:t>。</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代码组织上，系统按分层思想划分出若干目录。算法层的六个算法模块</w:t>
      </w:r>
      <w:r w:rsidR="00E61D95">
        <w:rPr>
          <w:rStyle w:val="afa"/>
          <w:rFonts w:hint="eastAsia"/>
        </w:rPr>
        <w:t>、</w:t>
      </w:r>
      <w:r w:rsidR="00E61D95">
        <w:rPr>
          <w:rStyle w:val="afa"/>
        </w:rPr>
        <w:t>深度学习模块</w:t>
      </w:r>
      <w:r w:rsidRPr="00DB0924">
        <w:rPr>
          <w:rStyle w:val="afa"/>
        </w:rPr>
        <w:t>和可视化模块放在</w:t>
      </w:r>
      <w:r w:rsidRPr="00DB0924">
        <w:rPr>
          <w:rStyle w:val="afa"/>
        </w:rPr>
        <w:t>modules</w:t>
      </w:r>
      <w:r w:rsidRPr="00DB0924">
        <w:rPr>
          <w:rStyle w:val="afa"/>
        </w:rPr>
        <w:t>目录；</w:t>
      </w:r>
      <w:r w:rsidR="00E61D95">
        <w:rPr>
          <w:rStyle w:val="afa"/>
        </w:rPr>
        <w:t>深度学习模型的训练流水线则放在</w:t>
      </w:r>
      <w:r w:rsidR="00E61D95">
        <w:rPr>
          <w:rStyle w:val="afa"/>
        </w:rPr>
        <w:lastRenderedPageBreak/>
        <w:t>modules/training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