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）算法处理功能。在算法覆盖面上，本系统是围绕滤波、图像增强、边缘检测、形态学操作、阈值分割和图像变换这六个模块展开的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分类这四类深度学习算法，经典算法与深度学习算法合计</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w:t>
      </w:r>
      <w:r w:rsidR="007E736F">
        <w:rPr>
          <w:rStyle w:val="afa"/>
        </w:rPr>
        <w:t>其中图像分类和语义分割直接复用了</w:t>
      </w:r>
      <w:proofErr w:type="spellStart"/>
      <w:r w:rsidR="007E736F">
        <w:rPr>
          <w:rStyle w:val="afa"/>
        </w:rPr>
        <w:t>torchvision</w:t>
      </w:r>
      <w:proofErr w:type="spellEnd"/>
      <w:r w:rsidR="007E736F">
        <w:rPr>
          <w:rStyle w:val="afa"/>
        </w:rPr>
        <w:t>提供的预训练网络结构，图像超分辨率与</w:t>
      </w:r>
      <w:r w:rsidR="007E736F">
        <w:rPr>
          <w:rStyle w:val="afa"/>
        </w:rPr>
        <w:t>CIFAR-10</w:t>
      </w:r>
      <w:r w:rsidR="007E736F">
        <w:rPr>
          <w:rStyle w:val="afa"/>
        </w:rPr>
        <w:t>分类则采用系统自行训练的网络；</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