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F406" w14:textId="2E6C9B14" w:rsidR="000E64F5" w:rsidRDefault="0094253C">
      <w:r w:rsidRPr="0094253C">
        <w:t xml:space="preserve">Previous studies show high leukemia classification accuracy using CNNs and transfer learning, but most rely on </w:t>
      </w:r>
      <w:r w:rsidRPr="0094253C">
        <w:rPr>
          <w:b/>
          <w:bCs/>
        </w:rPr>
        <w:t>small, single-center datasets</w:t>
      </w:r>
      <w:r w:rsidRPr="0094253C">
        <w:t xml:space="preserve">, focus on </w:t>
      </w:r>
      <w:r w:rsidRPr="0094253C">
        <w:rPr>
          <w:b/>
          <w:bCs/>
        </w:rPr>
        <w:t>limited subtypes (mainly ALL/AML)</w:t>
      </w:r>
      <w:r w:rsidRPr="0094253C">
        <w:t xml:space="preserve">, and suffer from </w:t>
      </w:r>
      <w:r w:rsidRPr="0094253C">
        <w:rPr>
          <w:b/>
          <w:bCs/>
        </w:rPr>
        <w:t>class imbalance, overfitting, and lack of clinical validation</w:t>
      </w:r>
      <w:r w:rsidRPr="0094253C">
        <w:t xml:space="preserve">. Although </w:t>
      </w:r>
      <w:proofErr w:type="spellStart"/>
      <w:r w:rsidRPr="0094253C">
        <w:t>ResNet</w:t>
      </w:r>
      <w:proofErr w:type="spellEnd"/>
      <w:r w:rsidRPr="0094253C">
        <w:t xml:space="preserve">-based models perform better than shallow CNNs, they are often used without attention mechanisms or robust imbalance handling. To address these gaps, we propose an </w:t>
      </w:r>
      <w:r w:rsidRPr="0094253C">
        <w:rPr>
          <w:b/>
          <w:bCs/>
        </w:rPr>
        <w:t xml:space="preserve">enhanced </w:t>
      </w:r>
      <w:proofErr w:type="spellStart"/>
      <w:r w:rsidRPr="0094253C">
        <w:rPr>
          <w:b/>
          <w:bCs/>
        </w:rPr>
        <w:t>ResNet</w:t>
      </w:r>
      <w:proofErr w:type="spellEnd"/>
      <w:r w:rsidRPr="0094253C">
        <w:rPr>
          <w:b/>
          <w:bCs/>
        </w:rPr>
        <w:t>-based framework with attention modules, advanced imbalance-aware loss functions, and stronger data augmentation</w:t>
      </w:r>
      <w:r w:rsidRPr="0094253C">
        <w:t xml:space="preserve">, enabling better focus on discriminative leukemic cell regions. This approach aims to improve </w:t>
      </w:r>
      <w:r w:rsidRPr="0094253C">
        <w:rPr>
          <w:b/>
          <w:bCs/>
        </w:rPr>
        <w:t>generalization, multi-class leukemia classification</w:t>
      </w:r>
      <w:r w:rsidRPr="0094253C">
        <w:t xml:space="preserve">, and reliability for </w:t>
      </w:r>
      <w:r w:rsidRPr="0094253C">
        <w:rPr>
          <w:b/>
          <w:bCs/>
        </w:rPr>
        <w:t>real-world clinical deployment</w:t>
      </w:r>
      <w:r w:rsidRPr="0094253C">
        <w:t>.</w:t>
      </w:r>
    </w:p>
    <w:sectPr w:rsidR="000E6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3C"/>
    <w:rsid w:val="000B5ECC"/>
    <w:rsid w:val="000E64F5"/>
    <w:rsid w:val="00165DEA"/>
    <w:rsid w:val="001A253C"/>
    <w:rsid w:val="00604523"/>
    <w:rsid w:val="0094253C"/>
    <w:rsid w:val="00A602FE"/>
    <w:rsid w:val="00C638FC"/>
    <w:rsid w:val="00D036C2"/>
    <w:rsid w:val="00F2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923F"/>
  <w15:chartTrackingRefBased/>
  <w15:docId w15:val="{23C48EEA-3A07-4793-9666-47D91241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SHAKIB E ELAHI</dc:creator>
  <cp:keywords/>
  <dc:description/>
  <cp:lastModifiedBy>AL SHAKIB E ELAHI</cp:lastModifiedBy>
  <cp:revision>1</cp:revision>
  <dcterms:created xsi:type="dcterms:W3CDTF">2026-01-13T13:31:00Z</dcterms:created>
  <dcterms:modified xsi:type="dcterms:W3CDTF">2026-01-13T13:31:00Z</dcterms:modified>
</cp:coreProperties>
</file>