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Liberation Sans" w:hAnsi="Liberation Sans" w:eastAsia="Liberation Sans"/>
          <w:b/>
          <w:color w:val="0E7490"/>
          <w:sz w:val="18"/>
        </w:rPr>
        <w:t>MSBA382 · HEALTHCARE ANALYTICS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0B1F33"/>
            <w:tcMar>
              <w:top w:w="360" w:type="dxa"/>
              <w:start w:w="260" w:type="dxa"/>
              <w:bottom w:w="360" w:type="dxa"/>
              <w:end w:w="260" w:type="dxa"/>
            </w:tcMar>
          </w:tcPr>
          <w:p>
            <w:pPr>
              <w:spacing w:after="16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56"/>
              </w:rPr>
              <w:t>Global Tuberculosis Burden &amp; Treatment Gaps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CDEDF0"/>
                <w:sz w:val="28"/>
              </w:rPr>
              <w:t>Likely questions, defensible answers and wording guardrails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Liberation Sans" w:hAnsi="Liberation Sans" w:eastAsia="Liberation Sans"/>
          <w:b/>
          <w:color w:val="E76F51"/>
          <w:sz w:val="20"/>
        </w:rPr>
        <w:t>Q&amp;A PREPARATION</w:t>
      </w:r>
    </w:p>
    <w:p>
      <w:pPr>
        <w:spacing w:before="160" w:after="200"/>
      </w:pPr>
      <w:r>
        <w:rPr>
          <w:rFonts w:ascii="Liberation Sans" w:hAnsi="Liberation Sans" w:eastAsia="Liberation Sans"/>
          <w:b w:val="0"/>
          <w:color w:val="0B1F33"/>
          <w:sz w:val="24"/>
        </w:rPr>
        <w:t>A decision-support tool for understanding where tuberculosis burden is concentrated, how trends have changed, and where diagnosis-and-treatment coverage remains incomplete.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DDE7EC"/>
            </w:tcBorders>
            <w:shd w:fill="EEF6F8"/>
          </w:tcPr>
          <w:p>
            <w:r>
              <w:rPr>
                <w:rFonts w:ascii="Liberation Sans" w:hAnsi="Liberation Sans" w:eastAsia="Liberation Sans"/>
                <w:b/>
                <w:color w:val="64748B"/>
                <w:sz w:val="18"/>
              </w:rPr>
              <w:t>Name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DDE7EC"/>
            </w:tcBorders>
            <w:shd w:fill="FFFFFF"/>
          </w:tcPr>
          <w:p>
            <w:r>
              <w:rPr>
                <w:rFonts w:ascii="Liberation Sans" w:hAnsi="Liberation Sans" w:eastAsia="Liberation Sans"/>
                <w:b w:val="0"/>
                <w:color w:val="0B1F33"/>
                <w:sz w:val="18"/>
              </w:rPr>
              <w:t>[Student Name]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DDE7EC"/>
            </w:tcBorders>
            <w:shd w:fill="EEF6F8"/>
          </w:tcPr>
          <w:p>
            <w:r>
              <w:rPr>
                <w:rFonts w:ascii="Liberation Sans" w:hAnsi="Liberation Sans" w:eastAsia="Liberation Sans"/>
                <w:b/>
                <w:color w:val="64748B"/>
                <w:sz w:val="18"/>
              </w:rPr>
              <w:t>Major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DDE7EC"/>
            </w:tcBorders>
            <w:shd w:fill="FFFFFF"/>
          </w:tcPr>
          <w:p>
            <w:r>
              <w:rPr>
                <w:rFonts w:ascii="Liberation Sans" w:hAnsi="Liberation Sans" w:eastAsia="Liberation Sans"/>
                <w:b w:val="0"/>
                <w:color w:val="0B1F33"/>
                <w:sz w:val="18"/>
              </w:rPr>
              <w:t>Master of Science in Business Analytics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DDE7EC"/>
            </w:tcBorders>
            <w:shd w:fill="EEF6F8"/>
          </w:tcPr>
          <w:p>
            <w:r>
              <w:rPr>
                <w:rFonts w:ascii="Liberation Sans" w:hAnsi="Liberation Sans" w:eastAsia="Liberation Sans"/>
                <w:b/>
                <w:color w:val="64748B"/>
                <w:sz w:val="18"/>
              </w:rPr>
              <w:t>Department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DDE7EC"/>
            </w:tcBorders>
            <w:shd w:fill="FFFFFF"/>
          </w:tcPr>
          <w:p>
            <w:r>
              <w:rPr>
                <w:rFonts w:ascii="Liberation Sans" w:hAnsi="Liberation Sans" w:eastAsia="Liberation Sans"/>
                <w:b w:val="0"/>
                <w:color w:val="0B1F33"/>
                <w:sz w:val="18"/>
              </w:rPr>
              <w:t>Suliman S. Olayan School of Business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DDE7EC"/>
            </w:tcBorders>
            <w:shd w:fill="EEF6F8"/>
          </w:tcPr>
          <w:p>
            <w:r>
              <w:rPr>
                <w:rFonts w:ascii="Liberation Sans" w:hAnsi="Liberation Sans" w:eastAsia="Liberation Sans"/>
                <w:b/>
                <w:color w:val="64748B"/>
                <w:sz w:val="18"/>
              </w:rPr>
              <w:t>Date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DDE7EC"/>
            </w:tcBorders>
            <w:shd w:fill="FFFFFF"/>
          </w:tcPr>
          <w:p>
            <w:r>
              <w:rPr>
                <w:rFonts w:ascii="Liberation Sans" w:hAnsi="Liberation Sans" w:eastAsia="Liberation Sans"/>
                <w:b w:val="0"/>
                <w:color w:val="0B1F33"/>
                <w:sz w:val="18"/>
              </w:rPr>
              <w:t>23 June 2026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AF5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start w:val="single" w:sz="18" w:color="14B8A6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14B8A6"/>
                <w:sz w:val="18"/>
              </w:rPr>
              <w:t xml:space="preserve">Project snapshot  </w:t>
            </w:r>
            <w:r>
              <w:rPr>
                <w:rFonts w:ascii="Liberation Sans" w:hAnsi="Liberation Sans" w:eastAsia="Liberation Sans"/>
                <w:b w:val="0"/>
                <w:color w:val="0B1F33"/>
                <w:sz w:val="18"/>
              </w:rPr>
              <w:t>Analytical period 2000–2024 · 217 countries/territories · six WHO regions · age/sex cross-section for 2024 · reproducible source manifest and validation checks.</w:t>
            </w:r>
          </w:p>
        </w:tc>
      </w:tr>
    </w:tbl>
    <w:p>
      <w:pPr>
        <w:spacing w:after="0"/>
      </w:pPr>
    </w:p>
    <w:p>
      <w:pPr>
        <w:spacing w:before="280"/>
      </w:pPr>
    </w:p>
    <w:p>
      <w:pPr>
        <w:jc w:val="center"/>
      </w:pPr>
      <w:r>
        <w:rPr>
          <w:rFonts w:ascii="Liberation Sans" w:hAnsi="Liberation Sans" w:eastAsia="Liberation Sans"/>
          <w:b w:val="0"/>
          <w:i/>
          <w:color w:val="64748B"/>
          <w:sz w:val="17"/>
        </w:rPr>
        <w:t>Prepared as an individual master’s-level healthcare analytics project</w:t>
      </w:r>
    </w:p>
    <w:p>
      <w:r>
        <w:br w:type="page"/>
      </w:r>
    </w:p>
    <w:p>
      <w:pPr>
        <w:pStyle w:val="Kicker"/>
      </w:pPr>
      <w:r>
        <w:t>Q&amp;A STRATEGY</w:t>
      </w:r>
    </w:p>
    <w:p>
      <w:pPr>
        <w:pStyle w:val="Heading1"/>
      </w:pPr>
      <w:r>
        <w:t>Answer in three steps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440"/>
            <w:shd w:fill="0B1F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3888"/>
            <w:shd w:fill="0B1F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What to do</w:t>
            </w:r>
          </w:p>
        </w:tc>
        <w:tc>
          <w:tcPr>
            <w:tcW w:type="dxa" w:w="4320"/>
            <w:shd w:fill="0B1F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44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DE7E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0B1F33"/>
                <w:sz w:val="16"/>
              </w:rPr>
              <w:t>1. Answer</w:t>
            </w:r>
          </w:p>
        </w:tc>
        <w:tc>
          <w:tcPr>
            <w:tcW w:type="dxa" w:w="388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DE7E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0B1F33"/>
                <w:sz w:val="16"/>
              </w:rPr>
              <w:t>Give the direct answer in one sentence.</w:t>
            </w:r>
          </w:p>
        </w:tc>
        <w:tc>
          <w:tcPr>
            <w:tcW w:type="dxa" w:w="432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DE7E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0B1F33"/>
                <w:sz w:val="16"/>
              </w:rPr>
              <w:t>“No, the dashboard does not prove causality.”</w:t>
            </w:r>
          </w:p>
        </w:tc>
      </w:tr>
      <w:tr>
        <w:tc>
          <w:tcPr>
            <w:tcW w:type="dxa" w:w="1440"/>
            <w:shd w:fill="F7FAFC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DE7E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0B1F33"/>
                <w:sz w:val="16"/>
              </w:rPr>
              <w:t>2. Evidence</w:t>
            </w:r>
          </w:p>
        </w:tc>
        <w:tc>
          <w:tcPr>
            <w:tcW w:type="dxa" w:w="3888"/>
            <w:shd w:fill="F7FAFC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DE7E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0B1F33"/>
                <w:sz w:val="16"/>
              </w:rPr>
              <w:t>Support it with one method or number.</w:t>
            </w:r>
          </w:p>
        </w:tc>
        <w:tc>
          <w:tcPr>
            <w:tcW w:type="dxa" w:w="4320"/>
            <w:shd w:fill="F7FAFC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DE7E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0B1F33"/>
                <w:sz w:val="16"/>
              </w:rPr>
              <w:t>“It uses ecological country-level data.”</w:t>
            </w:r>
          </w:p>
        </w:tc>
      </w:tr>
      <w:tr>
        <w:tc>
          <w:tcPr>
            <w:tcW w:type="dxa" w:w="144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DE7E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0B1F33"/>
                <w:sz w:val="16"/>
              </w:rPr>
              <w:t>3. Boundary</w:t>
            </w:r>
          </w:p>
        </w:tc>
        <w:tc>
          <w:tcPr>
            <w:tcW w:type="dxa" w:w="388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DE7E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0B1F33"/>
                <w:sz w:val="16"/>
              </w:rPr>
              <w:t>State the limitation or next step.</w:t>
            </w:r>
          </w:p>
        </w:tc>
        <w:tc>
          <w:tcPr>
            <w:tcW w:type="dxa" w:w="432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DE7E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0B1F33"/>
                <w:sz w:val="16"/>
              </w:rPr>
              <w:t>“A causal study would need individual or quasi-experimental data.”</w:t>
            </w:r>
          </w:p>
        </w:tc>
      </w:tr>
    </w:tbl>
    <w:p>
      <w:pPr>
        <w:spacing w:after="0"/>
      </w:pPr>
    </w:p>
    <w:p>
      <w:pPr>
        <w:pStyle w:val="Heading2"/>
      </w:pPr>
      <w:r>
        <w:t>Wording guardrails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0B1F33"/>
          <w:sz w:val="18"/>
        </w:rPr>
        <w:t>Say “estimated incident cases,” not “confirmed cases.”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0B1F33"/>
          <w:sz w:val="18"/>
        </w:rPr>
        <w:t>Say “notified new and relapse cases,” not simply “treated patients.”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0B1F33"/>
          <w:sz w:val="18"/>
        </w:rPr>
        <w:t>Say “estimated notification difference” or “coverage signal,” not “all untreated people.”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0B1F33"/>
          <w:sz w:val="18"/>
        </w:rPr>
        <w:t>Say “exploratory projection,” not “prediction of what will happen.”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0B1F33"/>
          <w:sz w:val="18"/>
        </w:rPr>
        <w:t>Say “associated geographic pattern,” not “cause.”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6E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start w:val="single" w:sz="18" w:color="E76F5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E76F51"/>
                <w:sz w:val="18"/>
              </w:rPr>
              <w:t xml:space="preserve">Best fallback  </w:t>
            </w:r>
            <w:r>
              <w:rPr>
                <w:rFonts w:ascii="Liberation Sans" w:hAnsi="Liberation Sans" w:eastAsia="Liberation Sans"/>
                <w:b w:val="0"/>
                <w:color w:val="0B1F33"/>
                <w:sz w:val="18"/>
              </w:rPr>
              <w:t>“The dashboard is designed to prioritize investigation. It does not replace programme validation or clinical judgment.”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LIKELY QUESTIONS · PART 1</w:t>
      </w:r>
    </w:p>
    <w:p>
      <w:pPr>
        <w:pStyle w:val="Heading1"/>
      </w:pPr>
      <w:r>
        <w:t>Concept and interpretation</w:t>
      </w:r>
    </w:p>
    <w:p>
      <w:pPr>
        <w:pStyle w:val="Heading2"/>
      </w:pPr>
      <w:r>
        <w:t>What exactly is the “treatment gap”?</w:t>
      </w:r>
    </w:p>
    <w:p>
      <w:r>
        <w:rPr>
          <w:rFonts w:ascii="Liberation Sans" w:hAnsi="Liberation Sans" w:eastAsia="Liberation Sans"/>
        </w:rPr>
        <w:t>The dashboard’s core measurable gap is diagnosis-and-treatment coverage: notified new and relapse cases divided by estimated incident cases. The absolute difference is called the estimated notification difference. I avoid claiming that every person in the difference was untreated because incidence is estimated and notifications are programme counts.</w:t>
      </w:r>
    </w:p>
    <w:p>
      <w:pPr>
        <w:pStyle w:val="Heading2"/>
      </w:pPr>
      <w:r>
        <w:t>Why is TB related to HIV?</w:t>
      </w:r>
    </w:p>
    <w:p>
      <w:r>
        <w:rPr>
          <w:rFonts w:ascii="Liberation Sans" w:hAnsi="Liberation Sans" w:eastAsia="Liberation Sans"/>
        </w:rPr>
        <w:t>HIV weakens immunity, increasing the chance that TB infection progresses to active disease. They are different diseases, so TB–HIV is analysed as a co-epidemic requiring integrated testing and care.</w:t>
      </w:r>
    </w:p>
    <w:p>
      <w:pPr>
        <w:pStyle w:val="Heading2"/>
      </w:pPr>
      <w:r>
        <w:t>What is RR/MDR-TB?</w:t>
      </w:r>
    </w:p>
    <w:p>
      <w:r>
        <w:rPr>
          <w:rFonts w:ascii="Liberation Sans" w:hAnsi="Liberation Sans" w:eastAsia="Liberation Sans"/>
        </w:rPr>
        <w:t>RR-TB is resistant to rifampicin, a key TB medicine. MDR-TB is resistant to at least rifampicin and isoniazid. These cases require rapid resistance testing and different treatment pathways.</w:t>
      </w:r>
    </w:p>
    <w:p>
      <w:pPr>
        <w:pStyle w:val="Heading2"/>
      </w:pPr>
      <w:r>
        <w:t>Why use both counts and rates?</w:t>
      </w:r>
    </w:p>
    <w:p>
      <w:r>
        <w:rPr>
          <w:rFonts w:ascii="Liberation Sans" w:hAnsi="Liberation Sans" w:eastAsia="Liberation Sans"/>
        </w:rPr>
        <w:t>Counts identify where the largest service volume is needed. Rates standardize for population size and identify intense risk. Coverage adds the health-system reach dimension.</w:t>
      </w:r>
    </w:p>
    <w:p>
      <w:pPr>
        <w:pStyle w:val="Heading1"/>
      </w:pPr>
      <w:r>
        <w:t>Data and methodology</w:t>
      </w:r>
    </w:p>
    <w:p>
      <w:pPr>
        <w:pStyle w:val="Heading2"/>
      </w:pPr>
      <w:r>
        <w:t>Where did the data come from?</w:t>
      </w:r>
    </w:p>
    <w:p>
      <w:r>
        <w:rPr>
          <w:rFonts w:ascii="Liberation Sans" w:hAnsi="Liberation Sans" w:eastAsia="Liberation Sans"/>
        </w:rPr>
        <w:t>The project uses WHO Global Tuberculosis Programme indicators. The package includes raw WHO-derived snapshots, an official WHO report/repository cross-check, source URLs, retrieval dates and SHA-256 hashes.</w:t>
      </w:r>
    </w:p>
    <w:p>
      <w:pPr>
        <w:pStyle w:val="Heading2"/>
      </w:pPr>
      <w:r>
        <w:t>Why did you use a mirror rather than the direct WHO CSV?</w:t>
      </w:r>
    </w:p>
    <w:p>
      <w:r>
        <w:rPr>
          <w:rFonts w:ascii="Liberation Sans" w:hAnsi="Liberation Sans" w:eastAsia="Liberation Sans"/>
        </w:rPr>
        <w:t>The WHO data page is the authoritative source, but its direct CSV endpoint was not retrievable in the development runtime. I used a public WHO-derived DDF mirror, retained full provenance, and validated results against the current WHO report and official 2025 repository.</w:t>
      </w:r>
    </w:p>
    <w:p>
      <w:pPr>
        <w:pStyle w:val="Heading2"/>
      </w:pPr>
      <w:r>
        <w:t>Why are your global totals 10.55M and 1.20M, while WHO says 10.7M and 1.23M?</w:t>
      </w:r>
    </w:p>
    <w:p>
      <w:r>
        <w:rPr>
          <w:rFonts w:ascii="Liberation Sans" w:hAnsi="Liberation Sans" w:eastAsia="Liberation Sans"/>
        </w:rPr>
        <w:t>WHO publishes rounded global estimates with uncertainty intervals and updates country time series. My figures are reproducible sums of the country-level snapshot. The dashboard discloses this difference instead of presenting the two as identical.</w:t>
      </w:r>
    </w:p>
    <w:p>
      <w:pPr>
        <w:pStyle w:val="Heading2"/>
      </w:pPr>
      <w:r>
        <w:t>What data cleaning did you perform?</w:t>
      </w:r>
    </w:p>
    <w:p>
      <w:r>
        <w:rPr>
          <w:rFonts w:ascii="Liberation Sans" w:hAnsi="Liberation Sans" w:eastAsia="Liberation Sans"/>
        </w:rPr>
        <w:t>I standardized country identifiers and names, converted years and indicators to numeric form, merged 15 indicator files, recalculated rates and coverage, selected non-overlapping age bands, and created country, regional and global tables.</w:t>
      </w:r>
    </w:p>
    <w:p>
      <w:pPr>
        <w:pStyle w:val="Heading2"/>
      </w:pPr>
      <w:r>
        <w:t>How did you validate the data?</w:t>
      </w:r>
    </w:p>
    <w:p>
      <w:r>
        <w:rPr>
          <w:rFonts w:ascii="Liberation Sans" w:hAnsi="Liberation Sans" w:eastAsia="Liberation Sans"/>
        </w:rPr>
        <w:t>Automated checks tested unique country-year records, year range, non-negative burden values, ISO-code completeness, expected WHO regions, and the presence of male and female age-sex estimates.</w:t>
      </w:r>
    </w:p>
    <w:p>
      <w:r>
        <w:br w:type="page"/>
      </w:r>
    </w:p>
    <w:p>
      <w:pPr>
        <w:pStyle w:val="Kicker"/>
      </w:pPr>
      <w:r>
        <w:t>LIKELY QUESTIONS · PART 2</w:t>
      </w:r>
    </w:p>
    <w:p>
      <w:pPr>
        <w:pStyle w:val="Heading1"/>
      </w:pPr>
      <w:r>
        <w:t>Analysis, prediction and limitations</w:t>
      </w:r>
    </w:p>
    <w:p>
      <w:pPr>
        <w:pStyle w:val="Heading2"/>
      </w:pPr>
      <w:r>
        <w:t>Why can calculated coverage exceed 100%?</w:t>
      </w:r>
    </w:p>
    <w:p>
      <w:r>
        <w:rPr>
          <w:rFonts w:ascii="Liberation Sans" w:hAnsi="Liberation Sans" w:eastAsia="Liberation Sans"/>
        </w:rPr>
        <w:t>Incidence is estimated and notifications are reported. Different uncertainty, timing, revisions or cross-border diagnosis can produce a numerator above the estimated denominator. The dashboard preserves the value but uses a non-negative gap field for ranking.</w:t>
      </w:r>
    </w:p>
    <w:p>
      <w:pPr>
        <w:pStyle w:val="Heading2"/>
      </w:pPr>
      <w:r>
        <w:t>Why use a simple linear forecast?</w:t>
      </w:r>
    </w:p>
    <w:p>
      <w:r>
        <w:rPr>
          <w:rFonts w:ascii="Liberation Sans" w:hAnsi="Liberation Sans" w:eastAsia="Liberation Sans"/>
        </w:rPr>
        <w:t>Prediction is optional bonus work. I chose an interpretable baseline, report holdout MAE, compare it with a last-value baseline, and label the result as an exploratory extrapolation rather than a policy or clinical forecast.</w:t>
      </w:r>
    </w:p>
    <w:p>
      <w:pPr>
        <w:pStyle w:val="Heading2"/>
      </w:pPr>
      <w:r>
        <w:t>Why is age/sex only for 2024?</w:t>
      </w:r>
    </w:p>
    <w:p>
      <w:r>
        <w:rPr>
          <w:rFonts w:ascii="Liberation Sans" w:hAnsi="Liberation Sans" w:eastAsia="Liberation Sans"/>
        </w:rPr>
        <w:t>That is the available cross-sectional age-sex estimate in the integrated project package. I state the limitation and do not imply a demographic time trend.</w:t>
      </w:r>
    </w:p>
    <w:p>
      <w:pPr>
        <w:pStyle w:val="Heading2"/>
      </w:pPr>
      <w:r>
        <w:t>Why not include treatment success outcomes?</w:t>
      </w:r>
    </w:p>
    <w:p>
      <w:r>
        <w:rPr>
          <w:rFonts w:ascii="Liberation Sans" w:hAnsi="Liberation Sans" w:eastAsia="Liberation Sans"/>
        </w:rPr>
        <w:t>The current version focuses on burden, notifications and diagnosis-and-treatment coverage. Treatment cohorts use different reference years and require careful alignment. They are a logical extension, but omitting them keeps this version methodologically coherent.</w:t>
      </w:r>
    </w:p>
    <w:p>
      <w:pPr>
        <w:pStyle w:val="Heading2"/>
      </w:pPr>
      <w:r>
        <w:t>Can the dashboard prove causes?</w:t>
      </w:r>
    </w:p>
    <w:p>
      <w:r>
        <w:rPr>
          <w:rFonts w:ascii="Liberation Sans" w:hAnsi="Liberation Sans" w:eastAsia="Liberation Sans"/>
        </w:rPr>
        <w:t>No. It uses ecological country-level data and supports prioritization, not causal inference or individual risk prediction.</w:t>
      </w:r>
    </w:p>
    <w:p>
      <w:pPr>
        <w:pStyle w:val="Heading2"/>
      </w:pPr>
      <w:r>
        <w:t>What is the single most important finding?</w:t>
      </w:r>
    </w:p>
    <w:p>
      <w:r>
        <w:rPr>
          <w:rFonts w:ascii="Liberation Sans" w:hAnsi="Liberation Sans" w:eastAsia="Liberation Sans"/>
        </w:rPr>
        <w:t>Progress is visible, but the response is uneven: a global 78.9% calculated coverage still leaves a large notification difference, and priority changes depending on burden volume, rate, HIV co-burden and drug resistance.</w:t>
      </w:r>
    </w:p>
    <w:p>
      <w:pPr>
        <w:pStyle w:val="Heading2"/>
      </w:pPr>
      <w:r>
        <w:t>What would you improve next?</w:t>
      </w:r>
    </w:p>
    <w:p>
      <w:r>
        <w:rPr>
          <w:rFonts w:ascii="Liberation Sans" w:hAnsi="Liberation Sans" w:eastAsia="Liberation Sans"/>
        </w:rPr>
        <w:t>I would add treatment-cohort outcomes, uncertainty intervals, subnational data for selected countries, and stronger forecast models only after verifying sufficient and comparable time-series data.</w:t>
      </w:r>
    </w:p>
    <w:p>
      <w:pPr>
        <w:pStyle w:val="Heading2"/>
      </w:pPr>
      <w:r>
        <w:t>Source references to mention</w:t>
      </w:r>
    </w:p>
    <w:p>
      <w:pPr>
        <w:pStyle w:val="ListBullet"/>
        <w:spacing w:after="20"/>
        <w:ind w:left="259" w:hanging="173"/>
      </w:pPr>
      <w:r>
        <w:rPr>
          <w:rFonts w:ascii="Liberation Sans" w:hAnsi="Liberation Sans" w:eastAsia="Liberation Sans"/>
          <w:color w:val="0B1F33"/>
          <w:sz w:val="17"/>
        </w:rPr>
        <w:t>WHO Global tuberculosis report 2025 and its top findings.</w:t>
      </w:r>
    </w:p>
    <w:p>
      <w:pPr>
        <w:pStyle w:val="ListBullet"/>
        <w:spacing w:after="20"/>
        <w:ind w:left="259" w:hanging="173"/>
      </w:pPr>
      <w:r>
        <w:rPr>
          <w:rFonts w:ascii="Liberation Sans" w:hAnsi="Liberation Sans" w:eastAsia="Liberation Sans"/>
          <w:color w:val="0B1F33"/>
          <w:sz w:val="17"/>
        </w:rPr>
        <w:t>WHO Tuberculosis data page and data dictionary.</w:t>
      </w:r>
    </w:p>
    <w:p>
      <w:pPr>
        <w:pStyle w:val="ListBullet"/>
        <w:spacing w:after="20"/>
        <w:ind w:left="259" w:hanging="173"/>
      </w:pPr>
      <w:r>
        <w:rPr>
          <w:rFonts w:ascii="Liberation Sans" w:hAnsi="Liberation Sans" w:eastAsia="Liberation Sans"/>
          <w:color w:val="0B1F33"/>
          <w:sz w:val="17"/>
        </w:rPr>
        <w:t>GTB-TME official 2025 report GitHub repository.</w:t>
      </w:r>
    </w:p>
    <w:p>
      <w:pPr>
        <w:pStyle w:val="ListBullet"/>
        <w:spacing w:after="20"/>
        <w:ind w:left="259" w:hanging="173"/>
      </w:pPr>
      <w:r>
        <w:rPr>
          <w:rFonts w:ascii="Liberation Sans" w:hAnsi="Liberation Sans" w:eastAsia="Liberation Sans"/>
          <w:color w:val="0B1F33"/>
          <w:sz w:val="17"/>
        </w:rPr>
        <w:t>Project data manifest, preparation script and validation JSON.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93" w:left="979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b w:val="0"/>
        <w:color w:val="64748B"/>
        <w:sz w:val="15"/>
      </w:rPr>
      <w:t>MSBA382 · Healthcare Analytics  |  Global TB Project</w:t>
    </w:r>
    <w:r>
      <w:rPr>
        <w:rFonts w:ascii="Liberation Sans" w:hAnsi="Liberation Sans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color w:val="0E7490"/>
        <w:sz w:val="15"/>
      </w:rPr>
      <w:t>THREE-MINUTE Q&amp;A PREPARATION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0E749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after="80"/>
    </w:pPr>
    <w:rPr>
      <w:rFonts w:ascii="Liberation Sans" w:hAnsi="Liberation Sans" w:eastAsia="Liberation Sans"/>
      <w:b/>
      <w:color w:val="0E7490"/>
      <w:sz w:val="16"/>
    </w:rPr>
  </w:style>
  <w:style w:type="paragraph" w:customStyle="1" w:styleId="CaptionCustom">
    <w:name w:val="CaptionCustom"/>
    <w:pPr>
      <w:spacing w:before="40" w:after="100"/>
    </w:pPr>
    <w:rPr>
      <w:rFonts w:ascii="Liberation Sans" w:hAnsi="Liberation Sans" w:eastAsia="Liberation Sans"/>
      <w:i/>
      <w:color w:val="64748B"/>
      <w:sz w:val="15"/>
    </w:rPr>
  </w:style>
  <w:style w:type="paragraph" w:customStyle="1" w:styleId="Small">
    <w:name w:val="Small"/>
    <w:pPr>
      <w:spacing w:after="60" w:line="240" w:lineRule="auto"/>
    </w:pPr>
    <w:rPr>
      <w:rFonts w:ascii="Liberation Sans" w:hAnsi="Liberation Sans" w:eastAsia="Liberation Sans"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TB Project - Q&amp;A Notes</dc:title>
  <dc:subject>Three-minute Q&amp;A preparation</dc:subject>
  <dc:creator>[Student Name]</dc:creator>
  <cp:keywords/>
  <dc:description>Prepared for MSBA382 Healthcare Analytics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