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 Hasil Skenario A</w:t>
      </w:r>
    </w:p>
    <w:p>
      <w:pPr>
        <w:pStyle w:val="Heading2"/>
      </w:pPr>
      <w:r>
        <w:t>Payload 10MB</w:t>
      </w:r>
    </w:p>
    <w:p>
      <w:pPr>
        <w:pStyle w:val="Heading4"/>
      </w:pPr>
      <w:r>
        <w:t>Latency (ms)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22.92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208.75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422.50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71.30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97.13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99.43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3.11×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0.47×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0.24×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41.15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172.50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234.50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46.53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94.05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98.82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1.13×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0.55×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0.42×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8.09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74.17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94.83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15.54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24.64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42.25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1.92×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0.33×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0.45×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2.98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20.88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42.25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16.94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24.69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2035.00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5.68×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1.18×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48.17×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/>
    <w:p>
      <w:pPr>
        <w:pStyle w:val="Heading4"/>
      </w:pPr>
      <w:r>
        <w:t>Throughput (MB/s)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453.82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962.95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1011.79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176.64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248.06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254.41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0.39×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0.26×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291.56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489.96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507.59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201.48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412.80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492.16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0.69×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0.84×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0.97×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328.01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825.60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984.32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173.72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313.60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472.32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0.53×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0.38×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0.48×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947.20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1934.63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2025.33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176.64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248.06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254.41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0.19×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0.13×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0.13×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tinggi lebih baik untuk metrik ini.</w:t>
      </w:r>
    </w:p>
    <w:p/>
    <w:p>
      <w:pPr>
        <w:pStyle w:val="Heading4"/>
      </w:pPr>
      <w:r>
        <w:t>CPU (ratio/core)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1.81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2.48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2.10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2.44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2.49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1.16×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0.98×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0.93×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2.21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2.35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2.81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2.96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1.24×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1.27×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1.32×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7.61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7.75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1.60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2.45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0.32×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0.38×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p>
      <w:pPr>
        <w:pStyle w:val="Heading4"/>
      </w:pPr>
      <w:r>
        <w:t>RAM (MB)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91.26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124.33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127.27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49.10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78.45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118.09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0.54×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0.63×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0.93×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48.00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62.40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63.68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53.57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115.60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125.52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1.12×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1.85×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1.97×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96.00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124.80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127.36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50.37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103.20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123.04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0.52×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0.83×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0.97×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p>
      <w:pPr>
        <w:pStyle w:val="Heading2"/>
      </w:pPr>
      <w:r>
        <w:t>Payload 50MB</w:t>
      </w:r>
    </w:p>
    <w:p>
      <w:pPr>
        <w:pStyle w:val="Heading4"/>
      </w:pPr>
      <w:r>
        <w:t>Latency (ms)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76.85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141.25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228.25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175.00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242.50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248.50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2.28×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1.72×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1.09×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92.65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231.88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246.38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175.00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242.50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248.50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1.89×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1.05×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1.01×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17.77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24.76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42.75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38.94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75.83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95.17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2.19×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3.06×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2.23×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8.45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24.04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2065.00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39.50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81.88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96.37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4.67×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3.41×</w:t>
            </w:r>
          </w:p>
        </w:tc>
        <w:tc>
          <w:tcPr>
            <w:tcW w:type="dxa" w:w="709"/>
            <w:shd w:val="clear" w:color="auto" w:fill="3F8F6C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0.05×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/>
    <w:p>
      <w:pPr>
        <w:pStyle w:val="Heading4"/>
      </w:pPr>
      <w:r>
        <w:t>Throughput (MB/s)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749.04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996.50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1018.50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212.36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458.97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501.39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0.28×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0.46×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0.49×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560.00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977.60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1014.72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374.52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498.25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509.25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0.67×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0.51×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816.76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1800.53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1998.51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350.61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495.86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508.77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0.43×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0.28×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1373.11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1980.51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2034.50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244.00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483.45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506.29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0.18×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0.24×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tinggi lebih baik untuk metrik ini.</w:t>
      </w:r>
    </w:p>
    <w:p/>
    <w:p>
      <w:pPr>
        <w:pStyle w:val="Heading4"/>
      </w:pPr>
      <w:r>
        <w:t>CPU (ratio/core)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1.97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1.99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2.12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1.22×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1.14×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1.13×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2.13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2.41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2.48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2.35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2.49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2.50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1.03×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1.01×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4.43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1.99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0.73×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0.45×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p>
      <w:pPr>
        <w:pStyle w:val="Heading4"/>
      </w:pPr>
      <w:r>
        <w:t>RAM (MB)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384.00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499.20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509.44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96.00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124.81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127.37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0.25×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192.00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249.60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254.72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192.00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249.60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254.72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384.00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499.20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509.44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122.00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241.72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253.14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0.32×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0.48×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p>
      <w:pPr>
        <w:pStyle w:val="Heading2"/>
      </w:pPr>
      <w:r>
        <w:t>Payload 100MB</w:t>
      </w:r>
    </w:p>
    <w:p>
      <w:pPr>
        <w:pStyle w:val="Heading4"/>
      </w:pPr>
      <w:r>
        <w:t>Latency (ms)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178.13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1412.50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2282.50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414.77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2162.50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4275.00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2.33×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1.53×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1.87×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187.01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2162.50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4275.00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389.42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758.33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951.67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2.08×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0.35×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0.22×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29.81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443.75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855.00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81.53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213.77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242.75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2.73×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0.48×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0.28×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18.37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77.50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2065.00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81.53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387.50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2065.00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4.44×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5.00×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/>
    <w:p>
      <w:pPr>
        <w:pStyle w:val="Heading4"/>
      </w:pPr>
      <w:r>
        <w:t>Throughput (MB/s)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738.46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995.45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1018.29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204.01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465.61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502.72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0.28×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0.47×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0.49×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633.26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984.93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1016.19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326.41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493.44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508.29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0.52×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723.48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1013.98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1751.04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220.80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470.76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503.75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0.31×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0.46×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0.29×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1472.01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2028.80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3502.08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208.00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458.97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501.39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0.14×</w:t>
            </w:r>
          </w:p>
        </w:tc>
        <w:tc>
          <w:tcPr>
            <w:tcW w:type="dxa" w:w="709"/>
            <w:shd w:val="clear" w:color="auto" w:fill="EAB596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0.23×</w:t>
            </w:r>
          </w:p>
        </w:tc>
        <w:tc>
          <w:tcPr>
            <w:tcW w:type="dxa" w:w="709"/>
            <w:shd w:val="clear" w:color="auto" w:fill="B5502F"/>
          </w:tcPr>
          <w:p>
            <w:pPr>
              <w:jc w:val="center"/>
            </w:pPr>
            <w:r>
              <w:rPr>
                <w:b w:val="0"/>
                <w:color w:val="FFFFFF"/>
                <w:sz w:val="16"/>
              </w:rPr>
              <w:t>0.14×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tinggi lebih baik untuk metrik ini.</w:t>
      </w:r>
    </w:p>
    <w:p/>
    <w:p>
      <w:pPr>
        <w:pStyle w:val="Heading4"/>
      </w:pPr>
      <w:r>
        <w:t>CPU (ratio/core)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1.64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2.11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2.43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1.29×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1.20×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1.23×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2.12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1.18×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1.13×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1.12×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2.18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1.71</w:t>
            </w:r>
          </w:p>
        </w:tc>
        <w:tc>
          <w:tcPr>
            <w:tcW w:type="dxa" w:w="709"/>
            <w:shd w:val="clear" w:color="auto" w:fill="F7E3DA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1.31×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0.81×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0.78×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p>
      <w:pPr>
        <w:pStyle w:val="Heading4"/>
      </w:pPr>
      <w:r>
        <w:t>RAM (MB)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361"/>
            <w:vMerge w:val="restart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Segmen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REST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gRPC</w:t>
            </w:r>
          </w:p>
        </w:tc>
        <w:tc>
          <w:tcPr>
            <w:tcW w:type="dxa" w:w="709"/>
            <w:gridSpan w:val="3"/>
            <w:shd w:val="clear" w:color="auto" w:fill="D9D9D9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Rasio (gRPC/REST)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P50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P95</w:t>
            </w:r>
          </w:p>
        </w:tc>
        <w:tc>
          <w:tcPr>
            <w:tcW w:type="dxa" w:w="70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P99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Client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758.86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997.49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1018.70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384.01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499.23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509.47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0.51×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Worker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384.00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499.20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509.44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384.00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499.20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509.44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  <w:tc>
          <w:tcPr>
            <w:tcW w:type="dxa" w:w="709"/>
            <w:shd w:val="clear" w:color="auto" w:fill="EEF0F2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1.00×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b/>
                <w:sz w:val="16"/>
              </w:rPr>
              <w:t>Worker ke Gateway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  <w:tc>
          <w:tcPr>
            <w:tcW w:type="dxa" w:w="709"/>
            <w:shd w:val="clear" w:color="auto" w:fill="EDEDED"/>
          </w:tcPr>
          <w:p>
            <w:pPr>
              <w:jc w:val="center"/>
            </w:pPr>
            <w:r>
              <w:rPr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1361"/>
            <w:shd w:val="clear" w:color="auto" w:fill="F2F2F2"/>
          </w:tcPr>
          <w:p>
            <w:pPr>
              <w:jc w:val="left"/>
            </w:pPr>
            <w:r>
              <w:rPr>
                <w:b/>
                <w:sz w:val="16"/>
              </w:rPr>
              <w:t>Gateway ke Client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738.46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995.45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1018.29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384.00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499.20</w:t>
            </w:r>
          </w:p>
        </w:tc>
        <w:tc>
          <w:tcPr>
            <w:tcW w:type="dxa" w:w="709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6"/>
              </w:rPr>
              <w:t>509.44</w:t>
            </w:r>
          </w:p>
        </w:tc>
        <w:tc>
          <w:tcPr>
            <w:tcW w:type="dxa" w:w="709"/>
            <w:shd w:val="clear" w:color="auto" w:fill="DCEFE4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0.52×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  <w:tc>
          <w:tcPr>
            <w:tcW w:type="dxa" w:w="709"/>
            <w:shd w:val="clear" w:color="auto" w:fill="A9D9BD"/>
          </w:tcPr>
          <w:p>
            <w:pPr>
              <w:jc w:val="center"/>
            </w:pPr>
            <w:r>
              <w:rPr>
                <w:b w:val="0"/>
                <w:color w:val="000000"/>
                <w:sz w:val="16"/>
              </w:rPr>
              <w:t>0.50×</w:t>
            </w:r>
          </w:p>
        </w:tc>
      </w:tr>
    </w:tbl>
    <w:p>
      <w:pPr>
        <w:pStyle w:val="ListBullet"/>
      </w:pPr>
      <w:r>
        <w:rPr>
          <w:sz w:val="16"/>
        </w:rPr>
        <w:t>Rasio dihitung sebagai nilai gRPC dibagi nilai REST pada persentil yang sama.</w:t>
      </w:r>
    </w:p>
    <w:p>
      <w:pPr>
        <w:pStyle w:val="ListBullet"/>
      </w:pPr>
      <w:r>
        <w:rPr>
          <w:sz w:val="16"/>
        </w:rPr>
        <w:t>Nilai lebih rendah lebih baik untuk metrik ini.</w:t>
      </w:r>
    </w:p>
    <w:p>
      <w:pPr>
        <w:pStyle w:val="ListBullet"/>
      </w:pPr>
      <w:r>
        <w:rPr>
          <w:sz w:val="16"/>
        </w:rPr>
        <w:t>Baris "Worker ke Gateway" tidak punya data CPU/RAM.</w:t>
      </w:r>
    </w:p>
    <w:p>
      <w:pPr>
        <w:pStyle w:val="ListBullet"/>
      </w:pPr>
      <w:r>
        <w:rPr>
          <w:sz w:val="16"/>
        </w:rPr>
        <w:t>Arsitektur sistem sengaja tidak mengukur CPU/RAM pada segmen ini.</w:t>
      </w:r>
    </w:p>
    <w:p>
      <w:pPr>
        <w:pStyle w:val="ListBullet"/>
      </w:pPr>
      <w:r>
        <w:rPr>
          <w:sz w:val="16"/>
        </w:rPr>
        <w:t>Baris tetap ditampilkan supaya bentuk tabel konsisten dengan tabel lain.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