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358F" w14:textId="6ED1C8CC" w:rsidR="00AB3C3F" w:rsidRPr="008D2FA0" w:rsidRDefault="004566CD" w:rsidP="00C73D41">
      <w:pPr>
        <w:spacing w:line="276" w:lineRule="auto"/>
        <w:rPr>
          <w:rFonts w:ascii="Times New Roman" w:hAnsi="Times New Roman" w:cs="Times New Roman"/>
          <w:b/>
          <w:bCs/>
          <w:sz w:val="24"/>
          <w:szCs w:val="24"/>
        </w:rPr>
      </w:pPr>
      <w:r w:rsidRPr="008D2FA0">
        <w:rPr>
          <w:rFonts w:ascii="Times New Roman" w:hAnsi="Times New Roman" w:cs="Times New Roman"/>
          <w:b/>
          <w:bCs/>
          <w:sz w:val="24"/>
          <w:szCs w:val="24"/>
        </w:rPr>
        <w:t xml:space="preserve">Using anonymized mobile </w:t>
      </w:r>
      <w:r w:rsidR="00506A61" w:rsidRPr="008D2FA0">
        <w:rPr>
          <w:rFonts w:ascii="Times New Roman" w:hAnsi="Times New Roman" w:cs="Times New Roman"/>
          <w:b/>
          <w:bCs/>
          <w:sz w:val="24"/>
          <w:szCs w:val="24"/>
        </w:rPr>
        <w:t xml:space="preserve">data to quantify </w:t>
      </w:r>
      <w:r w:rsidR="0055742F">
        <w:rPr>
          <w:rFonts w:ascii="Times New Roman" w:hAnsi="Times New Roman" w:cs="Times New Roman"/>
          <w:b/>
          <w:bCs/>
          <w:sz w:val="24"/>
          <w:szCs w:val="24"/>
        </w:rPr>
        <w:t>areas across urban green</w:t>
      </w:r>
      <w:r w:rsidR="007F71A3">
        <w:rPr>
          <w:rFonts w:ascii="Times New Roman" w:hAnsi="Times New Roman" w:cs="Times New Roman"/>
          <w:b/>
          <w:bCs/>
          <w:sz w:val="24"/>
          <w:szCs w:val="24"/>
        </w:rPr>
        <w:t xml:space="preserve"> </w:t>
      </w:r>
      <w:r w:rsidR="0055742F">
        <w:rPr>
          <w:rFonts w:ascii="Times New Roman" w:hAnsi="Times New Roman" w:cs="Times New Roman"/>
          <w:b/>
          <w:bCs/>
          <w:sz w:val="24"/>
          <w:szCs w:val="24"/>
        </w:rPr>
        <w:t>spaces</w:t>
      </w:r>
    </w:p>
    <w:p w14:paraId="05CB1276" w14:textId="2F22A10F" w:rsidR="00773A19" w:rsidRPr="008D2FA0" w:rsidRDefault="00773A19" w:rsidP="00C73D41">
      <w:pPr>
        <w:spacing w:after="240" w:line="276" w:lineRule="auto"/>
        <w:rPr>
          <w:rFonts w:ascii="Times New Roman" w:hAnsi="Times New Roman" w:cs="Times New Roman"/>
          <w:sz w:val="24"/>
          <w:szCs w:val="24"/>
        </w:rPr>
      </w:pPr>
      <w:r w:rsidRPr="008D2FA0">
        <w:rPr>
          <w:rFonts w:ascii="Times New Roman" w:hAnsi="Times New Roman" w:cs="Times New Roman"/>
          <w:sz w:val="24"/>
          <w:szCs w:val="24"/>
        </w:rPr>
        <w:t>Alessandro Filazzola</w:t>
      </w:r>
      <w:r w:rsidRPr="008D2FA0">
        <w:rPr>
          <w:rFonts w:ascii="Times New Roman" w:hAnsi="Times New Roman" w:cs="Times New Roman"/>
          <w:sz w:val="24"/>
          <w:szCs w:val="24"/>
          <w:vertAlign w:val="superscript"/>
        </w:rPr>
        <w:t>1,2</w:t>
      </w:r>
      <w:r w:rsidRPr="008D2FA0">
        <w:rPr>
          <w:rFonts w:ascii="Times New Roman" w:hAnsi="Times New Roman" w:cs="Times New Roman"/>
          <w:sz w:val="24"/>
          <w:szCs w:val="24"/>
        </w:rPr>
        <w:t xml:space="preserve"> Garland Xie</w:t>
      </w:r>
      <w:r w:rsidR="007F4385" w:rsidRPr="008D2FA0">
        <w:rPr>
          <w:rFonts w:ascii="Times New Roman" w:hAnsi="Times New Roman" w:cs="Times New Roman"/>
          <w:sz w:val="24"/>
          <w:szCs w:val="24"/>
          <w:vertAlign w:val="superscript"/>
        </w:rPr>
        <w:t>3</w:t>
      </w:r>
      <w:r w:rsidRPr="008D2FA0">
        <w:rPr>
          <w:rFonts w:ascii="Times New Roman" w:hAnsi="Times New Roman" w:cs="Times New Roman"/>
          <w:sz w:val="24"/>
          <w:szCs w:val="24"/>
        </w:rPr>
        <w:t>, Kimberly Barrett</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xml:space="preserve">, </w:t>
      </w:r>
      <w:r w:rsidR="000D7109" w:rsidRPr="008D2FA0">
        <w:rPr>
          <w:rFonts w:ascii="Times New Roman" w:hAnsi="Times New Roman" w:cs="Times New Roman"/>
          <w:sz w:val="24"/>
          <w:szCs w:val="24"/>
        </w:rPr>
        <w:t>Andrea Dunn</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Marc T.J. Johnson</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5</w:t>
      </w:r>
      <w:r w:rsidRPr="008D2FA0">
        <w:rPr>
          <w:rFonts w:ascii="Times New Roman" w:hAnsi="Times New Roman" w:cs="Times New Roman"/>
          <w:sz w:val="24"/>
          <w:szCs w:val="24"/>
        </w:rPr>
        <w:t>, &amp; J. Scott MacIvor</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2</w:t>
      </w:r>
      <w:r w:rsidR="00611C22">
        <w:rPr>
          <w:rFonts w:ascii="Times New Roman" w:hAnsi="Times New Roman" w:cs="Times New Roman"/>
          <w:sz w:val="24"/>
          <w:szCs w:val="24"/>
          <w:vertAlign w:val="superscript"/>
        </w:rPr>
        <w:t>,3</w:t>
      </w:r>
    </w:p>
    <w:p w14:paraId="5A8FF256" w14:textId="77777777"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1. Centre for Urban Environments, University of Toronto Mississauga, Mississauga, Ontario, Canada.</w:t>
      </w:r>
    </w:p>
    <w:p w14:paraId="5F50B34B" w14:textId="2B1FE928"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2. School of Cities, University of Toronto, Toronto, Ontario, Canada.</w:t>
      </w:r>
    </w:p>
    <w:p w14:paraId="7BCF1CF2" w14:textId="49A38240"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 xml:space="preserve">3. Department of Biological Sciences, University of Toronto Scarborough, 1265 Military Trail, Toronto, Ontario Canada. </w:t>
      </w:r>
    </w:p>
    <w:p w14:paraId="313077AC" w14:textId="77777777"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4. Conservation Halton, Burlington, Ontario, Canada.</w:t>
      </w:r>
    </w:p>
    <w:p w14:paraId="35FB2D39" w14:textId="6214E47B" w:rsidR="00773A19"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5</w:t>
      </w:r>
      <w:r w:rsidR="00773A19" w:rsidRPr="008D2FA0">
        <w:rPr>
          <w:rFonts w:ascii="Times New Roman" w:hAnsi="Times New Roman" w:cs="Times New Roman"/>
          <w:sz w:val="24"/>
          <w:szCs w:val="24"/>
        </w:rPr>
        <w:t>. Department of Biology, University of Toronto Mississauga, Mississauga, Ontario, Canada.</w:t>
      </w:r>
    </w:p>
    <w:p w14:paraId="40DA2687" w14:textId="43DB91FB" w:rsidR="00506A61" w:rsidRPr="008D2FA0" w:rsidRDefault="00773A19" w:rsidP="0055742F">
      <w:pPr>
        <w:spacing w:line="276" w:lineRule="auto"/>
        <w:rPr>
          <w:rFonts w:ascii="Times New Roman" w:hAnsi="Times New Roman" w:cs="Times New Roman"/>
          <w:sz w:val="28"/>
          <w:szCs w:val="28"/>
        </w:rPr>
      </w:pPr>
      <w:r w:rsidRPr="008D2FA0">
        <w:rPr>
          <w:rFonts w:ascii="Times New Roman" w:hAnsi="Times New Roman" w:cs="Times New Roman"/>
          <w:sz w:val="24"/>
          <w:szCs w:val="24"/>
        </w:rPr>
        <w:t>* Corresponding author E-mail address: alex.filazzola@utoronto.ca</w:t>
      </w:r>
    </w:p>
    <w:p w14:paraId="74C2CD50" w14:textId="77777777" w:rsidR="0055742F" w:rsidRDefault="0055742F" w:rsidP="00C73D41">
      <w:pPr>
        <w:spacing w:line="480" w:lineRule="auto"/>
        <w:rPr>
          <w:rFonts w:ascii="Times New Roman" w:hAnsi="Times New Roman" w:cs="Times New Roman"/>
          <w:b/>
          <w:bCs/>
          <w:sz w:val="24"/>
          <w:szCs w:val="24"/>
        </w:rPr>
      </w:pPr>
    </w:p>
    <w:p w14:paraId="19D95F7E" w14:textId="0E0123DC" w:rsidR="00E06C42" w:rsidRPr="007F71A3" w:rsidRDefault="00E06C42" w:rsidP="00C73D41">
      <w:pPr>
        <w:spacing w:line="480" w:lineRule="auto"/>
        <w:rPr>
          <w:rFonts w:ascii="Times New Roman" w:hAnsi="Times New Roman" w:cs="Times New Roman"/>
          <w:sz w:val="24"/>
          <w:szCs w:val="24"/>
        </w:rPr>
      </w:pPr>
      <w:r>
        <w:rPr>
          <w:rFonts w:ascii="Times New Roman" w:hAnsi="Times New Roman" w:cs="Times New Roman"/>
          <w:b/>
          <w:bCs/>
          <w:sz w:val="24"/>
          <w:szCs w:val="24"/>
        </w:rPr>
        <w:t>Keywords:</w:t>
      </w:r>
      <w:r w:rsidR="007F71A3">
        <w:rPr>
          <w:rFonts w:ascii="Times New Roman" w:hAnsi="Times New Roman" w:cs="Times New Roman"/>
          <w:sz w:val="24"/>
          <w:szCs w:val="24"/>
        </w:rPr>
        <w:t xml:space="preserve"> parks, urban ecology, mobile cell</w:t>
      </w:r>
      <w:r w:rsidR="003405FC">
        <w:rPr>
          <w:rFonts w:ascii="Times New Roman" w:hAnsi="Times New Roman" w:cs="Times New Roman"/>
          <w:sz w:val="24"/>
          <w:szCs w:val="24"/>
        </w:rPr>
        <w:t xml:space="preserve"> data</w:t>
      </w:r>
      <w:r w:rsidR="007F71A3">
        <w:rPr>
          <w:rFonts w:ascii="Times New Roman" w:hAnsi="Times New Roman" w:cs="Times New Roman"/>
          <w:sz w:val="24"/>
          <w:szCs w:val="24"/>
        </w:rPr>
        <w:t xml:space="preserve">, human-wildlife, </w:t>
      </w:r>
      <w:r w:rsidR="003405FC">
        <w:rPr>
          <w:rFonts w:ascii="Times New Roman" w:hAnsi="Times New Roman" w:cs="Times New Roman"/>
          <w:sz w:val="24"/>
          <w:szCs w:val="24"/>
        </w:rPr>
        <w:t xml:space="preserve">urban environments, human activity </w:t>
      </w:r>
    </w:p>
    <w:p w14:paraId="753DBAA0" w14:textId="77777777" w:rsidR="0055742F" w:rsidRDefault="0055742F">
      <w:pPr>
        <w:rPr>
          <w:rFonts w:ascii="Times New Roman" w:hAnsi="Times New Roman" w:cs="Times New Roman"/>
          <w:b/>
          <w:bCs/>
          <w:sz w:val="24"/>
          <w:szCs w:val="24"/>
        </w:rPr>
      </w:pPr>
      <w:r>
        <w:rPr>
          <w:rFonts w:ascii="Times New Roman" w:hAnsi="Times New Roman" w:cs="Times New Roman"/>
          <w:b/>
          <w:bCs/>
          <w:sz w:val="24"/>
          <w:szCs w:val="24"/>
        </w:rPr>
        <w:br w:type="page"/>
      </w:r>
    </w:p>
    <w:p w14:paraId="338EFD9E" w14:textId="6DABDCAD" w:rsidR="00506A61" w:rsidRPr="00C73D41" w:rsidRDefault="00506A61" w:rsidP="00C73D41">
      <w:pPr>
        <w:spacing w:line="480" w:lineRule="auto"/>
        <w:rPr>
          <w:rFonts w:ascii="Times New Roman" w:hAnsi="Times New Roman" w:cs="Times New Roman"/>
          <w:b/>
          <w:bCs/>
          <w:sz w:val="24"/>
          <w:szCs w:val="24"/>
        </w:rPr>
      </w:pPr>
      <w:r w:rsidRPr="00C73D41">
        <w:rPr>
          <w:rFonts w:ascii="Times New Roman" w:hAnsi="Times New Roman" w:cs="Times New Roman"/>
          <w:b/>
          <w:bCs/>
          <w:sz w:val="24"/>
          <w:szCs w:val="24"/>
        </w:rPr>
        <w:lastRenderedPageBreak/>
        <w:t>Abstract</w:t>
      </w:r>
    </w:p>
    <w:p w14:paraId="2DB169F9" w14:textId="3FF30053" w:rsidR="001759FC" w:rsidRPr="001759FC" w:rsidRDefault="000B3720" w:rsidP="001759FC">
      <w:pPr>
        <w:pStyle w:val="ListParagraph"/>
        <w:numPr>
          <w:ilvl w:val="0"/>
          <w:numId w:val="7"/>
        </w:numPr>
        <w:spacing w:line="480" w:lineRule="auto"/>
        <w:rPr>
          <w:rFonts w:ascii="Times New Roman" w:hAnsi="Times New Roman" w:cs="Times New Roman"/>
          <w:sz w:val="24"/>
          <w:szCs w:val="24"/>
        </w:rPr>
      </w:pPr>
      <w:r w:rsidRPr="001759FC">
        <w:rPr>
          <w:rFonts w:ascii="Times New Roman" w:hAnsi="Times New Roman" w:cs="Times New Roman"/>
          <w:sz w:val="24"/>
          <w:szCs w:val="24"/>
        </w:rPr>
        <w:t xml:space="preserve">Cities are increasing in density and coverage globally, increasing the value of remaining urban green spaces. Understanding the interactions between city residents and green spaces is critical for human health, biological conservation, and </w:t>
      </w:r>
      <w:r w:rsidR="001759FC" w:rsidRPr="001759FC">
        <w:rPr>
          <w:rFonts w:ascii="Times New Roman" w:hAnsi="Times New Roman" w:cs="Times New Roman"/>
          <w:sz w:val="24"/>
          <w:szCs w:val="24"/>
        </w:rPr>
        <w:t>sustainable</w:t>
      </w:r>
      <w:r w:rsidRPr="001759FC">
        <w:rPr>
          <w:rFonts w:ascii="Times New Roman" w:hAnsi="Times New Roman" w:cs="Times New Roman"/>
          <w:sz w:val="24"/>
          <w:szCs w:val="24"/>
        </w:rPr>
        <w:t xml:space="preserve"> development. However, </w:t>
      </w:r>
      <w:r w:rsidR="001759FC" w:rsidRPr="001759FC">
        <w:rPr>
          <w:rFonts w:ascii="Times New Roman" w:hAnsi="Times New Roman" w:cs="Times New Roman"/>
          <w:sz w:val="24"/>
          <w:szCs w:val="24"/>
        </w:rPr>
        <w:t xml:space="preserve">quantifying green space use is particularly challenging. </w:t>
      </w:r>
    </w:p>
    <w:p w14:paraId="1338BE1C" w14:textId="07178F25" w:rsidR="00DF7DF6" w:rsidRDefault="001759FC" w:rsidP="001759FC">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We used anonymized mobile cell data to characterize human activity in green spaces for the Greater Toronto Area, Canada. We describe some of the main challenges associated with using anonymized mobility data, especially in the context of green spaces</w:t>
      </w:r>
      <w:r w:rsidR="00DF7DF6">
        <w:rPr>
          <w:rFonts w:ascii="Times New Roman" w:hAnsi="Times New Roman" w:cs="Times New Roman"/>
          <w:sz w:val="24"/>
          <w:szCs w:val="24"/>
        </w:rPr>
        <w:t xml:space="preserve"> and biodiversity monitoring</w:t>
      </w:r>
      <w:r>
        <w:rPr>
          <w:rFonts w:ascii="Times New Roman" w:hAnsi="Times New Roman" w:cs="Times New Roman"/>
          <w:sz w:val="24"/>
          <w:szCs w:val="24"/>
        </w:rPr>
        <w:t>. Importantly, we provide solutions including</w:t>
      </w:r>
      <w:r w:rsidR="00DF7DF6">
        <w:rPr>
          <w:rFonts w:ascii="Times New Roman" w:hAnsi="Times New Roman" w:cs="Times New Roman"/>
          <w:sz w:val="24"/>
          <w:szCs w:val="24"/>
        </w:rPr>
        <w:t xml:space="preserve"> </w:t>
      </w:r>
      <w:r w:rsidR="00DF7DF6" w:rsidRPr="00BC5913">
        <w:rPr>
          <w:rFonts w:ascii="Times New Roman" w:hAnsi="Times New Roman" w:cs="Times New Roman"/>
          <w:i/>
          <w:iCs/>
          <w:sz w:val="24"/>
          <w:szCs w:val="24"/>
        </w:rPr>
        <w:t>R</w:t>
      </w:r>
      <w:r w:rsidR="00DF7DF6">
        <w:rPr>
          <w:rFonts w:ascii="Times New Roman" w:hAnsi="Times New Roman" w:cs="Times New Roman"/>
          <w:sz w:val="24"/>
          <w:szCs w:val="24"/>
        </w:rPr>
        <w:t xml:space="preserve"> scripts that can assist in analyzing mobility data. </w:t>
      </w:r>
    </w:p>
    <w:p w14:paraId="1CA4D22E" w14:textId="77777777" w:rsidR="00DF7DF6" w:rsidRDefault="000B3720" w:rsidP="001759FC">
      <w:pPr>
        <w:pStyle w:val="ListParagraph"/>
        <w:numPr>
          <w:ilvl w:val="0"/>
          <w:numId w:val="7"/>
        </w:numPr>
        <w:spacing w:line="480" w:lineRule="auto"/>
        <w:rPr>
          <w:rFonts w:ascii="Times New Roman" w:hAnsi="Times New Roman" w:cs="Times New Roman"/>
          <w:sz w:val="24"/>
          <w:szCs w:val="24"/>
        </w:rPr>
      </w:pPr>
      <w:r w:rsidRPr="001759FC">
        <w:rPr>
          <w:rFonts w:ascii="Times New Roman" w:hAnsi="Times New Roman" w:cs="Times New Roman"/>
          <w:sz w:val="24"/>
          <w:szCs w:val="24"/>
        </w:rPr>
        <w:t xml:space="preserve"> </w:t>
      </w:r>
      <w:r w:rsidR="00DF7DF6">
        <w:rPr>
          <w:rFonts w:ascii="Times New Roman" w:hAnsi="Times New Roman" w:cs="Times New Roman"/>
          <w:sz w:val="24"/>
          <w:szCs w:val="24"/>
        </w:rPr>
        <w:t xml:space="preserve">We found anonymized mobility data is strongly correlated with visitation records and that this data may be used to identify hotspot or coldspot areas. Parks with a more elaborate trail network typically experienced higher visitation rates and a substantial proportion of activity remain on-trails. We identified certain land covers that were more popular, such as rock formations, and found a relationship between human activity and tree composition. </w:t>
      </w:r>
    </w:p>
    <w:p w14:paraId="649B3D88" w14:textId="539463F2" w:rsidR="00BC5913" w:rsidRDefault="00BC5913" w:rsidP="00BC5913">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For the first time, o</w:t>
      </w:r>
      <w:r w:rsidR="00DF7DF6">
        <w:rPr>
          <w:rFonts w:ascii="Times New Roman" w:hAnsi="Times New Roman" w:cs="Times New Roman"/>
          <w:sz w:val="24"/>
          <w:szCs w:val="24"/>
        </w:rPr>
        <w:t xml:space="preserve">ur study demonstrates </w:t>
      </w:r>
      <w:r w:rsidR="00DF7DF6" w:rsidRPr="00632358">
        <w:rPr>
          <w:rFonts w:ascii="Times New Roman" w:hAnsi="Times New Roman" w:cs="Times New Roman"/>
          <w:sz w:val="24"/>
          <w:szCs w:val="24"/>
        </w:rPr>
        <w:t>anonymized</w:t>
      </w:r>
      <w:r w:rsidR="00DF7DF6">
        <w:rPr>
          <w:rFonts w:ascii="Times New Roman" w:hAnsi="Times New Roman" w:cs="Times New Roman"/>
          <w:sz w:val="24"/>
          <w:szCs w:val="24"/>
        </w:rPr>
        <w:t xml:space="preserve"> mobility data as a powerful tool </w:t>
      </w:r>
      <w:r w:rsidR="004B4F4A">
        <w:rPr>
          <w:rFonts w:ascii="Times New Roman" w:hAnsi="Times New Roman" w:cs="Times New Roman"/>
          <w:sz w:val="24"/>
          <w:szCs w:val="24"/>
        </w:rPr>
        <w:t xml:space="preserve">for quantifying human activity in green spaces. </w:t>
      </w:r>
      <w:r>
        <w:rPr>
          <w:rFonts w:ascii="Times New Roman" w:hAnsi="Times New Roman" w:cs="Times New Roman"/>
          <w:sz w:val="24"/>
          <w:szCs w:val="24"/>
        </w:rPr>
        <w:t xml:space="preserve">Management of green spaces both for human use and biological </w:t>
      </w:r>
      <w:r w:rsidR="002A1BE5">
        <w:rPr>
          <w:rFonts w:ascii="Times New Roman" w:hAnsi="Times New Roman" w:cs="Times New Roman"/>
          <w:sz w:val="24"/>
          <w:szCs w:val="24"/>
        </w:rPr>
        <w:t>conservation</w:t>
      </w:r>
      <w:r>
        <w:rPr>
          <w:rFonts w:ascii="Times New Roman" w:hAnsi="Times New Roman" w:cs="Times New Roman"/>
          <w:sz w:val="24"/>
          <w:szCs w:val="24"/>
        </w:rPr>
        <w:t xml:space="preserve">, will be a significant challenge over the coming decades because of continuing urbanization. We have provided a framework to allow usage of mobility data that overcomes some common limitations and provide details for connecting with this information with biodiversity data. Importantly, we include a series </w:t>
      </w:r>
      <w:r>
        <w:rPr>
          <w:rFonts w:ascii="Times New Roman" w:hAnsi="Times New Roman" w:cs="Times New Roman"/>
          <w:sz w:val="24"/>
          <w:szCs w:val="24"/>
        </w:rPr>
        <w:lastRenderedPageBreak/>
        <w:t xml:space="preserve">of recommendations for green spaces that may assist in biomonitoring and supporting sustainable human use.  </w:t>
      </w:r>
    </w:p>
    <w:p w14:paraId="7058CA6A" w14:textId="1C9F8111" w:rsidR="002A1BE5" w:rsidRDefault="002A1BE5">
      <w:pPr>
        <w:rPr>
          <w:rFonts w:ascii="Times New Roman" w:hAnsi="Times New Roman" w:cs="Times New Roman"/>
          <w:sz w:val="24"/>
          <w:szCs w:val="24"/>
        </w:rPr>
      </w:pPr>
      <w:r>
        <w:rPr>
          <w:rFonts w:ascii="Times New Roman" w:hAnsi="Times New Roman" w:cs="Times New Roman"/>
          <w:sz w:val="24"/>
          <w:szCs w:val="24"/>
        </w:rPr>
        <w:br w:type="page"/>
      </w:r>
    </w:p>
    <w:p w14:paraId="484E7F36" w14:textId="1761747E" w:rsidR="00506A61" w:rsidRPr="008D2FA0" w:rsidRDefault="000E37EC"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 xml:space="preserve">1. </w:t>
      </w:r>
      <w:r w:rsidR="00506A61" w:rsidRPr="008D2FA0">
        <w:rPr>
          <w:rFonts w:ascii="Times New Roman" w:hAnsi="Times New Roman" w:cs="Times New Roman"/>
          <w:b/>
          <w:bCs/>
          <w:sz w:val="24"/>
          <w:szCs w:val="24"/>
        </w:rPr>
        <w:t>Introduction</w:t>
      </w:r>
    </w:p>
    <w:p w14:paraId="6CC0223F" w14:textId="5253B824" w:rsidR="00981922" w:rsidRPr="008D2FA0" w:rsidRDefault="008D45B4"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Cities are rapidly expanding</w:t>
      </w:r>
      <w:r w:rsidR="00A72482" w:rsidRPr="008D2FA0">
        <w:rPr>
          <w:rFonts w:ascii="Times New Roman" w:hAnsi="Times New Roman" w:cs="Times New Roman"/>
          <w:sz w:val="24"/>
          <w:szCs w:val="24"/>
        </w:rPr>
        <w:t>,</w:t>
      </w:r>
      <w:r w:rsidR="00793238" w:rsidRPr="008D2FA0">
        <w:rPr>
          <w:rFonts w:ascii="Times New Roman" w:hAnsi="Times New Roman" w:cs="Times New Roman"/>
          <w:sz w:val="24"/>
          <w:szCs w:val="24"/>
        </w:rPr>
        <w:t xml:space="preserve"> creating new challenges for managing urban green</w:t>
      </w:r>
      <w:r w:rsidR="00B2187D">
        <w:rPr>
          <w:rFonts w:ascii="Times New Roman" w:hAnsi="Times New Roman" w:cs="Times New Roman"/>
          <w:sz w:val="24"/>
          <w:szCs w:val="24"/>
        </w:rPr>
        <w:t xml:space="preserve"> </w:t>
      </w:r>
      <w:r w:rsidR="00793238" w:rsidRPr="008D2FA0">
        <w:rPr>
          <w:rFonts w:ascii="Times New Roman" w:hAnsi="Times New Roman" w:cs="Times New Roman"/>
          <w:sz w:val="24"/>
          <w:szCs w:val="24"/>
        </w:rPr>
        <w:t>spaces</w:t>
      </w:r>
      <w:r w:rsidRPr="008D2FA0">
        <w:rPr>
          <w:rFonts w:ascii="Times New Roman" w:hAnsi="Times New Roman" w:cs="Times New Roman"/>
          <w:sz w:val="24"/>
          <w:szCs w:val="24"/>
        </w:rPr>
        <w:t xml:space="preserve">. </w:t>
      </w:r>
      <w:r w:rsidR="00793238" w:rsidRPr="008D2FA0">
        <w:rPr>
          <w:rFonts w:ascii="Times New Roman" w:hAnsi="Times New Roman" w:cs="Times New Roman"/>
          <w:sz w:val="24"/>
          <w:szCs w:val="24"/>
        </w:rPr>
        <w:t>More than half of the global population currently live in cities and that number is projected to increase to almost 90% by the end of the century</w:t>
      </w:r>
      <w:r w:rsidR="002044B2" w:rsidRPr="008D2FA0">
        <w:rPr>
          <w:rFonts w:ascii="Times New Roman" w:hAnsi="Times New Roman" w:cs="Times New Roman"/>
          <w:sz w:val="24"/>
          <w:szCs w:val="24"/>
        </w:rPr>
        <w:t xml:space="preserve"> </w:t>
      </w:r>
      <w:r w:rsidR="009328F2">
        <w:rPr>
          <w:rFonts w:ascii="Times New Roman" w:hAnsi="Times New Roman" w:cs="Times New Roman"/>
          <w:sz w:val="24"/>
          <w:szCs w:val="24"/>
        </w:rPr>
        <w:fldChar w:fldCharType="begin" w:fldLock="1"/>
      </w:r>
      <w:r w:rsidR="009328F2">
        <w:rPr>
          <w:rFonts w:ascii="Times New Roman" w:hAnsi="Times New Roman" w:cs="Times New Roman"/>
          <w:sz w:val="24"/>
          <w:szCs w:val="24"/>
        </w:rPr>
        <w:instrText>ADDIN CSL_CITATION {"citationItems":[{"id":"ITEM-1","itemData":{"DOI":"https://doi.org/10.1016/j.gloenvcha.2016.05.009","ISSN":"0959-3780","abstract":"This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2.6W/m2 that is consistent with a temperature change limit of 2°C,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generation …","author":[{"dropping-particle":"","family":"Riahi","given":"Keywan","non-dropping-particle":"","parse-names":false,"suffix":""},{"dropping-particle":"","family":"Vuuren","given":"Detlef P","non-dropping-particle":"van","parse-names":false,"suffix":""},{"dropping-particle":"","family":"Kriegler","given":"Elmar","non-dropping-particle":"","parse-names":false,"suffix":""},{"dropping-particle":"","family":"Edmonds","given":"Jae","non-dropping-particle":"","parse-names":false,"suffix":""},{"dropping-particle":"","family":"O’Neill","given":"Brian C","non-dropping-particle":"","parse-names":false,"suffix":""},{"dropping-particle":"","family":"Fujimori","given":"Shinichiro","non-dropping-particle":"","parse-names":false,"suffix":""},{"dropping-particle":"","family":"Bauer","given":"Nico","non-dropping-particle":"","parse-names":false,"suffix":""},{"dropping-particle":"","family":"Calvin","given":"Katherine","non-dropping-particle":"","parse-names":false,"suffix":""},{"dropping-particle":"","family":"Dellink","given":"Rob","non-dropping-particle":"","parse-names":false,"suffix":""},{"dropping-particle":"","family":"Fricko","given":"Oliver","non-dropping-particle":"","parse-names":false,"suffix":""},{"dropping-particle":"","family":"Lutz","given":"Wolfgang","non-dropping-particle":"","parse-names":false,"suffix":""},{"dropping-particle":"","family":"Popp","given":"Alexander","non-dropping-particle":"","parse-names":false,"suffix":""},{"dropping-particle":"","family":"Cuaresma","given":"Jesus Crespo","non-dropping-particle":"","parse-names":false,"suffix":""},{"dropping-particle":"","family":"KC","given":"Samir","non-dropping-particle":"","parse-names":false,"suffix":""},{"dropping-particle":"","family":"Leimbach","given":"Marian","non-dropping-particle":"","parse-names":false,"suffix":""},{"dropping-particle":"","family":"Jiang","given":"Leiwen","non-dropping-particle":"","parse-names":false,"suffix":""},{"dropping-particle":"","family":"Kram","given":"Tom","non-dropping-particle":"","parse-names":false,"suffix":""},{"dropping-particle":"","family":"Rao","given":"Shilpa","non-dropping-particle":"","parse-names":false,"suffix":""},{"dropping-particle":"","family":"Emmerling","given":"Johannes","non-dropping-particle":"","parse-names":false,"suffix":""},{"dropping-particle":"","family":"Ebi","given":"Kristie","non-dropping-particle":"","parse-names":false,"suffix":""},{"dropping-particle":"","family":"Hasegawa","given":"Tomoko","non-dropping-particle":"","parse-names":false,"suffix":""},{"dropping-particle":"","family":"Havlik","given":"Petr","non-dropping-particle":"","parse-names":false,"suffix":""},{"dropping-particle":"","family":"Humpenöder","given":"Florian","non-dropping-particle":"","parse-names":false,"suffix":""},{"dropping-particle":"","family":"Silva","given":"Lara Aleluia","non-dropping-particle":"Da","parse-names":false,"suffix":""},{"dropping-particle":"","family":"Smith","given":"Steve","non-dropping-particle":"","parse-names":false,"suffix":""},{"dropping-particle":"","family":"Stehfest","given":"Elke","non-dropping-particle":"","parse-names":false,"suffix":""},{"dropping-particle":"","family":"Bosetti","given":"Valentina","non-dropping-particle":"","parse-names":false,"suffix":""},{"dropping-particle":"","family":"Eom","given":"Jiyong","non-dropping-particle":"","parse-names":false,"suffix":""},{"dropping-particle":"","family":"Gernaat","given":"David","non-dropping-particle":"","parse-names":false,"suffix":""},{"dropping-particle":"","family":"Masui","given":"Toshihiko","non-dropping-particle":"","parse-names":false,"suffix":""},{"dropping-particle":"","family":"Rogelj","given":"Joeri","non-dropping-particle":"","parse-names":false,"suffix":""},{"dropping-particle":"","family":"Strefler","given":"Jessica","non-dropping-particle":"","parse-names":false,"suffix":""},{"dropping-particle":"","family":"Drouet","given":"Laurent","non-dropping-particle":"","parse-names":false,"suffix":""},{"dropping-particle":"","family":"Krey","given":"Volker","non-dropping-particle":"","parse-names":false,"suffix":""},{"dropping-particle":"","family":"Luderer","given":"Gunnar","non-dropping-particle":"","parse-names":false,"suffix":""},{"dropping-particle":"","family":"Harmsen","given":"Mathijs","non-dropping-particle":"","parse-names":false,"suffix":""},{"dropping-particle":"","family":"Takahashi","given":"Kiyoshi","non-dropping-particle":"","parse-names":false,"suffix":""},{"dropping-particle":"","family":"Baumstark","given":"Lavinia","non-dropping-particle":"","parse-names":false,"suffix":""},{"dropping-particle":"","family":"Doelman","given":"Jonathan C","non-dropping-particle":"","parse-names":false,"suffix":""},{"dropping-particle":"","family":"Kainuma","given":"Mikiko","non-dropping-particle":"","parse-names":false,"suffix":""},{"dropping-particle":"","family":"Klimont","given":"Zbigniew","non-dropping-particle":"","parse-names":false,"suffix":""},{"dropping-particle":"","family":"Marangoni","given":"Giacomo","non-dropping-particle":"","parse-names":false,"suffix":""},{"dropping-particle":"","family":"Lotze-Campen","given":"Hermann","non-dropping-particle":"","parse-names":false,"suffix":""},{"dropping-particle":"","family":"Obersteiner","given":"Michael","non-dropping-particle":"","parse-names":false,"suffix":""},{"dropping-particle":"","family":"Tabeau","given":"Andrzej","non-dropping-particle":"","parse-names":false,"suffix":""},{"dropping-particle":"","family":"Tavoni","given":"Massimo","non-dropping-particle":"","parse-names":false,"suffix":""}],"container-title":"Global Environmental Change","id":"ITEM-1","issued":{"date-parts":[["2017"]]},"page":"153-168","title":"The Shared Socioeconomic Pathways and their energy, land use, and greenhouse gas emissions implications: An overview","type":"article-journal","volume":"42"},"uris":["http://www.mendeley.com/documents/?uuid=20ace8ca-d2ef-4fed-9dcf-ed15354ba079"]},{"id":"ITEM-2","itemData":{"author":[{"dropping-particle":"","family":"Nations","given":"United","non-dropping-particle":"","parse-names":false,"suffix":""}],"id":"ITEM-2","issued":{"date-parts":[["2015"]]},"title":"Transforming our world: the 2030 Agenda for Sustainable Development","type":"article-journal"},"uris":["http://www.mendeley.com/documents/?uuid=ae8cf006-c893-4bfe-bcb4-c9569ae082ae"]}],"mendeley":{"formattedCitation":"(Nations, 2015; Riahi et al., 2017)","plainTextFormattedCitation":"(Nations, 2015; Riahi et al., 2017)","previouslyFormattedCitation":"(Nations, 2015; Riahi et al., 2017)"},"properties":{"noteIndex":0},"schema":"https://github.com/citation-style-language/schema/raw/master/csl-citation.json"}</w:instrText>
      </w:r>
      <w:r w:rsidR="009328F2">
        <w:rPr>
          <w:rFonts w:ascii="Times New Roman" w:hAnsi="Times New Roman" w:cs="Times New Roman"/>
          <w:sz w:val="24"/>
          <w:szCs w:val="24"/>
        </w:rPr>
        <w:fldChar w:fldCharType="separate"/>
      </w:r>
      <w:r w:rsidR="009328F2" w:rsidRPr="009328F2">
        <w:rPr>
          <w:rFonts w:ascii="Times New Roman" w:hAnsi="Times New Roman" w:cs="Times New Roman"/>
          <w:noProof/>
          <w:sz w:val="24"/>
          <w:szCs w:val="24"/>
        </w:rPr>
        <w:t>(Nations, 2015; Riahi et al., 2017)</w:t>
      </w:r>
      <w:r w:rsidR="009328F2">
        <w:rPr>
          <w:rFonts w:ascii="Times New Roman" w:hAnsi="Times New Roman" w:cs="Times New Roman"/>
          <w:sz w:val="24"/>
          <w:szCs w:val="24"/>
        </w:rPr>
        <w:fldChar w:fldCharType="end"/>
      </w:r>
      <w:r w:rsidR="00793238" w:rsidRPr="008D2FA0">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As cities increase in size and area, </w:t>
      </w:r>
      <w:r w:rsidR="00E06C42">
        <w:rPr>
          <w:rFonts w:ascii="Times New Roman" w:hAnsi="Times New Roman" w:cs="Times New Roman"/>
          <w:sz w:val="24"/>
          <w:szCs w:val="24"/>
        </w:rPr>
        <w:t>green spaces</w:t>
      </w:r>
      <w:r w:rsidR="00B3064F">
        <w:rPr>
          <w:rFonts w:ascii="Times New Roman" w:hAnsi="Times New Roman" w:cs="Times New Roman"/>
          <w:sz w:val="24"/>
          <w:szCs w:val="24"/>
        </w:rPr>
        <w:t xml:space="preserve"> including</w:t>
      </w:r>
      <w:r w:rsidR="00B2187D">
        <w:rPr>
          <w:rFonts w:ascii="Times New Roman" w:hAnsi="Times New Roman" w:cs="Times New Roman"/>
          <w:sz w:val="24"/>
          <w:szCs w:val="24"/>
        </w:rPr>
        <w:t xml:space="preserve"> </w:t>
      </w:r>
      <w:r w:rsidR="009B2435" w:rsidRPr="008D2FA0">
        <w:rPr>
          <w:rFonts w:ascii="Times New Roman" w:hAnsi="Times New Roman" w:cs="Times New Roman"/>
          <w:sz w:val="24"/>
          <w:szCs w:val="24"/>
        </w:rPr>
        <w:t>remnant natural areas</w:t>
      </w:r>
      <w:r w:rsidR="00E06C42">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protected reserves, </w:t>
      </w:r>
      <w:r w:rsidR="00E06C42">
        <w:rPr>
          <w:rFonts w:ascii="Times New Roman" w:hAnsi="Times New Roman" w:cs="Times New Roman"/>
          <w:sz w:val="24"/>
          <w:szCs w:val="24"/>
        </w:rPr>
        <w:t xml:space="preserve">and urban parks, </w:t>
      </w:r>
      <w:r w:rsidR="009B2435" w:rsidRPr="008D2FA0">
        <w:rPr>
          <w:rFonts w:ascii="Times New Roman" w:hAnsi="Times New Roman" w:cs="Times New Roman"/>
          <w:sz w:val="24"/>
          <w:szCs w:val="24"/>
        </w:rPr>
        <w:t xml:space="preserve">face </w:t>
      </w:r>
      <w:r w:rsidR="00611C22">
        <w:rPr>
          <w:rFonts w:ascii="Times New Roman" w:hAnsi="Times New Roman" w:cs="Times New Roman"/>
          <w:sz w:val="24"/>
          <w:szCs w:val="24"/>
        </w:rPr>
        <w:t>growing</w:t>
      </w:r>
      <w:r w:rsidR="00611C22" w:rsidRPr="008D2FA0">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stressors from human activity. </w:t>
      </w:r>
      <w:r w:rsidR="009F190D" w:rsidRPr="008D2FA0">
        <w:rPr>
          <w:rFonts w:ascii="Times New Roman" w:hAnsi="Times New Roman" w:cs="Times New Roman"/>
          <w:sz w:val="24"/>
          <w:szCs w:val="24"/>
        </w:rPr>
        <w:t xml:space="preserve">Direct human use of </w:t>
      </w:r>
      <w:r w:rsidR="00E06C42">
        <w:rPr>
          <w:rFonts w:ascii="Times New Roman" w:hAnsi="Times New Roman" w:cs="Times New Roman"/>
          <w:sz w:val="24"/>
          <w:szCs w:val="24"/>
        </w:rPr>
        <w:t>green spaces</w:t>
      </w:r>
      <w:r w:rsidR="009F190D" w:rsidRPr="008D2FA0">
        <w:rPr>
          <w:rFonts w:ascii="Times New Roman" w:hAnsi="Times New Roman" w:cs="Times New Roman"/>
          <w:sz w:val="24"/>
          <w:szCs w:val="24"/>
        </w:rPr>
        <w:t xml:space="preserve"> can negatively impact urban wildlife including trampling, introduction of </w:t>
      </w:r>
      <w:r w:rsidR="00611C22">
        <w:rPr>
          <w:rFonts w:ascii="Times New Roman" w:hAnsi="Times New Roman" w:cs="Times New Roman"/>
          <w:sz w:val="24"/>
          <w:szCs w:val="24"/>
        </w:rPr>
        <w:t>non-native species</w:t>
      </w:r>
      <w:r w:rsidR="009F190D" w:rsidRPr="008D2FA0">
        <w:rPr>
          <w:rFonts w:ascii="Times New Roman" w:hAnsi="Times New Roman" w:cs="Times New Roman"/>
          <w:sz w:val="24"/>
          <w:szCs w:val="24"/>
        </w:rPr>
        <w:t>, and pollution</w:t>
      </w:r>
      <w:r w:rsidR="009328F2">
        <w:rPr>
          <w:rFonts w:ascii="Times New Roman" w:hAnsi="Times New Roman" w:cs="Times New Roman"/>
          <w:sz w:val="24"/>
          <w:szCs w:val="24"/>
        </w:rPr>
        <w:t xml:space="preserve"> </w:t>
      </w:r>
      <w:r w:rsidR="009328F2">
        <w:rPr>
          <w:rFonts w:ascii="Times New Roman" w:hAnsi="Times New Roman" w:cs="Times New Roman"/>
          <w:sz w:val="24"/>
          <w:szCs w:val="24"/>
        </w:rPr>
        <w:fldChar w:fldCharType="begin" w:fldLock="1"/>
      </w:r>
      <w:r w:rsidR="009E61C8">
        <w:rPr>
          <w:rFonts w:ascii="Times New Roman" w:hAnsi="Times New Roman" w:cs="Times New Roman"/>
          <w:sz w:val="24"/>
          <w:szCs w:val="24"/>
        </w:rPr>
        <w:instrText>ADDIN CSL_CITATION {"citationItems":[{"id":"ITEM-1","itemData":{"DOI":"10.1007/s10530-017-1586-y","ISSN":"1387-3547","author":[{"dropping-particle":"","family":"Cadotte","given":"Marc W.","non-dropping-particle":"","parse-names":false,"suffix":""},{"dropping-particle":"","family":"Yasui","given":"Simone Louise E.","non-dropping-particle":"","parse-names":false,"suffix":""},{"dropping-particle":"","family":"Livingstone","given":"Stuart","non-dropping-particle":"","parse-names":false,"suffix":""},{"dropping-particle":"","family":"MacIvor","given":"J. Scott","non-dropping-particle":"","parse-names":false,"suffix":""}],"container-title":"Biological Invasions","id":"ITEM-1","issue":"12","issued":{"date-parts":[["2017","12","19"]]},"page":"3489-3503","publisher":"Springer International Publishing","title":"Are urban systems beneficial, detrimental, or indifferent for biological invasion?","type":"article-journal","volume":"19"},"uris":["http://www.mendeley.com/documents/?uuid=5385acc7-4395-323e-a61f-e5d404dc80fc"]},{"id":"ITEM-2","itemData":{"DOI":"10.1525/bio.2010.60.3.6","ISSN":"0006-3568","abstract":"The global decline in biodiversity as a result of urbanization remains poorly understood. Whereas habitat destruction accounts for losses at the species level, it may not explain diversity loss at the community level, because urban centers also attract synanthropic species that do not necessarily exist in wildlands. Here we suggest an alternative framework for understanding this phenomenon: the competitive exclusion of native, nonsynanthropic species by invasive species. We use data from two urban centers (Phoenix and Baltimore) and two taxa (birds and spiders) to link diversity loss with reduced community evenness among species in urban communities. This reduction in evenness may be caused by a minority of invasive species dominating the majority of the resources, consequently excluding nonsynanthropic species that could otherwise adapt to urban conditions. We use foraging efficiency as a mechanism to explain the loss of diversity. Thus, to understand the effects of habitat conversion on biodiversity, and to sustain species-rich communities, future research should give more attention to interspecific interactions in urban settings.","author":[{"dropping-particle":"","family":"Shochat","given":"Eyal","non-dropping-particle":"","parse-names":false,"suffix":""},{"dropping-particle":"","family":"Lerman","given":"Susannah B","non-dropping-particle":"","parse-names":false,"suffix":""},{"dropping-particle":"","family":"Anderies","given":"John M","non-dropping-particle":"","parse-names":false,"suffix":""},{"dropping-particle":"","family":"Warren","given":"Paige S","non-dropping-particle":"","parse-names":false,"suffix":""},{"dropping-particle":"","family":"Faeth","given":"Stanley H","non-dropping-particle":"","parse-names":false,"suffix":""},{"dropping-particle":"","family":"Nilon","given":"Charles H","non-dropping-particle":"","parse-names":false,"suffix":""}],"container-title":"BioScience","id":"ITEM-2","issue":"3","issued":{"date-parts":[["2010","3","1"]]},"page":"199-208","title":"Invasion, Competition, and Biodiversity Loss in Urban Ecosystems","type":"article-journal","volume":"60"},"uris":["http://www.mendeley.com/documents/?uuid=28e80841-0176-4f3e-b69d-aae68141404d"]},{"id":"ITEM-3","itemData":{"DOI":"10.1007/978-0-387-73412-5_18","ISBN":"978-0-387-73412-5","abstract":"In order to understand the effect of urban development on the functioning of forest ecosystems during the past decade we have been studying red oak stands located on similar soil along an urban-rural gradient running from New York City ro rural Litchfield County, Connecticut. This paper summarizes the results of this work. Field measurements, controlled laboratory experiments, and reciprocal transplants documented soil pollution, soil hydrophobicity, litter decomposition rates, total soil carbon, potential nitrogen mineralization, nitrification, fungal biomass, and earthworm populations in forests along the 140 × 20 km study transect. The results revealed a complex urban-rural environmental gradient. The urban forests exhibit unique ecosystem structure and function in relation to the suburban and rural forest stands; these are likely linked to stresses of the urban environment such as air pollution, which has also resulted in elevated levels of heavy metals in the soil, the positive effects of the heat island phenomenon, and the presence of earthworms. The data suggest a working model to guide mechanistic work on the ecology of forests along urban-to-rural gradients, and for comparison of different metropolitan areas.","author":[{"dropping-particle":"","family":"McDonnell","given":"Mark J","non-dropping-particle":"","parse-names":false,"suffix":""},{"dropping-particle":"","family":"Pickett","given":"Steward T A","non-dropping-particle":"","parse-names":false,"suffix":""},{"dropping-particle":"","family":"Groffman","given":"Peter","non-dropping-particle":"","parse-names":false,"suffix":""},{"dropping-particle":"","family":"Bohlen","given":"Patrick","non-dropping-particle":"","parse-names":false,"suffix":""},{"dropping-particle":"V","family":"Pouyat","given":"Richard","non-dropping-particle":"","parse-names":false,"suffix":""},{"dropping-particle":"","family":"Zipperer","given":"Wayne C","non-dropping-particle":"","parse-names":false,"suffix":""},{"dropping-particle":"","family":"Parmelee","given":"Robert W","non-dropping-particle":"","parse-names":false,"suffix":""},{"dropping-particle":"","family":"Carreiro","given":"Margaret M","non-dropping-particle":"","parse-names":false,"suffix":""},{"dropping-particle":"","family":"Medley","given":"Kimberly","non-dropping-particle":"","parse-names":false,"suffix":""}],"editor":[{"dropping-particle":"","family":"Marzluff","given":"John M","non-dropping-particle":"","parse-names":false,"suffix":""},{"dropping-particle":"","family":"Shulenberger","given":"Eric","non-dropping-particle":"","parse-names":false,"suffix":""},{"dropping-particle":"","family":"Endlicher","given":"Wilfried","non-dropping-particle":"","parse-names":false,"suffix":""},{"dropping-particle":"","family":"Alberti","given":"Marina","non-dropping-particle":"","parse-names":false,"suffix":""},{"dropping-particle":"","family":"Bradley","given":"Gordon","non-dropping-particle":"","parse-names":false,"suffix":""},{"dropping-particle":"","family":"Ryan","given":"Clare","non-dropping-particle":"","parse-names":false,"suffix":""},{"dropping-particle":"","family":"Simon","given":"Ute","non-dropping-particle":"","parse-names":false,"suffix":""},{"dropping-particle":"","family":"ZumBrunnen","given":"Craig","non-dropping-particle":"","parse-names":false,"suffix":""}],"id":"ITEM-3","issued":{"date-parts":[["2008"]]},"page":"299-313","publisher":"Springer US","publisher-place":"Boston, MA","title":"Ecosystem Processes Along an Urban-to-Rural Gradient BT  - Urban Ecology: An International Perspective on the Interaction Between Humans and Nature","type":"chapter"},"uris":["http://www.mendeley.com/documents/?uuid=2fe838d2-c7ce-49c3-963b-c7cfaee388a9"]},{"id":"ITEM-4","itemData":{"DOI":"10.1007/s10531-015-0957-x","ISSN":"1572-9710","abstract":"Recreational trampling damage of natural vegetation is an increasing problem in the global context and has the potential to impact on vegetation communities that are of high ecological and socio-economic interest. Wildflower tourism in the national parks of southwest Australia, a global biodiversity hotspot, has the potential to damage the flora on which it depends through trampling. Little research has been previously undertaken in these largely shrub-dominated communities to identify and quantify such impacts. This study is the first to do so, using observational studies of tourists, a descriptive study, and trampling experiments. The behaviours of independent tourists and tour groups were observed. Of the 213 independent visitors observed 41 visitors left trails to view flowers and in the process trampled vegetation. Vegetation height and cover were measured at three sites frequented by wildflower tourists. Vegetation height and cover declined in response to use by tourists. Trampling experiments, which relied on trampling treatments of 0, 30, 100, 200, 300/500 passes, where 0 passes represents the control, were applied at four sites. Trampling led to a significant reduction in vegetation height immediately post-treatment, for all treatments, with a non-significant recovery over time. Trampling also significantly reduced vegetation cover, with the resistance indices for these experimental sites ranging from 30 to 300 passes. Collectively these results illustrate the low resilience and resistance of these valued communities and the possible impacts of wildflower and other nature based tourism, through trampling. The paper concludes with suggested management strategies, which strongly emphasise the importance of education for the tourism industry and provide for international comparisons in regard to recreational trampling impacts on biodiverse shrub land communities.","author":[{"dropping-particle":"","family":"Mason","given":"S","non-dropping-particle":"","parse-names":false,"suffix":""},{"dropping-particle":"","family":"Newsome","given":"D","non-dropping-particle":"","parse-names":false,"suffix":""},{"dropping-particle":"","family":"Moore","given":"S","non-dropping-particle":"","parse-names":false,"suffix":""},{"dropping-particle":"","family":"Admiraal","given":"R","non-dropping-particle":"","parse-names":false,"suffix":""}],"container-title":"Biodiversity and Conservation","id":"ITEM-4","issue":"11","issued":{"date-parts":[["2015"]]},"page":"2685-2707","title":"Recreational trampling negatively impacts vegetation structure of an Australian biodiversity hotspot","type":"article-journal","volume":"24"},"uris":["http://www.mendeley.com/documents/?uuid=e60887f6-8db5-4e47-8029-a58595b41b28"]}],"mendeley":{"formattedCitation":"(McDonnell et al., 2008; Shochat et al., 2010; Mason, Newsome, Moore, &amp; Admiraal, 2015; Cadotte, Yasui, Livingstone, &amp; MacIvor, 2017)","plainTextFormattedCitation":"(McDonnell et al., 2008; Shochat et al., 2010; Mason, Newsome, Moore, &amp; Admiraal, 2015; Cadotte, Yasui, Livingstone, &amp; MacIvor, 2017)","previouslyFormattedCitation":"(McDonnell et al., 2008; Shochat et al., 2010; Mason, Newsome, Moore, &amp; Admiraal, 2015; Cadotte, Yasui, Livingstone, &amp; MacIvor, 2017)"},"properties":{"noteIndex":0},"schema":"https://github.com/citation-style-language/schema/raw/master/csl-citation.json"}</w:instrText>
      </w:r>
      <w:r w:rsidR="009328F2">
        <w:rPr>
          <w:rFonts w:ascii="Times New Roman" w:hAnsi="Times New Roman" w:cs="Times New Roman"/>
          <w:sz w:val="24"/>
          <w:szCs w:val="24"/>
        </w:rPr>
        <w:fldChar w:fldCharType="separate"/>
      </w:r>
      <w:r w:rsidR="009E61C8" w:rsidRPr="009E61C8">
        <w:rPr>
          <w:rFonts w:ascii="Times New Roman" w:hAnsi="Times New Roman" w:cs="Times New Roman"/>
          <w:noProof/>
          <w:sz w:val="24"/>
          <w:szCs w:val="24"/>
        </w:rPr>
        <w:t>(McDonnell et al., 2008; Shochat et al., 2010; Mason, Newsome, Moore, &amp; Admiraal, 2015; Cadotte, Yasui, Livingstone, &amp; MacIvor, 2017)</w:t>
      </w:r>
      <w:r w:rsidR="009328F2">
        <w:rPr>
          <w:rFonts w:ascii="Times New Roman" w:hAnsi="Times New Roman" w:cs="Times New Roman"/>
          <w:sz w:val="24"/>
          <w:szCs w:val="24"/>
        </w:rPr>
        <w:fldChar w:fldCharType="end"/>
      </w:r>
      <w:r w:rsidR="00570D22">
        <w:rPr>
          <w:rFonts w:ascii="Times New Roman" w:hAnsi="Times New Roman" w:cs="Times New Roman"/>
          <w:sz w:val="24"/>
          <w:szCs w:val="24"/>
        </w:rPr>
        <w:t xml:space="preserve">. </w:t>
      </w:r>
      <w:r w:rsidR="009F190D" w:rsidRPr="008D2FA0">
        <w:rPr>
          <w:rFonts w:ascii="Times New Roman" w:hAnsi="Times New Roman" w:cs="Times New Roman"/>
          <w:sz w:val="24"/>
          <w:szCs w:val="24"/>
        </w:rPr>
        <w:t xml:space="preserve">However, </w:t>
      </w:r>
      <w:r w:rsidR="00E06C42">
        <w:rPr>
          <w:rFonts w:ascii="Times New Roman" w:hAnsi="Times New Roman" w:cs="Times New Roman"/>
          <w:sz w:val="24"/>
          <w:szCs w:val="24"/>
        </w:rPr>
        <w:t>both managed and unmanaged green spaces</w:t>
      </w:r>
      <w:r w:rsidR="009F190D" w:rsidRPr="008D2FA0">
        <w:rPr>
          <w:rFonts w:ascii="Times New Roman" w:hAnsi="Times New Roman" w:cs="Times New Roman"/>
          <w:sz w:val="24"/>
          <w:szCs w:val="24"/>
        </w:rPr>
        <w:t xml:space="preserve"> are important for city residents as a place for exercise, recreation,</w:t>
      </w:r>
      <w:r w:rsidR="00AF2B69" w:rsidRPr="008D2FA0">
        <w:rPr>
          <w:rFonts w:ascii="Times New Roman" w:hAnsi="Times New Roman" w:cs="Times New Roman"/>
          <w:sz w:val="24"/>
          <w:szCs w:val="24"/>
        </w:rPr>
        <w:t xml:space="preserve"> socialization,</w:t>
      </w:r>
      <w:r w:rsidR="009F190D" w:rsidRPr="008D2FA0">
        <w:rPr>
          <w:rFonts w:ascii="Times New Roman" w:hAnsi="Times New Roman" w:cs="Times New Roman"/>
          <w:sz w:val="24"/>
          <w:szCs w:val="24"/>
        </w:rPr>
        <w:t xml:space="preserve"> and supporting mental well-being</w:t>
      </w:r>
      <w:r w:rsidR="00077E15">
        <w:rPr>
          <w:rFonts w:ascii="Times New Roman" w:hAnsi="Times New Roman" w:cs="Times New Roman"/>
          <w:sz w:val="24"/>
          <w:szCs w:val="24"/>
        </w:rPr>
        <w:t xml:space="preserve"> </w:t>
      </w:r>
      <w:r w:rsidR="00077E15">
        <w:rPr>
          <w:rFonts w:ascii="Times New Roman" w:hAnsi="Times New Roman" w:cs="Times New Roman"/>
          <w:sz w:val="24"/>
          <w:szCs w:val="24"/>
        </w:rPr>
        <w:fldChar w:fldCharType="begin" w:fldLock="1"/>
      </w:r>
      <w:r w:rsidR="00022698">
        <w:rPr>
          <w:rFonts w:ascii="Times New Roman" w:hAnsi="Times New Roman" w:cs="Times New Roman"/>
          <w:sz w:val="24"/>
          <w:szCs w:val="24"/>
        </w:rPr>
        <w:instrText>ADDIN CSL_CITATION {"citationItems":[{"id":"ITEM-1","itemData":{"DOI":"https://doi.org/10.1016/j.landurbplan.2004.08.008","ISSN":"0169-2046","abstract":"Recreational opportunities and amenities are important human-use services generated by urban greenspaces. This study explored the use of pattern and behavior of urban greenspaces in Guangzhou city, south China. The monetary value of the non-priced benefits was gauged by the contingent valuation method using willingness-to-pay and open-ended payment card approaches. A questionnaire gleaned data by face-to-face interviews of 340 respondents in the 18–70 age group, dwelling in 34 residential street blocks selected by clustered sampling. Guangzhou residents actively used urban greenspaces, accompanied mainly by family members. Parks were the most popular venues, whereas institutional greenspaces served as surrogate parks. Visitation is mainly induced by accessibility, followed by high green coverage and quality of the ambience. Small and low-quality sites near homes were shunned. Residents of the compact city harbored subdued expectation for privacy and solitude. They are accustomed to paying greenspace entrance fees. Ninety-six point six per cent of respondents were willing to pay to use urban greenspaces, notably more than other cities, and indicating the importance of salubrious outdoor recreation as a leisure pursuit. Conservative estimate of average willingness-to-pay was RMB17.40/person/month (US$1.00=RMB8.26), higher than actual entrance-fee payment. Willingness-to-pay was significantly associated with income, and its marginal effect verified by an ordered probit model which hinted the treatment of urban greenspaces as superior goods. Aggregate monetary value of urban greenspaces attained RMB547 million per year which outstripped Guangzhou's annual expenditures on urban greenspaces by six times. This study verified the applicability of contingent valuation to urban greenspaces in China with socioeconomic, cultural and political backgrounds that are different from many countries. The results could assist cost-benefit analysis to justify more resources for development and management of urban greenspaces, with implications on incorporating public opinions in a precision planning process in the quest towards sustainable cities.","author":[{"dropping-particle":"","family":"Jim","given":"C Y","non-dropping-particle":"","parse-names":false,"suffix":""},{"dropping-particle":"","family":"Chen","given":"Wendy Y","non-dropping-particle":"","parse-names":false,"suffix":""}],"container-title":"Landscape and Urban Planning","id":"ITEM-1","issue":"1","issued":{"date-parts":[["2006"]]},"page":"81-96","title":"Recreation–amenity use and contingent valuation of urban greenspaces in Guangzhou, China","type":"article-journal","volume":"75"},"uris":["http://www.mendeley.com/documents/?uuid=3438758b-6e60-4803-9205-cdfa68bff592"]},{"id":"ITEM-2","itemData":{"DOI":"https://doi.org/10.1016/j.ecoser.2021.101297","ISSN":"2212-0416","abstract":"For most of the world’s population, urban green spaces (UGS) offer the easiest form of contact with nature. Such environments deliver a wide variety of Recreational Ecosystem Services (RES) to visitors. This paper explores RES delivery in different types of UGS, differentiated with respect to their naturalness and distance from the city centre. Furthermore, it investigates how the identified use patterns are affected by an abrupt change in access. We extract data from Instagram, posted at the beginning of the COVID-19 pandemic, for Warsaw, Poland, and use it to measure both the intensity of use of UGS, and the experience of Instagram users. Furthermore, we compare these data with data from the same period for the previous year (2019). Our results indicate that, in typical conditions, the wilder the area, the fewer visitors. RES patterns changed, however, when access to UGS was restricted. The recent COVID-19 outbreak showed that soon after restrictions on visiting UGS were lifted, recreation shifted towards wilder green areas. Moreover, users became more oriented to wild nature. We conclude that the number of visitors, and the pattern of recreational use of UGS, are highly dependent on the character of green spaces across the urban wilderness continuum, and that they are influenced by abrupt changes in access.","author":[{"dropping-particle":"","family":"Grzyb","given":"Tomasz","non-dropping-particle":"","parse-names":false,"suffix":""},{"dropping-particle":"","family":"Kulczyk","given":"Sylwia","non-dropping-particle":"","parse-names":false,"suffix":""},{"dropping-particle":"","family":"Derek","given":"Marta","non-dropping-particle":"","parse-names":false,"suffix":""},{"dropping-particle":"","family":"Woźniak","given":"Edyta","non-dropping-particle":"","parse-names":false,"suffix":""}],"container-title":"Ecosystem Services","id":"ITEM-2","issued":{"date-parts":[["2021"]]},"page":"101297","title":"Using social media to assess recreation across urban green spaces in times of abrupt change","type":"article-journal","volume":"49"},"uris":["http://www.mendeley.com/documents/?uuid=f5829799-147a-4d9e-b11a-6eec19b5fe0d"]},{"id":"ITEM-3","itemData":{"DOI":"https://doi.org/10.1016/j.puhe.2013.08.016","ISSN":"0033-3506","abstract":"Objectives This study aims to find whether proximity to urban green spaces is associated with human mental health. Study design A cross-sectional examination of the relationship between access to urban green spaces and counts of anxiety/mood disorder treatments amongst residents (aged 15 years and over) in Auckland City, New Zealand. Methods Anxiety/mood disorder treatment counts by three age groups were aggregated to 3149 small area units in Auckland. Six measures of green space access were derived using GIS techniques involving total green spaces and useable green spaces. Negative binomial regression models have been fitted to test the relationship between access to green space and area-level anxiety/mood disorder treatment counts, adjusted for age and area-level deprivation. Results Anxiety/mood disorder treatment counts were associated with three green space measures. The proportion of both total and useable green space within 3 km and distance to nearest useable green space all indicated a protective effect of increased access to green space against anxiety/mood disorder treatment counts. Access to total and useable green space within 300 m did not exhibit significant associations. Conclusion This study found that decreased distance to useable green space and increased proportion of green space within the larger neighbourhood were associated with decreased anxiety/mood disorder treatment counts in an urban environment. This suggests the benefits of green space on mental health may relate both to active participation in useable green spaces near to the home and observable green space in the neighbourhood environment.","author":[{"dropping-particle":"","family":"Nutsford","given":"D","non-dropping-particle":"","parse-names":false,"suffix":""},{"dropping-particle":"","family":"Pearson","given":"A L","non-dropping-particle":"","parse-names":false,"suffix":""},{"dropping-particle":"","family":"Kingham","given":"S","non-dropping-particle":"","parse-names":false,"suffix":""}],"container-title":"Public Health","id":"ITEM-3","issue":"11","issued":{"date-parts":[["2013"]]},"page":"1005-1011","title":"An ecological study investigating the association between access to urban green space and mental health","type":"article-journal","volume":"127"},"uris":["http://www.mendeley.com/documents/?uuid=bd9827de-c9a8-4898-8487-3e1caabd80d4"]},{"id":"ITEM-4","itemData":{"DOI":"10.1093/pubmed/fdq068","ISSN":"1741-3842","abstract":"Urban development projects can be costly and have health impacts. An evidence-based approach to urban planning is therefore essential. However, the evidence for physical and non-physical health benefits of urban green space is unclear.A literature search of academic and grey literature was conducted for studies and reviews of the health effects of green space. Articles found were appraised for their relevance, critically reviewed and graded accordingly. Their findings were then thematically categorized.There is weak evidence for the links between physical, mental health and well-being, and urban green space. Environmental factors such as the quality and accessibility of green space affects its use for physical activity. User determinants, such as age, gender, ethnicity and the perception of safety, are also important. However, many studies were limited by poor study design, failure to exclude confounding, bias or reverse causality and weak statistical associations.Most studies reported findings that generally supported the view that green space have a beneficial health effect. Establishing a causal relationship is difficult, as the relationship is complex. Simplistic urban interventions may therefore fail to address the underlying determinants of urban health that are not remediable by landscape redesign.","author":[{"dropping-particle":"","family":"Lee","given":"A C K","non-dropping-particle":"","parse-names":false,"suffix":""},{"dropping-particle":"","family":"Maheswaran","given":"R","non-dropping-particle":"","parse-names":false,"suffix":""}],"container-title":"Journal of Public Health","id":"ITEM-4","issue":"2","issued":{"date-parts":[["2011","6","1"]]},"page":"212-222","title":"The health benefits of urban green spaces: a review of the evidence","type":"article-journal","volume":"33"},"uris":["http://www.mendeley.com/documents/?uuid=0cd24bc1-5253-47df-aba8-3225fe25820e"]}],"mendeley":{"formattedCitation":"(Jim &amp; Chen, 2006; Lee &amp; Maheswaran, 2011; Nutsford, Pearson, &amp; Kingham, 2013; Grzyb, Kulczyk, Derek, &amp; Woźniak, 2021)","plainTextFormattedCitation":"(Jim &amp; Chen, 2006; Lee &amp; Maheswaran, 2011; Nutsford, Pearson, &amp; Kingham, 2013; Grzyb, Kulczyk, Derek, &amp; Woźniak, 2021)","previouslyFormattedCitation":"(Jim &amp; Chen, 2006; Lee &amp; Maheswaran, 2011; Nutsford, Pearson, &amp; Kingham, 2013; Grzyb, Kulczyk, Derek, &amp; Woźniak, 2021)"},"properties":{"noteIndex":0},"schema":"https://github.com/citation-style-language/schema/raw/master/csl-citation.json"}</w:instrText>
      </w:r>
      <w:r w:rsidR="00077E15">
        <w:rPr>
          <w:rFonts w:ascii="Times New Roman" w:hAnsi="Times New Roman" w:cs="Times New Roman"/>
          <w:sz w:val="24"/>
          <w:szCs w:val="24"/>
        </w:rPr>
        <w:fldChar w:fldCharType="separate"/>
      </w:r>
      <w:r w:rsidR="00077E15" w:rsidRPr="00077E15">
        <w:rPr>
          <w:rFonts w:ascii="Times New Roman" w:hAnsi="Times New Roman" w:cs="Times New Roman"/>
          <w:noProof/>
          <w:sz w:val="24"/>
          <w:szCs w:val="24"/>
        </w:rPr>
        <w:t>(Jim &amp; Chen, 2006; Lee &amp; Maheswaran, 2011; Nutsford, Pearson, &amp; Kingham, 2013; Grzyb, Kulczyk, Derek, &amp; Woźniak, 2021)</w:t>
      </w:r>
      <w:r w:rsidR="00077E15">
        <w:rPr>
          <w:rFonts w:ascii="Times New Roman" w:hAnsi="Times New Roman" w:cs="Times New Roman"/>
          <w:sz w:val="24"/>
          <w:szCs w:val="24"/>
        </w:rPr>
        <w:fldChar w:fldCharType="end"/>
      </w:r>
      <w:r w:rsidR="009F190D" w:rsidRPr="008D2FA0">
        <w:rPr>
          <w:rFonts w:ascii="Times New Roman" w:hAnsi="Times New Roman" w:cs="Times New Roman"/>
          <w:sz w:val="24"/>
          <w:szCs w:val="24"/>
        </w:rPr>
        <w:t xml:space="preserve">. </w:t>
      </w:r>
      <w:r w:rsidR="006321DC">
        <w:rPr>
          <w:rFonts w:ascii="Times New Roman" w:hAnsi="Times New Roman" w:cs="Times New Roman"/>
          <w:sz w:val="24"/>
          <w:szCs w:val="24"/>
        </w:rPr>
        <w:t xml:space="preserve">This need has been amplified during the </w:t>
      </w:r>
      <w:r w:rsidR="00976957">
        <w:rPr>
          <w:rFonts w:ascii="Times New Roman" w:hAnsi="Times New Roman" w:cs="Times New Roman"/>
          <w:sz w:val="24"/>
          <w:szCs w:val="24"/>
        </w:rPr>
        <w:t>C</w:t>
      </w:r>
      <w:r w:rsidR="006321DC">
        <w:rPr>
          <w:rFonts w:ascii="Times New Roman" w:hAnsi="Times New Roman" w:cs="Times New Roman"/>
          <w:sz w:val="24"/>
          <w:szCs w:val="24"/>
        </w:rPr>
        <w:t xml:space="preserve">ovid-19 pandemic </w:t>
      </w:r>
      <w:r w:rsidR="00F2222C">
        <w:rPr>
          <w:rFonts w:ascii="Times New Roman" w:hAnsi="Times New Roman" w:cs="Times New Roman"/>
          <w:sz w:val="24"/>
          <w:szCs w:val="24"/>
        </w:rPr>
        <w:fldChar w:fldCharType="begin" w:fldLock="1"/>
      </w:r>
      <w:r w:rsidR="00F2222C">
        <w:rPr>
          <w:rFonts w:ascii="Times New Roman" w:hAnsi="Times New Roman" w:cs="Times New Roman"/>
          <w:sz w:val="24"/>
          <w:szCs w:val="24"/>
        </w:rPr>
        <w:instrText>ADDIN CSL_CITATION {"citationItems":[{"id":"ITEM-1","itemData":{"DOI":"10.1093/jue/juaa020","ISSN":"2058-5543","abstract":"The COVID-19 pandemic presents not only a global health crisis but has also disrupted the daily lives of people around the world. From a leisure perspective, urban outdoor enthusiasts are one group particularly impacted by the pandemic and the subsequent institutional response. Stay-at-home orders and physical distancing recommendations serve as potential inhibitors to outdoor recreation activities central to the lifestyles and wellbeing of outdoor enthusiasts. In urban areas, where these orders and recommendations are most restrictive, the potential impacts on recreation behavior are most consequential. This study provides an empirical analysis of the COVID-19 pandemic’s impact on the recreational behaviors of outdoor enthusiasts across urban and rural communities. Results suggest that the frequency of outdoor recreation participation, distance travelled to participate in outdoor recreation and distance travelled beyond roads during outdoor recreation have declined significantly more among outdoor enthusiasts residing in urban areas than urban clusters or rural areas. ","author":[{"dropping-particle":"","family":"Rice","given":"William L","non-dropping-particle":"","parse-names":false,"suffix":""},{"dropping-particle":"","family":"Mateer","given":"Timothy J","non-dropping-particle":"","parse-names":false,"suffix":""},{"dropping-particle":"","family":"Reigner","given":"Nathan","non-dropping-particle":"","parse-names":false,"suffix":""},{"dropping-particle":"","family":"Newman","given":"Peter","non-dropping-particle":"","parse-names":false,"suffix":""},{"dropping-particle":"","family":"Lawhon","given":"Ben","non-dropping-particle":"","parse-names":false,"suffix":""},{"dropping-particle":"","family":"Taff","given":"B Derrick","non-dropping-particle":"","parse-names":false,"suffix":""}],"container-title":"Journal of Urban Ecology","id":"ITEM-1","issue":"1","issued":{"date-parts":[["2020","1","1"]]},"page":"juaa020","title":"Changes in recreational behaviors of outdoor enthusiasts during the COVID-19 pandemic: analysis across urban and rural communities","type":"article-journal","volume":"6"},"uris":["http://www.mendeley.com/documents/?uuid=b1fe6ea6-a897-4d23-ad9f-6195eaaa097a"]},{"id":"ITEM-2","itemData":{"abstract":"Public parks serve an important societal function as recreational spaces for diverse communities of people, with well documented physical and mental health benefits. As such, parks may be crucial for how people have handled effects of the COVID-19 pandemic, particularly the increasingly limited recreational opportunities, widespread financial uncertainty, and consequent heightened anxiety. Despite the documented benefits of parks, however, many states have instituted park shutdown orders due to fears that public parks could facilitate SARS-CoV-2 transmission. Here we use geotagged social media data from state, county, and local parks throughout New Jersey to examine whether park visitation increased when the COVID-19 pandemic began and whether park shutdown orders were effective at deterring park usage. We compare park usage during four discrete stages of spring 2020: (1) before the pandemic began, (2) during the beginning of the pandemic, (3) during the New Jersey governor’s state-wide park shutdown order, and (4) following the lifting of the shutdown. We find that park visitation increased by 63.4% with the onset of the pandemic. The subsequent park shutdown order caused visitation in closed parks to decline by 76.1% while parks that remained open continued to experience elevated visitation levels. Visitation then returned to elevated pre-shutdown levels when closed parks were allowed to reopen. Altogether, our results indicate that parks continue to provide crucial services to society, particularly in stressful times when opportunities for recreation are limited. Furthermore, our results suggest that policies targeting human behavior can be effective and are largely reversible. As such, we should continue to invest in public parks and to explore the role of parks in managing public health and psychological well-being.","author":[{"dropping-particle":"","family":"Volenec","given":"Zoe M","non-dropping-particle":"","parse-names":false,"suffix":""},{"dropping-particle":"","family":"Abraham","given":"Joel O","non-dropping-particle":"","parse-names":false,"suffix":""},{"dropping-particle":"","family":"Becker","given":"Alexander D","non-dropping-particle":"","parse-names":false,"suffix":""},{"dropping-particle":"","family":"Dobson","given":"Andy P","non-dropping-particle":"","parse-names":false,"suffix":""}],"container-title":"PLOS ONE","id":"ITEM-2","issue":"5","issued":{"date-parts":[["2021","5","19"]]},"page":"e0251799","publisher":"Public Library of Science","title":"Public parks and the pandemic: How park usage has been affected by COVID-19 policies","type":"article-journal","volume":"16"},"uris":["http://www.mendeley.com/documents/?uuid=e70a6c26-0c94-4afe-b8df-07fb518f8189"]}],"mendeley":{"formattedCitation":"(Rice et al., 2020; Volenec, Abraham, Becker, &amp; Dobson, 2021)","plainTextFormattedCitation":"(Rice et al., 2020; Volenec, Abraham, Becker, &amp; Dobson, 2021)","previouslyFormattedCitation":"(Rice et al., 2020; Volenec, Abraham, Becker, &amp; Dobson, 2021)"},"properties":{"noteIndex":0},"schema":"https://github.com/citation-style-language/schema/raw/master/csl-citation.json"}</w:instrText>
      </w:r>
      <w:r w:rsidR="00F2222C">
        <w:rPr>
          <w:rFonts w:ascii="Times New Roman" w:hAnsi="Times New Roman" w:cs="Times New Roman"/>
          <w:sz w:val="24"/>
          <w:szCs w:val="24"/>
        </w:rPr>
        <w:fldChar w:fldCharType="separate"/>
      </w:r>
      <w:r w:rsidR="00F2222C" w:rsidRPr="00F2222C">
        <w:rPr>
          <w:rFonts w:ascii="Times New Roman" w:hAnsi="Times New Roman" w:cs="Times New Roman"/>
          <w:noProof/>
          <w:sz w:val="24"/>
          <w:szCs w:val="24"/>
        </w:rPr>
        <w:t>(Rice et al., 2020; Volenec, Abraham, Becker, &amp; Dobson, 2021)</w:t>
      </w:r>
      <w:r w:rsidR="00F2222C">
        <w:rPr>
          <w:rFonts w:ascii="Times New Roman" w:hAnsi="Times New Roman" w:cs="Times New Roman"/>
          <w:sz w:val="24"/>
          <w:szCs w:val="24"/>
        </w:rPr>
        <w:fldChar w:fldCharType="end"/>
      </w:r>
      <w:r w:rsidR="006321DC">
        <w:rPr>
          <w:rFonts w:ascii="Times New Roman" w:hAnsi="Times New Roman" w:cs="Times New Roman"/>
          <w:sz w:val="24"/>
          <w:szCs w:val="24"/>
        </w:rPr>
        <w:t xml:space="preserve">. </w:t>
      </w:r>
      <w:r w:rsidR="00AF2B69" w:rsidRPr="008D2FA0">
        <w:rPr>
          <w:rFonts w:ascii="Times New Roman" w:hAnsi="Times New Roman" w:cs="Times New Roman"/>
          <w:sz w:val="24"/>
          <w:szCs w:val="24"/>
        </w:rPr>
        <w:t xml:space="preserve">Thus, managing </w:t>
      </w:r>
      <w:r w:rsidR="00E06C42">
        <w:rPr>
          <w:rFonts w:ascii="Times New Roman" w:hAnsi="Times New Roman" w:cs="Times New Roman"/>
          <w:sz w:val="24"/>
          <w:szCs w:val="24"/>
        </w:rPr>
        <w:t>green</w:t>
      </w:r>
      <w:r w:rsidR="00E06C42" w:rsidRPr="008D2FA0">
        <w:rPr>
          <w:rFonts w:ascii="Times New Roman" w:hAnsi="Times New Roman" w:cs="Times New Roman"/>
          <w:sz w:val="24"/>
          <w:szCs w:val="24"/>
        </w:rPr>
        <w:t xml:space="preserve"> </w:t>
      </w:r>
      <w:r w:rsidR="00AF2B69" w:rsidRPr="008D2FA0">
        <w:rPr>
          <w:rFonts w:ascii="Times New Roman" w:hAnsi="Times New Roman" w:cs="Times New Roman"/>
          <w:sz w:val="24"/>
          <w:szCs w:val="24"/>
        </w:rPr>
        <w:t xml:space="preserve">spaces is a delicate balancing act </w:t>
      </w:r>
      <w:r w:rsidR="00A72482" w:rsidRPr="008D2FA0">
        <w:rPr>
          <w:rFonts w:ascii="Times New Roman" w:hAnsi="Times New Roman" w:cs="Times New Roman"/>
          <w:sz w:val="24"/>
          <w:szCs w:val="24"/>
        </w:rPr>
        <w:t>between</w:t>
      </w:r>
      <w:r w:rsidR="00AF2B69" w:rsidRPr="008D2FA0">
        <w:rPr>
          <w:rFonts w:ascii="Times New Roman" w:hAnsi="Times New Roman" w:cs="Times New Roman"/>
          <w:sz w:val="24"/>
          <w:szCs w:val="24"/>
        </w:rPr>
        <w:t xml:space="preserve"> </w:t>
      </w:r>
      <w:r w:rsidR="00A72482" w:rsidRPr="008D2FA0">
        <w:rPr>
          <w:rFonts w:ascii="Times New Roman" w:hAnsi="Times New Roman" w:cs="Times New Roman"/>
          <w:sz w:val="24"/>
          <w:szCs w:val="24"/>
        </w:rPr>
        <w:t>utility for</w:t>
      </w:r>
      <w:r w:rsidR="00AF2B69" w:rsidRPr="008D2FA0">
        <w:rPr>
          <w:rFonts w:ascii="Times New Roman" w:hAnsi="Times New Roman" w:cs="Times New Roman"/>
          <w:sz w:val="24"/>
          <w:szCs w:val="24"/>
        </w:rPr>
        <w:t xml:space="preserve"> people and conservation of biodiversity.</w:t>
      </w:r>
      <w:r w:rsidR="00A72482" w:rsidRPr="008D2FA0">
        <w:rPr>
          <w:rFonts w:ascii="Times New Roman" w:hAnsi="Times New Roman" w:cs="Times New Roman"/>
          <w:sz w:val="24"/>
          <w:szCs w:val="24"/>
        </w:rPr>
        <w:t xml:space="preserve"> </w:t>
      </w:r>
    </w:p>
    <w:p w14:paraId="574BFDD6" w14:textId="5E163E53" w:rsidR="001B31A0" w:rsidRPr="008D2FA0" w:rsidRDefault="00D13EEB"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One of the main limitations in effectively managing </w:t>
      </w:r>
      <w:r w:rsidR="00E06C42">
        <w:rPr>
          <w:rFonts w:ascii="Times New Roman" w:hAnsi="Times New Roman" w:cs="Times New Roman"/>
          <w:sz w:val="24"/>
          <w:szCs w:val="24"/>
        </w:rPr>
        <w:t>green spaces</w:t>
      </w:r>
      <w:r w:rsidRPr="008D2FA0">
        <w:rPr>
          <w:rFonts w:ascii="Times New Roman" w:hAnsi="Times New Roman" w:cs="Times New Roman"/>
          <w:sz w:val="24"/>
          <w:szCs w:val="24"/>
        </w:rPr>
        <w:t xml:space="preserve"> is the uncertainty around how and when people use these areas. </w:t>
      </w:r>
      <w:r w:rsidR="00D95CC4">
        <w:rPr>
          <w:rFonts w:ascii="Times New Roman" w:hAnsi="Times New Roman" w:cs="Times New Roman"/>
          <w:sz w:val="24"/>
          <w:szCs w:val="24"/>
        </w:rPr>
        <w:t>S</w:t>
      </w:r>
      <w:r w:rsidR="000240EC" w:rsidRPr="008D2FA0">
        <w:rPr>
          <w:rFonts w:ascii="Times New Roman" w:hAnsi="Times New Roman" w:cs="Times New Roman"/>
          <w:sz w:val="24"/>
          <w:szCs w:val="24"/>
        </w:rPr>
        <w:t xml:space="preserve">ome </w:t>
      </w:r>
      <w:r w:rsidR="00D95CC4">
        <w:rPr>
          <w:rFonts w:ascii="Times New Roman" w:hAnsi="Times New Roman" w:cs="Times New Roman"/>
          <w:sz w:val="24"/>
          <w:szCs w:val="24"/>
        </w:rPr>
        <w:t xml:space="preserve">managed </w:t>
      </w:r>
      <w:r w:rsidR="000240EC" w:rsidRPr="008D2FA0">
        <w:rPr>
          <w:rFonts w:ascii="Times New Roman" w:hAnsi="Times New Roman" w:cs="Times New Roman"/>
          <w:sz w:val="24"/>
          <w:szCs w:val="24"/>
        </w:rPr>
        <w:t xml:space="preserve">parks use a reservation-based system with controlled points of entry, </w:t>
      </w:r>
      <w:r w:rsidR="00D95CC4">
        <w:rPr>
          <w:rFonts w:ascii="Times New Roman" w:hAnsi="Times New Roman" w:cs="Times New Roman"/>
          <w:sz w:val="24"/>
          <w:szCs w:val="24"/>
        </w:rPr>
        <w:t xml:space="preserve">whereas </w:t>
      </w:r>
      <w:r w:rsidR="000240EC" w:rsidRPr="008D2FA0">
        <w:rPr>
          <w:rFonts w:ascii="Times New Roman" w:hAnsi="Times New Roman" w:cs="Times New Roman"/>
          <w:sz w:val="24"/>
          <w:szCs w:val="24"/>
        </w:rPr>
        <w:t xml:space="preserve">other </w:t>
      </w:r>
      <w:r w:rsidR="00E06C42">
        <w:rPr>
          <w:rFonts w:ascii="Times New Roman" w:hAnsi="Times New Roman" w:cs="Times New Roman"/>
          <w:sz w:val="24"/>
          <w:szCs w:val="24"/>
        </w:rPr>
        <w:t>green spaces</w:t>
      </w:r>
      <w:r w:rsidR="000240EC" w:rsidRPr="008D2FA0">
        <w:rPr>
          <w:rFonts w:ascii="Times New Roman" w:hAnsi="Times New Roman" w:cs="Times New Roman"/>
          <w:sz w:val="24"/>
          <w:szCs w:val="24"/>
        </w:rPr>
        <w:t xml:space="preserve"> </w:t>
      </w:r>
      <w:r w:rsidR="002F284F">
        <w:rPr>
          <w:rFonts w:ascii="Times New Roman" w:hAnsi="Times New Roman" w:cs="Times New Roman"/>
          <w:sz w:val="24"/>
          <w:szCs w:val="24"/>
        </w:rPr>
        <w:t>have</w:t>
      </w:r>
      <w:r w:rsidR="0055742F">
        <w:rPr>
          <w:rFonts w:ascii="Times New Roman" w:hAnsi="Times New Roman" w:cs="Times New Roman"/>
          <w:sz w:val="24"/>
          <w:szCs w:val="24"/>
        </w:rPr>
        <w:t xml:space="preserve"> unrestricted</w:t>
      </w:r>
      <w:r w:rsidR="00DD675A" w:rsidRPr="008D2FA0">
        <w:rPr>
          <w:rFonts w:ascii="Times New Roman" w:hAnsi="Times New Roman" w:cs="Times New Roman"/>
          <w:sz w:val="24"/>
          <w:szCs w:val="24"/>
        </w:rPr>
        <w:t xml:space="preserve"> access points. Trails are </w:t>
      </w:r>
      <w:r w:rsidR="00D95CC4">
        <w:rPr>
          <w:rFonts w:ascii="Times New Roman" w:hAnsi="Times New Roman" w:cs="Times New Roman"/>
          <w:sz w:val="24"/>
          <w:szCs w:val="24"/>
        </w:rPr>
        <w:t>created</w:t>
      </w:r>
      <w:r w:rsidR="00D95CC4" w:rsidRPr="008D2FA0">
        <w:rPr>
          <w:rFonts w:ascii="Times New Roman" w:hAnsi="Times New Roman" w:cs="Times New Roman"/>
          <w:sz w:val="24"/>
          <w:szCs w:val="24"/>
        </w:rPr>
        <w:t xml:space="preserve"> </w:t>
      </w:r>
      <w:r w:rsidR="00DD675A" w:rsidRPr="008D2FA0">
        <w:rPr>
          <w:rFonts w:ascii="Times New Roman" w:hAnsi="Times New Roman" w:cs="Times New Roman"/>
          <w:sz w:val="24"/>
          <w:szCs w:val="24"/>
        </w:rPr>
        <w:t xml:space="preserve">to facilitate human movement and reduce disturbance to biodiversity, but residents will </w:t>
      </w:r>
      <w:r w:rsidR="00CF3426" w:rsidRPr="008D2FA0">
        <w:rPr>
          <w:rFonts w:ascii="Times New Roman" w:hAnsi="Times New Roman" w:cs="Times New Roman"/>
          <w:sz w:val="24"/>
          <w:szCs w:val="24"/>
        </w:rPr>
        <w:t xml:space="preserve">still venture off-trail or erode new paths of easily navigable terrain, </w:t>
      </w:r>
      <w:r w:rsidR="0055742F">
        <w:rPr>
          <w:rFonts w:ascii="Times New Roman" w:hAnsi="Times New Roman" w:cs="Times New Roman"/>
          <w:sz w:val="24"/>
          <w:szCs w:val="24"/>
        </w:rPr>
        <w:t>e.g</w:t>
      </w:r>
      <w:r w:rsidR="00CF3426" w:rsidRPr="008D2FA0">
        <w:rPr>
          <w:rFonts w:ascii="Times New Roman" w:hAnsi="Times New Roman" w:cs="Times New Roman"/>
          <w:sz w:val="24"/>
          <w:szCs w:val="24"/>
        </w:rPr>
        <w:t xml:space="preserve">., desire lines </w:t>
      </w:r>
      <w:r w:rsidR="00022698">
        <w:rPr>
          <w:rFonts w:ascii="Times New Roman" w:hAnsi="Times New Roman" w:cs="Times New Roman"/>
          <w:sz w:val="24"/>
          <w:szCs w:val="24"/>
        </w:rPr>
        <w:fldChar w:fldCharType="begin" w:fldLock="1"/>
      </w:r>
      <w:r w:rsidR="00C41E4B">
        <w:rPr>
          <w:rFonts w:ascii="Times New Roman" w:hAnsi="Times New Roman" w:cs="Times New Roman"/>
          <w:sz w:val="24"/>
          <w:szCs w:val="24"/>
        </w:rPr>
        <w:instrText>ADDIN CSL_CITATION {"citationItems":[{"id":"ITEM-1","itemData":{"DOI":"https://doi.org/10.1016/S0169-2046(02)00202-5","ISSN":"0169-2046","abstract":"This study investigated the relationship between recreational use impacts and hiking experiences in natural areas. The effects of trail erosion, extension and widening, muddiness, tree and plant damage, fire rings, and litter were related to four dimensions of recreational experiences—solitude, remoteness, naturalness, and artifactualism. Recreational use impacts were found to have a negative effect on hiking experiences in natural areas. Litter, tree and plant damage, and fire rings had the greatest effect on hiking experience indicators; trail extension and widening and trail erosion had a moderate effect; and muddiness had a minimal effect on experience. Information generated through this study should assist in appropriate planning, design, and management of natural areas to maintain ecological integrity and to provide for quality hiking experiences.","author":[{"dropping-particle":"","family":"Lynn","given":"Natasha A","non-dropping-particle":"","parse-names":false,"suffix":""},{"dropping-particle":"","family":"Brown","given":"Robert D","non-dropping-particle":"","parse-names":false,"suffix":""}],"container-title":"Landscape and Urban Planning","id":"ITEM-1","issue":"1","issued":{"date-parts":[["2003"]]},"page":"77-87","title":"Effects of recreational use impacts on hiking experiences in natural areas","type":"article-journal","volume":"64"},"uris":["http://www.mendeley.com/documents/?uuid=f94186d9-8b97-42b4-8d39-99f222ffa236"]}],"mendeley":{"formattedCitation":"(Lynn &amp; Brown, 2003)","plainTextFormattedCitation":"(Lynn &amp; Brown, 2003)","previouslyFormattedCitation":"(Lynn &amp; Brown, 2003)"},"properties":{"noteIndex":0},"schema":"https://github.com/citation-style-language/schema/raw/master/csl-citation.json"}</w:instrText>
      </w:r>
      <w:r w:rsidR="00022698">
        <w:rPr>
          <w:rFonts w:ascii="Times New Roman" w:hAnsi="Times New Roman" w:cs="Times New Roman"/>
          <w:sz w:val="24"/>
          <w:szCs w:val="24"/>
        </w:rPr>
        <w:fldChar w:fldCharType="separate"/>
      </w:r>
      <w:r w:rsidR="00022698" w:rsidRPr="00022698">
        <w:rPr>
          <w:rFonts w:ascii="Times New Roman" w:hAnsi="Times New Roman" w:cs="Times New Roman"/>
          <w:noProof/>
          <w:sz w:val="24"/>
          <w:szCs w:val="24"/>
        </w:rPr>
        <w:t>(Lynn &amp; Brown, 2003)</w:t>
      </w:r>
      <w:r w:rsidR="00022698">
        <w:rPr>
          <w:rFonts w:ascii="Times New Roman" w:hAnsi="Times New Roman" w:cs="Times New Roman"/>
          <w:sz w:val="24"/>
          <w:szCs w:val="24"/>
        </w:rPr>
        <w:fldChar w:fldCharType="end"/>
      </w:r>
      <w:r w:rsidR="00CF3426" w:rsidRPr="008D2FA0">
        <w:rPr>
          <w:rFonts w:ascii="Times New Roman" w:hAnsi="Times New Roman" w:cs="Times New Roman"/>
          <w:sz w:val="24"/>
          <w:szCs w:val="24"/>
        </w:rPr>
        <w:t xml:space="preserve">. </w:t>
      </w:r>
      <w:r w:rsidR="00541AB0" w:rsidRPr="008D2FA0">
        <w:rPr>
          <w:rFonts w:ascii="Times New Roman" w:hAnsi="Times New Roman" w:cs="Times New Roman"/>
          <w:sz w:val="24"/>
          <w:szCs w:val="24"/>
        </w:rPr>
        <w:t xml:space="preserve">Determining areas of high disturbance (i.e., high traffic), potential off-trail use, and overlap with sensitive species, can all be achieved through understanding human mobility in </w:t>
      </w:r>
      <w:r w:rsidR="00E06C42">
        <w:rPr>
          <w:rFonts w:ascii="Times New Roman" w:hAnsi="Times New Roman" w:cs="Times New Roman"/>
          <w:sz w:val="24"/>
          <w:szCs w:val="24"/>
        </w:rPr>
        <w:t>green spaces</w:t>
      </w:r>
      <w:r w:rsidR="00541AB0" w:rsidRPr="008D2FA0">
        <w:rPr>
          <w:rFonts w:ascii="Times New Roman" w:hAnsi="Times New Roman" w:cs="Times New Roman"/>
          <w:sz w:val="24"/>
          <w:szCs w:val="24"/>
        </w:rPr>
        <w:t>. However, capturing human mobility at</w:t>
      </w:r>
      <w:r w:rsidR="004F73B8" w:rsidRPr="008D2FA0">
        <w:rPr>
          <w:rFonts w:ascii="Times New Roman" w:hAnsi="Times New Roman" w:cs="Times New Roman"/>
          <w:sz w:val="24"/>
          <w:szCs w:val="24"/>
        </w:rPr>
        <w:t xml:space="preserve"> a </w:t>
      </w:r>
      <w:r w:rsidR="00541AB0" w:rsidRPr="008D2FA0">
        <w:rPr>
          <w:rFonts w:ascii="Times New Roman" w:hAnsi="Times New Roman" w:cs="Times New Roman"/>
          <w:sz w:val="24"/>
          <w:szCs w:val="24"/>
        </w:rPr>
        <w:t>resolution</w:t>
      </w:r>
      <w:r w:rsidR="004F73B8" w:rsidRPr="008D2FA0">
        <w:rPr>
          <w:rFonts w:ascii="Times New Roman" w:hAnsi="Times New Roman" w:cs="Times New Roman"/>
          <w:sz w:val="24"/>
          <w:szCs w:val="24"/>
        </w:rPr>
        <w:t xml:space="preserve"> fine enough </w:t>
      </w:r>
      <w:r w:rsidR="004F73B8" w:rsidRPr="008D2FA0">
        <w:rPr>
          <w:rFonts w:ascii="Times New Roman" w:hAnsi="Times New Roman" w:cs="Times New Roman"/>
          <w:sz w:val="24"/>
          <w:szCs w:val="24"/>
        </w:rPr>
        <w:lastRenderedPageBreak/>
        <w:t>for management, such as less than 100 x 100 m,</w:t>
      </w:r>
      <w:r w:rsidR="00541AB0" w:rsidRPr="008D2FA0">
        <w:rPr>
          <w:rFonts w:ascii="Times New Roman" w:hAnsi="Times New Roman" w:cs="Times New Roman"/>
          <w:sz w:val="24"/>
          <w:szCs w:val="24"/>
        </w:rPr>
        <w:t xml:space="preserve"> is challenging. </w:t>
      </w:r>
      <w:r w:rsidR="003C710F">
        <w:rPr>
          <w:rFonts w:ascii="Times New Roman" w:hAnsi="Times New Roman" w:cs="Times New Roman"/>
          <w:sz w:val="24"/>
          <w:szCs w:val="24"/>
        </w:rPr>
        <w:t>Typical</w:t>
      </w:r>
      <w:r w:rsidR="003C710F" w:rsidRPr="008D2FA0">
        <w:rPr>
          <w:rFonts w:ascii="Times New Roman" w:hAnsi="Times New Roman" w:cs="Times New Roman"/>
          <w:sz w:val="24"/>
          <w:szCs w:val="24"/>
        </w:rPr>
        <w:t xml:space="preserve"> </w:t>
      </w:r>
      <w:r w:rsidR="004F73B8" w:rsidRPr="008D2FA0">
        <w:rPr>
          <w:rFonts w:ascii="Times New Roman" w:hAnsi="Times New Roman" w:cs="Times New Roman"/>
          <w:sz w:val="24"/>
          <w:szCs w:val="24"/>
        </w:rPr>
        <w:t xml:space="preserve">methods for quantifying </w:t>
      </w:r>
      <w:r w:rsidR="00FD3C23" w:rsidRPr="008D2FA0">
        <w:rPr>
          <w:rFonts w:ascii="Times New Roman" w:hAnsi="Times New Roman" w:cs="Times New Roman"/>
          <w:sz w:val="24"/>
          <w:szCs w:val="24"/>
        </w:rPr>
        <w:t xml:space="preserve">human activity </w:t>
      </w:r>
      <w:r w:rsidR="004F73B8" w:rsidRPr="008D2FA0">
        <w:rPr>
          <w:rFonts w:ascii="Times New Roman" w:hAnsi="Times New Roman" w:cs="Times New Roman"/>
          <w:sz w:val="24"/>
          <w:szCs w:val="24"/>
        </w:rPr>
        <w:t xml:space="preserve">include record keeping visitors at entrance </w:t>
      </w:r>
      <w:r w:rsidR="00FD3C23" w:rsidRPr="008D2FA0">
        <w:rPr>
          <w:rFonts w:ascii="Times New Roman" w:hAnsi="Times New Roman" w:cs="Times New Roman"/>
          <w:sz w:val="24"/>
          <w:szCs w:val="24"/>
        </w:rPr>
        <w:t>points</w:t>
      </w:r>
      <w:r w:rsidR="009A6F15">
        <w:rPr>
          <w:rFonts w:ascii="Times New Roman" w:hAnsi="Times New Roman" w:cs="Times New Roman"/>
          <w:sz w:val="24"/>
          <w:szCs w:val="24"/>
        </w:rPr>
        <w:t xml:space="preserve">, video monitoring, or </w:t>
      </w:r>
      <w:r w:rsidR="009A6F15" w:rsidRPr="009A6F15">
        <w:rPr>
          <w:rFonts w:ascii="Times New Roman" w:hAnsi="Times New Roman" w:cs="Times New Roman"/>
          <w:i/>
          <w:iCs/>
          <w:sz w:val="24"/>
          <w:szCs w:val="24"/>
        </w:rPr>
        <w:t>post-hoc</w:t>
      </w:r>
      <w:r w:rsidR="009A6F15">
        <w:rPr>
          <w:rFonts w:ascii="Times New Roman" w:hAnsi="Times New Roman" w:cs="Times New Roman"/>
          <w:sz w:val="24"/>
          <w:szCs w:val="24"/>
        </w:rPr>
        <w:t xml:space="preserve"> assessment of visitor impacts, such as campsite use </w:t>
      </w:r>
      <w:r w:rsidR="002A1BE5">
        <w:rPr>
          <w:rFonts w:ascii="Times New Roman" w:hAnsi="Times New Roman" w:cs="Times New Roman"/>
          <w:sz w:val="24"/>
          <w:szCs w:val="24"/>
        </w:rPr>
        <w:t xml:space="preserve"> </w:t>
      </w:r>
      <w:r w:rsidR="002A1BE5">
        <w:rPr>
          <w:rFonts w:ascii="Times New Roman" w:hAnsi="Times New Roman" w:cs="Times New Roman"/>
          <w:sz w:val="24"/>
          <w:szCs w:val="24"/>
        </w:rPr>
        <w:fldChar w:fldCharType="begin" w:fldLock="1"/>
      </w:r>
      <w:r w:rsidR="0047139F">
        <w:rPr>
          <w:rFonts w:ascii="Times New Roman" w:hAnsi="Times New Roman" w:cs="Times New Roman"/>
          <w:sz w:val="24"/>
          <w:szCs w:val="24"/>
        </w:rPr>
        <w:instrText>ADDIN CSL_CITATION {"citationItems":[{"id":"ITEM-1","itemData":{"DOI":"10.5849/jof.15-062","ISSN":"0022-1201","abstract":"Resource and experiential impacts associated with visitation to wilderness and other similar backcountry settings have long been addressed by land managers under the context of “carrying capacity” decisionmaking. Determining a maximum level of allowable use, below which high-quality resource and experiential conditions would be sustained, was an early focus in the 1960s and 1970s. However, decades of recreation ecology research have shown that the severity and areal extent of visitor impact problems are influenced by an interrelated array of use-related, environmental, and managerial factors. This complexity, with similar findings from social science research, prompted scientists and managers to develop more comprehensive carrying capacity frameworks, including a new Visitor Use Management framework. These frameworks rely on a diverse array of management strategies and actions, often termed a “management toolbox,” for resolving visitor impact problems. This article reviews the most recent and relevant recreation ecology studies that have been applied in wildland settings to avoid or minimize resource impacts. The key findings and their management implications are highlighted to support the professional management of common trail, recreation site, and wildlife impact problems. These studies illustrate the need to select from a more diverse array of impact management strategies and actions based on an evaluation of problems to identify the most influential factors that can be manipulated.Management and Policy Implications: Wildland managers struggle to balance their resource protection and recreation provision objectives. Over the course of six decades, the recreation carrying capacity concept has been repeatedly applied and revised as a management tool, evolving from a simplistic focus on fixed visitation limits to comprehensive decisionmaking frameworks focused on sustaining high-quality recreational opportunities. Recreation ecology studies investigating relationships between amount of visitor use and the magnitude of resource impacts consistently find that use and impact are strongly related only at initial and low levels of visitation, with weak correlations at higher use levels. However, unacceptable resource impacts often occur on well-established and heavily used trails and recreation sites: reducing use to improve their condition is generally an ineffective practice. An increasing number of recreation ecology studies describe the efficacy of alte…","author":[{"dropping-particle":"","family":"Marion","given":"Jeffrey L","non-dropping-particle":"","parse-names":false,"suffix":""}],"container-title":"Journal of Forestry","id":"ITEM-1","issue":"3","issued":{"date-parts":[["2016","5","1"]]},"page":"339-351","title":"A Review and Synthesis of Recreation Ecology Research Supporting Carrying Capacity and Visitor Use Management Decisionmaking","type":"article-journal","volume":"114"},"uris":["http://www.mendeley.com/documents/?uuid=3fa466ee-e952-4870-8e37-d002c45c4359"]},{"id":"ITEM-2","itemData":{"DOI":"https://doi.org/10.1016/j.jenvman.2013.03.036","ISSN":"0301-4797","abstract":"Understanding the ecological consequences of visitor use in parks and how visitors interact with resource conditions is essential for avoiding the impairment of park and protected area resources and visitor experiences. This study combined ecological measures of off-trail resource impacts with social science techniques to understand visitor judgments of ecological impacts and visitors' degree of exposure to impacts. Specifically, this paper reports on a novel integration of techniques that was tested in the Bear Lake Road Corridor of Rocky Mountain National Park, CO, USA in which resource change, as a result of visitor use off designated trails and sites, was assessed and combined with social science and visitor use data. Visual survey techniques were used to understand visitor judgments of ecologically important resource impacts and GPS-tracking of visitor use and behavior allowed for the determination of the degree of visitor's exposure to impaired resources. Results suggest that resource impacts are prevalent and intense throughout the area, but tended to be spatially limited in proximity to attraction sites. Visitors are interacting with resource conditions reported to be unacceptable for significant portions of their hikes. Overall, the work represents an advancement of predictive capabilities when managing park and protected area resources.","author":[{"dropping-particle":"","family":"D'Antonio","given":"Ashley","non-dropping-particle":"","parse-names":false,"suffix":""},{"dropping-particle":"","family":"Monz","given":"Christopher","non-dropping-particle":"","parse-names":false,"suffix":""},{"dropping-particle":"","family":"Newman","given":"Peter","non-dropping-particle":"","parse-names":false,"suffix":""},{"dropping-particle":"","family":"Lawson","given":"Steve","non-dropping-particle":"","parse-names":false,"suffix":""},{"dropping-particle":"","family":"Taff","given":"Derrick","non-dropping-particle":"","parse-names":false,"suffix":""}],"container-title":"Journal of Environmental Management","id":"ITEM-2","issued":{"date-parts":[["2013"]]},"page":"72-81","title":"Enhancing the utility of visitor impact assessment in parks and protected areas: A combined social–ecological approach","type":"article-journal","volume":"124"},"uris":["http://www.mendeley.com/documents/?uuid=720ee74f-4cd4-4d9e-af0c-34ee6aebbc63"]},{"id":"ITEM-3","itemData":{"DOI":"10.5888/pcd11.130147","ISSN":"1545-1151","abstract":"INTRODUCTION: Primary features of observational public health surveillance instruments are that they are valid, can reliably estimate physical activity behaviors, and are useful across diverse geographic settings and seasons by different users. Previous studies have reported the validity and reliability of Systematic Observation of Play and Recreation in Communities (SOPARC) to estimate park and user characteristics. The purpose of this investigation was to establish the use of SOPARC as a surveillance instrument and to situate the findings from the study in the context of the previous literature. METHODS: We collected data by using SOPARC for more than 3 years in 4 locations: Philadelphia, Pennsylvania; Columbus, Ohio; Chapel Hill/Durham, North Carolina; and Albuquerque, New Mexico during spring, summer, and autumn. RESULTS: We observed a total of 35,990 park users with an overall observer reliability of 94% (range, 85%-99%) conducted on 15% of the observations. We monitored the proportion of park users engaging in moderate-to-vigorous physical activity (MVPA) and found marginal differences in MVPA by both city and season. Park users visited parks significantly more on weekend days than weekdays and visitation rates tended to be lower during summer than spring. CONCLUSION: SOPARC is a highly reliable observation instrument that can be used to collect data across diverse geographic settings and seasons by different users and has potential as a surveillance system.","author":[{"dropping-particle":"","family":"Ward","given":"Phillip","non-dropping-particle":"","parse-names":false,"suffix":""},{"dropping-particle":"","family":"McKenzie","given":"Thomas L","non-dropping-particle":"","parse-names":false,"suffix":""},{"dropping-particle":"","family":"Cohen","given":"Deborah","non-dropping-particle":"","parse-names":false,"suffix":""},{"dropping-particle":"","family":"Evenson","given":"Kelly R","non-dropping-particle":"","parse-names":false,"suffix":""},{"dropping-particle":"","family":"Golinelli","given":"Daniela","non-dropping-particle":"","parse-names":false,"suffix":""},{"dropping-particle":"","family":"Hillier","given":"Amy","non-dropping-particle":"","parse-names":false,"suffix":""},{"dropping-particle":"","family":"Lapham","given":"Sandra C","non-dropping-particle":"","parse-names":false,"suffix":""},{"dropping-particle":"","family":"Williamson","given":"Stephanie","non-dropping-particle":"","parse-names":false,"suffix":""}],"container-title":"Preventing chronic disease","id":"ITEM-3","issued":{"date-parts":[["2014","1","2"]]},"language":"eng","page":"130147","publisher":"Centers for Disease Control and Prevention","title":"Physical activity surveillance in parks using direct observation","type":"article-journal","volume":"11"},"uris":["http://www.mendeley.com/documents/?uuid=16aa1738-fa2e-4789-b77f-52f34dd454ad"]}],"mendeley":{"formattedCitation":"(D’Antonio, Monz, Newman, Lawson, &amp; Taff, 2013; Ward et al., 2014; Marion, 2016)","plainTextFormattedCitation":"(D’Antonio, Monz, Newman, Lawson, &amp; Taff, 2013; Ward et al., 2014; Marion, 2016)","previouslyFormattedCitation":"(D’Antonio, Monz, Newman, Lawson, &amp; Taff, 2013; Ward et al., 2014; Marion, 2016)"},"properties":{"noteIndex":0},"schema":"https://github.com/citation-style-language/schema/raw/master/csl-citation.json"}</w:instrText>
      </w:r>
      <w:r w:rsidR="002A1BE5">
        <w:rPr>
          <w:rFonts w:ascii="Times New Roman" w:hAnsi="Times New Roman" w:cs="Times New Roman"/>
          <w:sz w:val="24"/>
          <w:szCs w:val="24"/>
        </w:rPr>
        <w:fldChar w:fldCharType="separate"/>
      </w:r>
      <w:r w:rsidR="009A6F15" w:rsidRPr="009A6F15">
        <w:rPr>
          <w:rFonts w:ascii="Times New Roman" w:hAnsi="Times New Roman" w:cs="Times New Roman"/>
          <w:noProof/>
          <w:sz w:val="24"/>
          <w:szCs w:val="24"/>
        </w:rPr>
        <w:t>(D’Antonio, Monz, Newman, Lawson, &amp; Taff, 2013; Ward et al., 2014; Marion, 2016)</w:t>
      </w:r>
      <w:r w:rsidR="002A1BE5">
        <w:rPr>
          <w:rFonts w:ascii="Times New Roman" w:hAnsi="Times New Roman" w:cs="Times New Roman"/>
          <w:sz w:val="24"/>
          <w:szCs w:val="24"/>
        </w:rPr>
        <w:fldChar w:fldCharType="end"/>
      </w:r>
      <w:r w:rsidR="009A6F15">
        <w:rPr>
          <w:rFonts w:ascii="Times New Roman" w:hAnsi="Times New Roman" w:cs="Times New Roman"/>
          <w:sz w:val="24"/>
          <w:szCs w:val="24"/>
        </w:rPr>
        <w:t xml:space="preserve">. </w:t>
      </w:r>
      <w:r w:rsidR="004F73B8" w:rsidRPr="008D2FA0">
        <w:rPr>
          <w:rFonts w:ascii="Times New Roman" w:hAnsi="Times New Roman" w:cs="Times New Roman"/>
          <w:sz w:val="24"/>
          <w:szCs w:val="24"/>
        </w:rPr>
        <w:t xml:space="preserve">However, this data </w:t>
      </w:r>
      <w:r w:rsidR="003A67A1">
        <w:rPr>
          <w:rFonts w:ascii="Times New Roman" w:hAnsi="Times New Roman" w:cs="Times New Roman"/>
          <w:sz w:val="24"/>
          <w:szCs w:val="24"/>
        </w:rPr>
        <w:t xml:space="preserve">often </w:t>
      </w:r>
      <w:r w:rsidR="004F73B8" w:rsidRPr="008D2FA0">
        <w:rPr>
          <w:rFonts w:ascii="Times New Roman" w:hAnsi="Times New Roman" w:cs="Times New Roman"/>
          <w:sz w:val="24"/>
          <w:szCs w:val="24"/>
        </w:rPr>
        <w:t xml:space="preserve">neglects any spatial component of what visitors do </w:t>
      </w:r>
      <w:r w:rsidR="003A67A1">
        <w:rPr>
          <w:rFonts w:ascii="Times New Roman" w:hAnsi="Times New Roman" w:cs="Times New Roman"/>
          <w:sz w:val="24"/>
          <w:szCs w:val="24"/>
        </w:rPr>
        <w:t>outside of</w:t>
      </w:r>
      <w:r w:rsidR="004F73B8" w:rsidRPr="008D2FA0">
        <w:rPr>
          <w:rFonts w:ascii="Times New Roman" w:hAnsi="Times New Roman" w:cs="Times New Roman"/>
          <w:sz w:val="24"/>
          <w:szCs w:val="24"/>
        </w:rPr>
        <w:t xml:space="preserve"> </w:t>
      </w:r>
      <w:r w:rsidR="00FD3C23" w:rsidRPr="008D2FA0">
        <w:rPr>
          <w:rFonts w:ascii="Times New Roman" w:hAnsi="Times New Roman" w:cs="Times New Roman"/>
          <w:sz w:val="24"/>
          <w:szCs w:val="24"/>
        </w:rPr>
        <w:t>control point</w:t>
      </w:r>
      <w:r w:rsidR="003A67A1">
        <w:rPr>
          <w:rFonts w:ascii="Times New Roman" w:hAnsi="Times New Roman" w:cs="Times New Roman"/>
          <w:sz w:val="24"/>
          <w:szCs w:val="24"/>
        </w:rPr>
        <w:t>s</w:t>
      </w:r>
      <w:r w:rsidR="00FD3C23" w:rsidRPr="008D2FA0">
        <w:rPr>
          <w:rFonts w:ascii="Times New Roman" w:hAnsi="Times New Roman" w:cs="Times New Roman"/>
          <w:sz w:val="24"/>
          <w:szCs w:val="24"/>
        </w:rPr>
        <w:t>.</w:t>
      </w:r>
      <w:r w:rsidR="004F73B8" w:rsidRPr="008D2FA0">
        <w:rPr>
          <w:rFonts w:ascii="Times New Roman" w:hAnsi="Times New Roman" w:cs="Times New Roman"/>
          <w:sz w:val="24"/>
          <w:szCs w:val="24"/>
        </w:rPr>
        <w:t xml:space="preserve"> </w:t>
      </w:r>
      <w:r w:rsidR="00AC1FC6" w:rsidRPr="008D2FA0">
        <w:rPr>
          <w:rFonts w:ascii="Times New Roman" w:hAnsi="Times New Roman" w:cs="Times New Roman"/>
          <w:sz w:val="24"/>
          <w:szCs w:val="24"/>
        </w:rPr>
        <w:t xml:space="preserve">Using social media </w:t>
      </w:r>
      <w:r w:rsidR="00152BDF" w:rsidRPr="008D2FA0">
        <w:rPr>
          <w:rFonts w:ascii="Times New Roman" w:hAnsi="Times New Roman" w:cs="Times New Roman"/>
          <w:sz w:val="24"/>
          <w:szCs w:val="24"/>
        </w:rPr>
        <w:t xml:space="preserve">can be effective to track actions and activity from geotags of </w:t>
      </w:r>
      <w:r w:rsidR="00E1238A">
        <w:rPr>
          <w:rFonts w:ascii="Times New Roman" w:hAnsi="Times New Roman" w:cs="Times New Roman"/>
          <w:sz w:val="24"/>
          <w:szCs w:val="24"/>
        </w:rPr>
        <w:t xml:space="preserve">publicly shared </w:t>
      </w:r>
      <w:r w:rsidR="00152BDF" w:rsidRPr="008D2FA0">
        <w:rPr>
          <w:rFonts w:ascii="Times New Roman" w:hAnsi="Times New Roman" w:cs="Times New Roman"/>
          <w:sz w:val="24"/>
          <w:szCs w:val="24"/>
        </w:rPr>
        <w:t>images</w:t>
      </w:r>
      <w:r w:rsidR="005141DE">
        <w:rPr>
          <w:rFonts w:ascii="Times New Roman" w:hAnsi="Times New Roman" w:cs="Times New Roman"/>
          <w:sz w:val="24"/>
          <w:szCs w:val="24"/>
        </w:rPr>
        <w:t xml:space="preserve">, posts, or tweets </w:t>
      </w:r>
      <w:r w:rsidR="00C41E4B">
        <w:rPr>
          <w:rFonts w:ascii="Times New Roman" w:hAnsi="Times New Roman" w:cs="Times New Roman"/>
          <w:sz w:val="24"/>
          <w:szCs w:val="24"/>
        </w:rPr>
        <w:fldChar w:fldCharType="begin" w:fldLock="1"/>
      </w:r>
      <w:r w:rsidR="00C41E4B">
        <w:rPr>
          <w:rFonts w:ascii="Times New Roman" w:hAnsi="Times New Roman" w:cs="Times New Roman"/>
          <w:sz w:val="24"/>
          <w:szCs w:val="24"/>
        </w:rPr>
        <w:instrText>ADDIN CSL_CITATION {"citationItems":[{"id":"ITEM-1","itemData":{"DOI":"10.1038/s41598-017-18007-4","ISSN":"2045-2322","abstract":"Social media data is increasingly used as a proxy for human activity in different environments, including protected areas, where collecting visitor information is often laborious and expensive, but important for management and marketing. Here, we compared data from Instagram, Twitter and Flickr, and assessed systematically how park popularity and temporal visitor counts derived from social media data perform against high-precision visitor statistics in 56 national parks in Finland and South Africa in 2014. We show that social media activity is highly associated with park popularity, and social media-based monthly visitation patterns match relatively well with the official visitor counts. However, there were considerable differences between platforms as Instagram clearly outperformed Twitter and Flickr. Furthermore, we show that social media data tend to perform better in more visited parks, and should always be used with caution. Based on stakeholder discussions we identified potential reasons why social media data and visitor statistics might not match: the geography and profile of the park, the visitor profile, and sudden events. Overall the results are encouraging in broader terms: Over 60% of the national parks globally have Twitter or Instagram activity, which could potentially inform global nature conservation.","author":[{"dropping-particle":"","family":"Tenkanen","given":"Henrikki","non-dropping-particle":"","parse-names":false,"suffix":""},{"dropping-particle":"","family":"Minin","given":"Enrico","non-dropping-particle":"Di","parse-names":false,"suffix":""},{"dropping-particle":"","family":"Heikinheimo","given":"Vuokko","non-dropping-particle":"","parse-names":false,"suffix":""},{"dropping-particle":"","family":"Hausmann","given":"Anna","non-dropping-particle":"","parse-names":false,"suffix":""},{"dropping-particle":"","family":"Herbst","given":"Marna","non-dropping-particle":"","parse-names":false,"suffix":""},{"dropping-particle":"","family":"Kajala","given":"Liisa","non-dropping-particle":"","parse-names":false,"suffix":""},{"dropping-particle":"","family":"Toivonen","given":"Tuuli","non-dropping-particle":"","parse-names":false,"suffix":""}],"container-title":"Scientific Reports","id":"ITEM-1","issue":"1","issued":{"date-parts":[["2017"]]},"page":"17615","title":"Instagram, Flickr, or Twitter: Assessing the usability of social media data for visitor monitoring in protected areas","type":"article-journal","volume":"7"},"uris":["http://www.mendeley.com/documents/?uuid=991375f8-e6e8-4445-9a59-b77916a84b8c"]},{"id":"ITEM-2","itemData":{"DOI":"https://doi.org/10.1016/j.landurbplan.2018.02.006","ISSN":"0169-2046","abstract":"Green space and parks in urban environments provide a range of ecosystem services and public benefits. However, planners and park managers can lack tools and resources to gather local information on how parks are used and what makes them desirable places for recreation and a wide variety of uses. Traditional survey methods to monitor park use and user preferences can be costly, time consuming, and challenging to apply at scale. Here, we overcome this limitation by using geotagged social media data to assess patterns of visitation to urban and peri-urban green space across park systems in the metropolitan area of the Twin Cities, Minnesota, USA. We find that parks with nearby water features, more amenities, greater accessibility from the presence of trails, and that are located within neighborhoods with higher population density, are associated with higher rates of visitation. As cities grow and shifts in demographics occur, more responsive management of public green space will become increasingly important to ensure urban parks provide ecosystem services and meet users’ needs. Using social media data to rapidly assess park use at a lower cost than traditional surveys has the potential to inform public green space management with targeted information on user behavior and values of urban residents.","author":[{"dropping-particle":"","family":"Donahue","given":"Marie L","non-dropping-particle":"","parse-names":false,"suffix":""},{"dropping-particle":"","family":"Keeler","given":"Bonnie L","non-dropping-particle":"","parse-names":false,"suffix":""},{"dropping-particle":"","family":"Wood","given":"Spencer A","non-dropping-particle":"","parse-names":false,"suffix":""},{"dropping-particle":"","family":"Fisher","given":"David M","non-dropping-particle":"","parse-names":false,"suffix":""},{"dropping-particle":"","family":"Hamstead","given":"Zoé A","non-dropping-particle":"","parse-names":false,"suffix":""},{"dropping-particle":"","family":"McPhearson","given":"Timon","non-dropping-particle":"","parse-names":false,"suffix":""}],"container-title":"Landscape and Urban Planning","id":"ITEM-2","issued":{"date-parts":[["2018"]]},"page":"1-10","title":"Using social media to understand drivers of urban park visitation in the Twin Cities, MN","type":"article-journal","volume":"175"},"uris":["http://www.mendeley.com/documents/?uuid=de0f6855-6c28-4f41-9085-e815e678ebd8"]}],"mendeley":{"formattedCitation":"(Tenkanen et al., 2017; Donahue et al., 2018)","plainTextFormattedCitation":"(Tenkanen et al., 2017; Donahue et al., 2018)","previouslyFormattedCitation":"(Tenkanen et al., 2017; Donahue et al., 2018)"},"properties":{"noteIndex":0},"schema":"https://github.com/citation-style-language/schema/raw/master/csl-citation.json"}</w:instrText>
      </w:r>
      <w:r w:rsidR="00C41E4B">
        <w:rPr>
          <w:rFonts w:ascii="Times New Roman" w:hAnsi="Times New Roman" w:cs="Times New Roman"/>
          <w:sz w:val="24"/>
          <w:szCs w:val="24"/>
        </w:rPr>
        <w:fldChar w:fldCharType="separate"/>
      </w:r>
      <w:r w:rsidR="00C41E4B" w:rsidRPr="00C41E4B">
        <w:rPr>
          <w:rFonts w:ascii="Times New Roman" w:hAnsi="Times New Roman" w:cs="Times New Roman"/>
          <w:noProof/>
          <w:sz w:val="24"/>
          <w:szCs w:val="24"/>
        </w:rPr>
        <w:t>(Tenkanen et al., 2017; Donahue et al., 2018)</w:t>
      </w:r>
      <w:r w:rsidR="00C41E4B">
        <w:rPr>
          <w:rFonts w:ascii="Times New Roman" w:hAnsi="Times New Roman" w:cs="Times New Roman"/>
          <w:sz w:val="24"/>
          <w:szCs w:val="24"/>
        </w:rPr>
        <w:fldChar w:fldCharType="end"/>
      </w:r>
      <w:r w:rsidR="00C41E4B">
        <w:rPr>
          <w:rFonts w:ascii="Times New Roman" w:hAnsi="Times New Roman" w:cs="Times New Roman"/>
          <w:sz w:val="24"/>
          <w:szCs w:val="24"/>
        </w:rPr>
        <w:t>,</w:t>
      </w:r>
      <w:r w:rsidR="00152BDF" w:rsidRPr="008D2FA0">
        <w:rPr>
          <w:rFonts w:ascii="Times New Roman" w:hAnsi="Times New Roman" w:cs="Times New Roman"/>
          <w:sz w:val="24"/>
          <w:szCs w:val="24"/>
        </w:rPr>
        <w:t xml:space="preserve"> but this data can be biased towards individual behaviours and points of interest</w:t>
      </w:r>
      <w:r w:rsidR="00C41E4B">
        <w:rPr>
          <w:rFonts w:ascii="Times New Roman" w:hAnsi="Times New Roman" w:cs="Times New Roman"/>
          <w:sz w:val="24"/>
          <w:szCs w:val="24"/>
        </w:rPr>
        <w:t xml:space="preserve"> </w:t>
      </w:r>
      <w:r w:rsidR="00C41E4B">
        <w:rPr>
          <w:rFonts w:ascii="Times New Roman" w:hAnsi="Times New Roman" w:cs="Times New Roman"/>
          <w:sz w:val="24"/>
          <w:szCs w:val="24"/>
        </w:rPr>
        <w:fldChar w:fldCharType="begin" w:fldLock="1"/>
      </w:r>
      <w:r w:rsidR="00106F94">
        <w:rPr>
          <w:rFonts w:ascii="Times New Roman" w:hAnsi="Times New Roman" w:cs="Times New Roman"/>
          <w:sz w:val="24"/>
          <w:szCs w:val="24"/>
        </w:rPr>
        <w:instrText>ADDIN CSL_CITATION {"citationItems":[{"id":"ITEM-1","itemData":{"DOI":"10.1007/s00267-020-01373-7","ISSN":"1432-1009","abstract":"Social media are being increasingly used to inform visitor use management in parks and protected areas. We review the state of the scientific literature to understand the ways social media has been, and can be, used to measure visitation, spatial patterns of use, and visitors’ experiences in parks and protected areas. Geotagged social media are a good proxy for actual visitation; however, the correlations observed by previous studies between social media and other sources of visitation data vary substantially. Most studies using social media to measure visitation aggregate data across many years, with very few testing the use of social media as a visitation proxy at smaller temporal scales. No studies have tested the use of social media to estimate visitation in near real-time. Studies have used geotags and GPS tracks to understand spatial patterns of where visitors travel within parks, and how that may relate to other variables (e.g., infrastructure), or differ by visitor type. Researchers have also found the text content, photograph content, and geotags from social media posts useful to understand aspects of visitors’ experiences, such as behaviors, preferences, and sentiment. The most cited concern with using social media is that this data may not be representative of all park users. Collectively, this body of research demonstrates a broad range of applications for social media. We synthesize our findings by identifying gaps and opportunities for future research and presenting a set of best practices for using social media in parks and protected areas.","author":[{"dropping-particle":"","family":"Wilkins","given":"Emily J","non-dropping-particle":"","parse-names":false,"suffix":""},{"dropping-particle":"","family":"Wood","given":"Spencer A","non-dropping-particle":"","parse-names":false,"suffix":""},{"dropping-particle":"","family":"Smith","given":"Jordan W","non-dropping-particle":"","parse-names":false,"suffix":""}],"container-title":"Environmental Management","id":"ITEM-1","issue":"1","issued":{"date-parts":[["2021"]]},"page":"120-132","title":"Uses and Limitations of Social Media to Inform Visitor Use Management in Parks and Protected Areas: A Systematic Review","type":"article-journal","volume":"67"},"uris":["http://www.mendeley.com/documents/?uuid=31a4a3a7-8913-485a-aa53-75af8277fd40"]}],"mendeley":{"formattedCitation":"(Wilkins, Wood, &amp; Smith, 2021)","plainTextFormattedCitation":"(Wilkins, Wood, &amp; Smith, 2021)","previouslyFormattedCitation":"(Wilkins, Wood, &amp; Smith, 2021)"},"properties":{"noteIndex":0},"schema":"https://github.com/citation-style-language/schema/raw/master/csl-citation.json"}</w:instrText>
      </w:r>
      <w:r w:rsidR="00C41E4B">
        <w:rPr>
          <w:rFonts w:ascii="Times New Roman" w:hAnsi="Times New Roman" w:cs="Times New Roman"/>
          <w:sz w:val="24"/>
          <w:szCs w:val="24"/>
        </w:rPr>
        <w:fldChar w:fldCharType="separate"/>
      </w:r>
      <w:r w:rsidR="00C41E4B" w:rsidRPr="00C41E4B">
        <w:rPr>
          <w:rFonts w:ascii="Times New Roman" w:hAnsi="Times New Roman" w:cs="Times New Roman"/>
          <w:noProof/>
          <w:sz w:val="24"/>
          <w:szCs w:val="24"/>
        </w:rPr>
        <w:t>(Wilkins, Wood, &amp; Smith, 2021)</w:t>
      </w:r>
      <w:r w:rsidR="00C41E4B">
        <w:rPr>
          <w:rFonts w:ascii="Times New Roman" w:hAnsi="Times New Roman" w:cs="Times New Roman"/>
          <w:sz w:val="24"/>
          <w:szCs w:val="24"/>
        </w:rPr>
        <w:fldChar w:fldCharType="end"/>
      </w:r>
      <w:r w:rsidR="00152BDF" w:rsidRPr="008D2FA0">
        <w:rPr>
          <w:rFonts w:ascii="Times New Roman" w:hAnsi="Times New Roman" w:cs="Times New Roman"/>
          <w:sz w:val="24"/>
          <w:szCs w:val="24"/>
        </w:rPr>
        <w:t xml:space="preserve">. With the widespread adoption of mobile smart phones, using anonymized mobility data </w:t>
      </w:r>
      <w:r w:rsidR="001B31A0" w:rsidRPr="008D2FA0">
        <w:rPr>
          <w:rFonts w:ascii="Times New Roman" w:hAnsi="Times New Roman" w:cs="Times New Roman"/>
          <w:sz w:val="24"/>
          <w:szCs w:val="24"/>
        </w:rPr>
        <w:t xml:space="preserve">can be an effective tool in determining </w:t>
      </w:r>
      <w:r w:rsidR="003C710F">
        <w:rPr>
          <w:rFonts w:ascii="Times New Roman" w:hAnsi="Times New Roman" w:cs="Times New Roman"/>
          <w:sz w:val="24"/>
          <w:szCs w:val="24"/>
        </w:rPr>
        <w:t xml:space="preserve">patterns in </w:t>
      </w:r>
      <w:r w:rsidR="001B31A0" w:rsidRPr="008D2FA0">
        <w:rPr>
          <w:rFonts w:ascii="Times New Roman" w:hAnsi="Times New Roman" w:cs="Times New Roman"/>
          <w:sz w:val="24"/>
          <w:szCs w:val="24"/>
        </w:rPr>
        <w:t xml:space="preserve">use of </w:t>
      </w:r>
      <w:r w:rsidR="00E06C42">
        <w:rPr>
          <w:rFonts w:ascii="Times New Roman" w:hAnsi="Times New Roman" w:cs="Times New Roman"/>
          <w:sz w:val="24"/>
          <w:szCs w:val="24"/>
        </w:rPr>
        <w:t>green spaces</w:t>
      </w:r>
      <w:r w:rsidR="001B31A0" w:rsidRPr="008D2FA0">
        <w:rPr>
          <w:rFonts w:ascii="Times New Roman" w:hAnsi="Times New Roman" w:cs="Times New Roman"/>
          <w:sz w:val="24"/>
          <w:szCs w:val="24"/>
        </w:rPr>
        <w:t xml:space="preserve"> </w:t>
      </w:r>
    </w:p>
    <w:p w14:paraId="549611C4" w14:textId="57D01D79" w:rsidR="008D45B4" w:rsidRPr="008D2FA0" w:rsidRDefault="000E37EC"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Challenges with anonymized mobile data</w:t>
      </w:r>
      <w:r w:rsidR="00FA70B8" w:rsidRPr="008D2FA0">
        <w:rPr>
          <w:rFonts w:ascii="Times New Roman" w:hAnsi="Times New Roman" w:cs="Times New Roman"/>
          <w:i/>
          <w:iCs/>
          <w:sz w:val="24"/>
          <w:szCs w:val="24"/>
        </w:rPr>
        <w:t xml:space="preserve"> for conservation</w:t>
      </w:r>
    </w:p>
    <w:p w14:paraId="566324EA" w14:textId="40C7B913" w:rsidR="000E37EC" w:rsidRPr="008D2FA0" w:rsidRDefault="00516EEE"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t xml:space="preserve">Using location data from mobile </w:t>
      </w:r>
      <w:r w:rsidR="00A226CE">
        <w:rPr>
          <w:rFonts w:ascii="Times New Roman" w:hAnsi="Times New Roman" w:cs="Times New Roman"/>
          <w:sz w:val="24"/>
          <w:szCs w:val="24"/>
        </w:rPr>
        <w:t xml:space="preserve">devices that </w:t>
      </w:r>
      <w:r w:rsidR="00643973">
        <w:rPr>
          <w:rFonts w:ascii="Times New Roman" w:hAnsi="Times New Roman" w:cs="Times New Roman"/>
          <w:sz w:val="24"/>
          <w:szCs w:val="24"/>
        </w:rPr>
        <w:t>identify user location</w:t>
      </w:r>
      <w:r w:rsidRPr="008D2FA0">
        <w:rPr>
          <w:rFonts w:ascii="Times New Roman" w:hAnsi="Times New Roman" w:cs="Times New Roman"/>
          <w:sz w:val="24"/>
          <w:szCs w:val="24"/>
        </w:rPr>
        <w:t xml:space="preserve"> (hereafter mobility data) is not without limitations.</w:t>
      </w:r>
      <w:r w:rsidR="00643973">
        <w:rPr>
          <w:rFonts w:ascii="Times New Roman" w:hAnsi="Times New Roman" w:cs="Times New Roman"/>
          <w:sz w:val="24"/>
          <w:szCs w:val="24"/>
        </w:rPr>
        <w:t xml:space="preserve"> The challenges associated with using mobility data for estimating human activity</w:t>
      </w:r>
      <w:r w:rsidR="00C423AC">
        <w:rPr>
          <w:rFonts w:ascii="Times New Roman" w:hAnsi="Times New Roman" w:cs="Times New Roman"/>
          <w:sz w:val="24"/>
          <w:szCs w:val="24"/>
        </w:rPr>
        <w:t xml:space="preserve"> can</w:t>
      </w:r>
      <w:r w:rsidR="00643973">
        <w:rPr>
          <w:rFonts w:ascii="Times New Roman" w:hAnsi="Times New Roman" w:cs="Times New Roman"/>
          <w:sz w:val="24"/>
          <w:szCs w:val="24"/>
        </w:rPr>
        <w:t xml:space="preserve"> be generalized into social, technical, and data issues (Table 1).</w:t>
      </w:r>
      <w:r w:rsidR="00C423AC">
        <w:rPr>
          <w:rFonts w:ascii="Times New Roman" w:hAnsi="Times New Roman" w:cs="Times New Roman"/>
          <w:sz w:val="24"/>
          <w:szCs w:val="24"/>
        </w:rPr>
        <w:t xml:space="preserve"> Understanding these challenges is crucial when deciding to infer human activity, but there are specific considerations with respect to green spaces. For example, m</w:t>
      </w:r>
      <w:r w:rsidR="009E5111" w:rsidRPr="008D2FA0">
        <w:rPr>
          <w:rFonts w:ascii="Times New Roman" w:hAnsi="Times New Roman" w:cs="Times New Roman"/>
          <w:sz w:val="24"/>
          <w:szCs w:val="24"/>
        </w:rPr>
        <w:t>obility data is often anonymized by aggregating activity patterns to coarse resolutions to prevent harassment, crime, or injustice</w:t>
      </w:r>
      <w:r w:rsidR="00106F94">
        <w:rPr>
          <w:rFonts w:ascii="Times New Roman" w:hAnsi="Times New Roman" w:cs="Times New Roman"/>
          <w:sz w:val="24"/>
          <w:szCs w:val="24"/>
        </w:rPr>
        <w:t xml:space="preserve"> </w:t>
      </w:r>
      <w:r w:rsidR="00106F94">
        <w:rPr>
          <w:rFonts w:ascii="Times New Roman" w:hAnsi="Times New Roman" w:cs="Times New Roman"/>
          <w:sz w:val="24"/>
          <w:szCs w:val="24"/>
        </w:rPr>
        <w:fldChar w:fldCharType="begin" w:fldLock="1"/>
      </w:r>
      <w:r w:rsidR="00106F94">
        <w:rPr>
          <w:rFonts w:ascii="Times New Roman" w:hAnsi="Times New Roman" w:cs="Times New Roman"/>
          <w:sz w:val="24"/>
          <w:szCs w:val="24"/>
        </w:rPr>
        <w:instrText>ADDIN CSL_CITATION {"citationItems":[{"id":"ITEM-1","itemData":{"DOI":"10.1038/srep01376","ISSN":"2045-2322","abstract":"We study fifteen months of human mobility data for one and a half million individuals and find that human mobility traces are highly unique. In fact, in a dataset where the location of an individual is specified hourly and with a spatial resolution equal to that given by the carrier's antennas, four spatio-temporal points are enough to uniquely identify 95% of the individuals. We coarsen the data spatially and temporally to find a formula for the uniqueness of human mobility traces given their resolution and the available outside information. This formula shows that the uniqueness of mobility traces decays approximately as the 1/10 power of their resolution. Hence, even coarse datasets provide little anonymity. These findings represent fundamental constraints to an individual's privacy and have important implications for the design of frameworks and institutions dedicated to protect the privacy of individuals.","author":[{"dropping-particle":"","family":"Montjoye","given":"Yves-Alexandre","non-dropping-particle":"de","parse-names":false,"suffix":""},{"dropping-particle":"","family":"Hidalgo","given":"César A","non-dropping-particle":"","parse-names":false,"suffix":""},{"dropping-particle":"","family":"Verleysen","given":"Michel","non-dropping-particle":"","parse-names":false,"suffix":""},{"dropping-particle":"","family":"Blondel","given":"Vincent D","non-dropping-particle":"","parse-names":false,"suffix":""}],"container-title":"Scientific Reports","id":"ITEM-1","issue":"1","issued":{"date-parts":[["2013"]]},"page":"1376","title":"Unique in the Crowd: The privacy bounds of human mobility","type":"article-journal","volume":"3"},"uris":["http://www.mendeley.com/documents/?uuid=69c5366f-7dd4-44c9-b083-0e8837a1825a"]},{"id":"ITEM-2","itemData":{"author":[{"dropping-particle":"","family":"UnitedNations","given":"","non-dropping-particle":"","parse-names":false,"suffix":""}],"container-title":"Global Pulse Project Series no18","id":"ITEM-2","issued":{"date-parts":[["2015"]]},"title":"Mapping the risk-utility landscape: mobile data for sustainable development and humanitarian action","type":"article-journal"},"uris":["http://www.mendeley.com/documents/?uuid=08b0666c-be15-4c76-ab54-49afea104862"]}],"mendeley":{"formattedCitation":"(de Montjoye, Hidalgo, Verleysen, &amp; Blondel, 2013; UnitedNations, 2015)","plainTextFormattedCitation":"(de Montjoye, Hidalgo, Verleysen, &amp; Blondel, 2013; UnitedNations, 2015)","previouslyFormattedCitation":"(de Montjoye, Hidalgo, Verleysen, &amp; Blondel, 2013; UnitedNations, 2015)"},"properties":{"noteIndex":0},"schema":"https://github.com/citation-style-language/schema/raw/master/csl-citation.json"}</w:instrText>
      </w:r>
      <w:r w:rsidR="00106F94">
        <w:rPr>
          <w:rFonts w:ascii="Times New Roman" w:hAnsi="Times New Roman" w:cs="Times New Roman"/>
          <w:sz w:val="24"/>
          <w:szCs w:val="24"/>
        </w:rPr>
        <w:fldChar w:fldCharType="separate"/>
      </w:r>
      <w:r w:rsidR="00106F94" w:rsidRPr="00106F94">
        <w:rPr>
          <w:rFonts w:ascii="Times New Roman" w:hAnsi="Times New Roman" w:cs="Times New Roman"/>
          <w:noProof/>
          <w:sz w:val="24"/>
          <w:szCs w:val="24"/>
        </w:rPr>
        <w:t>(de Montjoye, Hidalgo, Verleysen, &amp; Blondel, 2013; UnitedNations, 2015)</w:t>
      </w:r>
      <w:r w:rsidR="00106F94">
        <w:rPr>
          <w:rFonts w:ascii="Times New Roman" w:hAnsi="Times New Roman" w:cs="Times New Roman"/>
          <w:sz w:val="24"/>
          <w:szCs w:val="24"/>
        </w:rPr>
        <w:fldChar w:fldCharType="end"/>
      </w:r>
      <w:r w:rsidR="00CD54D8" w:rsidRPr="008D2FA0">
        <w:rPr>
          <w:rFonts w:ascii="Times New Roman" w:hAnsi="Times New Roman" w:cs="Times New Roman"/>
          <w:sz w:val="24"/>
          <w:szCs w:val="24"/>
        </w:rPr>
        <w:t xml:space="preserve">. </w:t>
      </w:r>
      <w:r w:rsidR="00D94BF2" w:rsidRPr="008D2FA0">
        <w:rPr>
          <w:rFonts w:ascii="Times New Roman" w:hAnsi="Times New Roman" w:cs="Times New Roman"/>
          <w:sz w:val="24"/>
          <w:szCs w:val="24"/>
        </w:rPr>
        <w:t>This prevents tracking individual behaviours, activity by demographics, or fine resolution of activity patterns (e.g., &lt; 10</w:t>
      </w:r>
      <w:r w:rsidR="0038250D">
        <w:rPr>
          <w:rFonts w:ascii="Times New Roman" w:hAnsi="Times New Roman" w:cs="Times New Roman"/>
          <w:sz w:val="24"/>
          <w:szCs w:val="24"/>
        </w:rPr>
        <w:t>0</w:t>
      </w:r>
      <w:r w:rsidR="00D94BF2" w:rsidRPr="008D2FA0">
        <w:rPr>
          <w:rFonts w:ascii="Times New Roman" w:hAnsi="Times New Roman" w:cs="Times New Roman"/>
          <w:sz w:val="24"/>
          <w:szCs w:val="24"/>
        </w:rPr>
        <w:t xml:space="preserve"> m).</w:t>
      </w:r>
      <w:r w:rsidR="0006272C" w:rsidRPr="008D2FA0">
        <w:rPr>
          <w:rFonts w:ascii="Times New Roman" w:hAnsi="Times New Roman" w:cs="Times New Roman"/>
          <w:sz w:val="24"/>
          <w:szCs w:val="24"/>
        </w:rPr>
        <w:t xml:space="preserve"> Often </w:t>
      </w:r>
      <w:r w:rsidR="00E06C42">
        <w:rPr>
          <w:rFonts w:ascii="Times New Roman" w:hAnsi="Times New Roman" w:cs="Times New Roman"/>
          <w:sz w:val="24"/>
          <w:szCs w:val="24"/>
        </w:rPr>
        <w:t>green spaces found in urbanizing areas</w:t>
      </w:r>
      <w:r w:rsidR="0006272C" w:rsidRPr="008D2FA0">
        <w:rPr>
          <w:rFonts w:ascii="Times New Roman" w:hAnsi="Times New Roman" w:cs="Times New Roman"/>
          <w:sz w:val="24"/>
          <w:szCs w:val="24"/>
        </w:rPr>
        <w:t xml:space="preserve"> are not very large, so discerning activity within the </w:t>
      </w:r>
      <w:r w:rsidR="00E06C42">
        <w:rPr>
          <w:rFonts w:ascii="Times New Roman" w:hAnsi="Times New Roman" w:cs="Times New Roman"/>
          <w:sz w:val="24"/>
          <w:szCs w:val="24"/>
        </w:rPr>
        <w:t xml:space="preserve">green </w:t>
      </w:r>
      <w:r w:rsidR="0006272C" w:rsidRPr="008D2FA0">
        <w:rPr>
          <w:rFonts w:ascii="Times New Roman" w:hAnsi="Times New Roman" w:cs="Times New Roman"/>
          <w:sz w:val="24"/>
          <w:szCs w:val="24"/>
        </w:rPr>
        <w:t xml:space="preserve">space relative to nearby city development can be difficult. This becomes particularly problematic on </w:t>
      </w:r>
      <w:r w:rsidR="00E06C42">
        <w:rPr>
          <w:rFonts w:ascii="Times New Roman" w:hAnsi="Times New Roman" w:cs="Times New Roman"/>
          <w:sz w:val="24"/>
          <w:szCs w:val="24"/>
        </w:rPr>
        <w:t>green space</w:t>
      </w:r>
      <w:r w:rsidR="00E1238A" w:rsidRPr="008D2FA0">
        <w:rPr>
          <w:rFonts w:ascii="Times New Roman" w:hAnsi="Times New Roman" w:cs="Times New Roman"/>
          <w:sz w:val="24"/>
          <w:szCs w:val="24"/>
        </w:rPr>
        <w:t xml:space="preserve"> </w:t>
      </w:r>
      <w:r w:rsidR="0006272C" w:rsidRPr="008D2FA0">
        <w:rPr>
          <w:rFonts w:ascii="Times New Roman" w:hAnsi="Times New Roman" w:cs="Times New Roman"/>
          <w:sz w:val="24"/>
          <w:szCs w:val="24"/>
        </w:rPr>
        <w:t xml:space="preserve">boundaries that are </w:t>
      </w:r>
      <w:r w:rsidR="0038250D">
        <w:rPr>
          <w:rFonts w:ascii="Times New Roman" w:hAnsi="Times New Roman" w:cs="Times New Roman"/>
          <w:sz w:val="24"/>
          <w:szCs w:val="24"/>
        </w:rPr>
        <w:t xml:space="preserve">delineated by </w:t>
      </w:r>
      <w:r w:rsidR="001204F2">
        <w:rPr>
          <w:rFonts w:ascii="Times New Roman" w:hAnsi="Times New Roman" w:cs="Times New Roman"/>
          <w:sz w:val="24"/>
          <w:szCs w:val="24"/>
        </w:rPr>
        <w:t xml:space="preserve">private </w:t>
      </w:r>
      <w:r w:rsidR="0006272C" w:rsidRPr="008D2FA0">
        <w:rPr>
          <w:rFonts w:ascii="Times New Roman" w:hAnsi="Times New Roman" w:cs="Times New Roman"/>
          <w:sz w:val="24"/>
          <w:szCs w:val="24"/>
        </w:rPr>
        <w:t>residential</w:t>
      </w:r>
      <w:r w:rsidR="00E1238A">
        <w:rPr>
          <w:rFonts w:ascii="Times New Roman" w:hAnsi="Times New Roman" w:cs="Times New Roman"/>
          <w:sz w:val="24"/>
          <w:szCs w:val="24"/>
        </w:rPr>
        <w:t xml:space="preserve"> properties</w:t>
      </w:r>
      <w:r w:rsidR="0006272C" w:rsidRPr="008D2FA0">
        <w:rPr>
          <w:rFonts w:ascii="Times New Roman" w:hAnsi="Times New Roman" w:cs="Times New Roman"/>
          <w:sz w:val="24"/>
          <w:szCs w:val="24"/>
        </w:rPr>
        <w:t xml:space="preserve"> or high-traffic roads. Mobility data </w:t>
      </w:r>
      <w:r w:rsidR="00E1238A">
        <w:rPr>
          <w:rFonts w:ascii="Times New Roman" w:hAnsi="Times New Roman" w:cs="Times New Roman"/>
          <w:sz w:val="24"/>
          <w:szCs w:val="24"/>
        </w:rPr>
        <w:t xml:space="preserve">are </w:t>
      </w:r>
      <w:r w:rsidR="0006272C" w:rsidRPr="008D2FA0">
        <w:rPr>
          <w:rFonts w:ascii="Times New Roman" w:hAnsi="Times New Roman" w:cs="Times New Roman"/>
          <w:sz w:val="24"/>
          <w:szCs w:val="24"/>
        </w:rPr>
        <w:t xml:space="preserve">rarely separated by mode of transportation </w:t>
      </w:r>
      <w:r w:rsidR="0006272C" w:rsidRPr="008D2FA0">
        <w:rPr>
          <w:rFonts w:ascii="Times New Roman" w:hAnsi="Times New Roman" w:cs="Times New Roman"/>
          <w:sz w:val="24"/>
          <w:szCs w:val="24"/>
        </w:rPr>
        <w:lastRenderedPageBreak/>
        <w:t>(e.g., pedestrian, cyclist, motorist) and thus differentiating between cars driving along the boundaries and hikers within the</w:t>
      </w:r>
      <w:r w:rsidR="0038250D">
        <w:rPr>
          <w:rFonts w:ascii="Times New Roman" w:hAnsi="Times New Roman" w:cs="Times New Roman"/>
          <w:sz w:val="24"/>
          <w:szCs w:val="24"/>
        </w:rPr>
        <w:t xml:space="preserve"> adjacent</w:t>
      </w:r>
      <w:r w:rsidR="0006272C" w:rsidRPr="008D2FA0">
        <w:rPr>
          <w:rFonts w:ascii="Times New Roman" w:hAnsi="Times New Roman" w:cs="Times New Roman"/>
          <w:sz w:val="24"/>
          <w:szCs w:val="24"/>
        </w:rPr>
        <w:t xml:space="preserve"> </w:t>
      </w:r>
      <w:r w:rsidR="00E06C42">
        <w:rPr>
          <w:rFonts w:ascii="Times New Roman" w:hAnsi="Times New Roman" w:cs="Times New Roman"/>
          <w:sz w:val="24"/>
          <w:szCs w:val="24"/>
        </w:rPr>
        <w:t>green space</w:t>
      </w:r>
      <w:r w:rsidR="00E1238A" w:rsidRPr="008D2FA0">
        <w:rPr>
          <w:rFonts w:ascii="Times New Roman" w:hAnsi="Times New Roman" w:cs="Times New Roman"/>
          <w:sz w:val="24"/>
          <w:szCs w:val="24"/>
        </w:rPr>
        <w:t xml:space="preserve"> </w:t>
      </w:r>
      <w:r w:rsidR="0006272C" w:rsidRPr="008D2FA0">
        <w:rPr>
          <w:rFonts w:ascii="Times New Roman" w:hAnsi="Times New Roman" w:cs="Times New Roman"/>
          <w:sz w:val="24"/>
          <w:szCs w:val="24"/>
        </w:rPr>
        <w:t xml:space="preserve">can be difficult at coarse scales. </w:t>
      </w:r>
      <w:r w:rsidR="00FA70B8" w:rsidRPr="008D2FA0">
        <w:rPr>
          <w:rFonts w:ascii="Times New Roman" w:hAnsi="Times New Roman" w:cs="Times New Roman"/>
          <w:sz w:val="24"/>
          <w:szCs w:val="24"/>
        </w:rPr>
        <w:t xml:space="preserve">Similarly, determining </w:t>
      </w:r>
      <w:r w:rsidR="001204F2">
        <w:rPr>
          <w:rFonts w:ascii="Times New Roman" w:hAnsi="Times New Roman" w:cs="Times New Roman"/>
          <w:sz w:val="24"/>
          <w:szCs w:val="24"/>
        </w:rPr>
        <w:t xml:space="preserve">behaviour of individual </w:t>
      </w:r>
      <w:r w:rsidR="00FA70B8" w:rsidRPr="008D2FA0">
        <w:rPr>
          <w:rFonts w:ascii="Times New Roman" w:hAnsi="Times New Roman" w:cs="Times New Roman"/>
          <w:sz w:val="24"/>
          <w:szCs w:val="24"/>
        </w:rPr>
        <w:t>from mobility data requires some assumptions</w:t>
      </w:r>
      <w:r w:rsidR="001204F2">
        <w:rPr>
          <w:rFonts w:ascii="Times New Roman" w:hAnsi="Times New Roman" w:cs="Times New Roman"/>
          <w:sz w:val="24"/>
          <w:szCs w:val="24"/>
        </w:rPr>
        <w:t xml:space="preserve"> (Table 1)</w:t>
      </w:r>
      <w:r w:rsidR="00FA70B8" w:rsidRPr="008D2FA0">
        <w:rPr>
          <w:rFonts w:ascii="Times New Roman" w:hAnsi="Times New Roman" w:cs="Times New Roman"/>
          <w:sz w:val="24"/>
          <w:szCs w:val="24"/>
        </w:rPr>
        <w:t xml:space="preserve">. One can infer </w:t>
      </w:r>
      <w:r w:rsidR="00724BAF" w:rsidRPr="008D2FA0">
        <w:rPr>
          <w:rFonts w:ascii="Times New Roman" w:hAnsi="Times New Roman" w:cs="Times New Roman"/>
          <w:sz w:val="24"/>
          <w:szCs w:val="24"/>
        </w:rPr>
        <w:t>activity at a beach or picnic area could represent swimming and socializing respectively, but neither is definitive and</w:t>
      </w:r>
      <w:r w:rsidR="00233599">
        <w:rPr>
          <w:rFonts w:ascii="Times New Roman" w:hAnsi="Times New Roman" w:cs="Times New Roman"/>
          <w:sz w:val="24"/>
          <w:szCs w:val="24"/>
        </w:rPr>
        <w:t xml:space="preserve"> </w:t>
      </w:r>
      <w:r w:rsidR="00724BAF" w:rsidRPr="008D2FA0">
        <w:rPr>
          <w:rFonts w:ascii="Times New Roman" w:hAnsi="Times New Roman" w:cs="Times New Roman"/>
          <w:sz w:val="24"/>
          <w:szCs w:val="24"/>
        </w:rPr>
        <w:t>require</w:t>
      </w:r>
      <w:r w:rsidR="001204F2">
        <w:rPr>
          <w:rFonts w:ascii="Times New Roman" w:hAnsi="Times New Roman" w:cs="Times New Roman"/>
          <w:sz w:val="24"/>
          <w:szCs w:val="24"/>
        </w:rPr>
        <w:t>s</w:t>
      </w:r>
      <w:r w:rsidR="00724BAF" w:rsidRPr="008D2FA0">
        <w:rPr>
          <w:rFonts w:ascii="Times New Roman" w:hAnsi="Times New Roman" w:cs="Times New Roman"/>
          <w:sz w:val="24"/>
          <w:szCs w:val="24"/>
        </w:rPr>
        <w:t xml:space="preserve"> knowledge </w:t>
      </w:r>
      <w:r w:rsidR="0096649D">
        <w:rPr>
          <w:rFonts w:ascii="Times New Roman" w:hAnsi="Times New Roman" w:cs="Times New Roman"/>
          <w:sz w:val="24"/>
          <w:szCs w:val="24"/>
        </w:rPr>
        <w:t>of</w:t>
      </w:r>
      <w:r w:rsidR="0096649D" w:rsidRPr="008D2FA0">
        <w:rPr>
          <w:rFonts w:ascii="Times New Roman" w:hAnsi="Times New Roman" w:cs="Times New Roman"/>
          <w:sz w:val="24"/>
          <w:szCs w:val="24"/>
        </w:rPr>
        <w:t xml:space="preserve"> </w:t>
      </w:r>
      <w:r w:rsidR="00233599">
        <w:rPr>
          <w:rFonts w:ascii="Times New Roman" w:hAnsi="Times New Roman" w:cs="Times New Roman"/>
          <w:sz w:val="24"/>
          <w:szCs w:val="24"/>
        </w:rPr>
        <w:t xml:space="preserve">how </w:t>
      </w:r>
      <w:r w:rsidR="00724BAF" w:rsidRPr="008D2FA0">
        <w:rPr>
          <w:rFonts w:ascii="Times New Roman" w:hAnsi="Times New Roman" w:cs="Times New Roman"/>
          <w:sz w:val="24"/>
          <w:szCs w:val="24"/>
        </w:rPr>
        <w:t>land cover</w:t>
      </w:r>
      <w:r w:rsidR="00233599">
        <w:rPr>
          <w:rFonts w:ascii="Times New Roman" w:hAnsi="Times New Roman" w:cs="Times New Roman"/>
          <w:sz w:val="24"/>
          <w:szCs w:val="24"/>
        </w:rPr>
        <w:t xml:space="preserve"> matches activity</w:t>
      </w:r>
      <w:r w:rsidR="0001425E">
        <w:rPr>
          <w:rFonts w:ascii="Times New Roman" w:hAnsi="Times New Roman" w:cs="Times New Roman"/>
          <w:sz w:val="24"/>
          <w:szCs w:val="24"/>
        </w:rPr>
        <w:t xml:space="preserve"> </w:t>
      </w:r>
      <w:r w:rsidR="00233599">
        <w:rPr>
          <w:rFonts w:ascii="Times New Roman" w:hAnsi="Times New Roman" w:cs="Times New Roman"/>
          <w:sz w:val="24"/>
          <w:szCs w:val="24"/>
        </w:rPr>
        <w:t>type</w:t>
      </w:r>
      <w:r w:rsidR="00724BAF" w:rsidRPr="008D2FA0">
        <w:rPr>
          <w:rFonts w:ascii="Times New Roman" w:hAnsi="Times New Roman" w:cs="Times New Roman"/>
          <w:sz w:val="24"/>
          <w:szCs w:val="24"/>
        </w:rPr>
        <w:t xml:space="preserve">. </w:t>
      </w:r>
      <w:r w:rsidR="00900F01" w:rsidRPr="008D2FA0">
        <w:rPr>
          <w:rFonts w:ascii="Times New Roman" w:hAnsi="Times New Roman" w:cs="Times New Roman"/>
          <w:sz w:val="24"/>
          <w:szCs w:val="24"/>
        </w:rPr>
        <w:t xml:space="preserve">Another common challenge with anonymized mobility data is thresholding to remove activity patterns below a certain level to prevent tracking select individuals on private properties. </w:t>
      </w:r>
      <w:r w:rsidR="00E06C42">
        <w:rPr>
          <w:rFonts w:ascii="Times New Roman" w:hAnsi="Times New Roman" w:cs="Times New Roman"/>
          <w:sz w:val="24"/>
          <w:szCs w:val="24"/>
        </w:rPr>
        <w:t>Green spaces</w:t>
      </w:r>
      <w:r w:rsidR="00900F01" w:rsidRPr="008D2FA0">
        <w:rPr>
          <w:rFonts w:ascii="Times New Roman" w:hAnsi="Times New Roman" w:cs="Times New Roman"/>
          <w:sz w:val="24"/>
          <w:szCs w:val="24"/>
        </w:rPr>
        <w:t xml:space="preserve"> often have relatively less activity compared to adjacent </w:t>
      </w:r>
      <w:r w:rsidR="0096649D">
        <w:rPr>
          <w:rFonts w:ascii="Times New Roman" w:hAnsi="Times New Roman" w:cs="Times New Roman"/>
          <w:sz w:val="24"/>
          <w:szCs w:val="24"/>
        </w:rPr>
        <w:t xml:space="preserve">paved </w:t>
      </w:r>
      <w:r w:rsidR="00900F01" w:rsidRPr="008D2FA0">
        <w:rPr>
          <w:rFonts w:ascii="Times New Roman" w:hAnsi="Times New Roman" w:cs="Times New Roman"/>
          <w:sz w:val="24"/>
          <w:szCs w:val="24"/>
        </w:rPr>
        <w:t>city spaces</w:t>
      </w:r>
      <w:r w:rsidR="0096649D">
        <w:rPr>
          <w:rFonts w:ascii="Times New Roman" w:hAnsi="Times New Roman" w:cs="Times New Roman"/>
          <w:sz w:val="24"/>
          <w:szCs w:val="24"/>
        </w:rPr>
        <w:t xml:space="preserve"> (e.g., roads, buildings)</w:t>
      </w:r>
      <w:r w:rsidR="00900F01" w:rsidRPr="008D2FA0">
        <w:rPr>
          <w:rFonts w:ascii="Times New Roman" w:hAnsi="Times New Roman" w:cs="Times New Roman"/>
          <w:sz w:val="24"/>
          <w:szCs w:val="24"/>
        </w:rPr>
        <w:t xml:space="preserve">, causing some areas to report no activity when activity is low. One approach to resolving </w:t>
      </w:r>
      <w:r w:rsidR="00E8130F" w:rsidRPr="008D2FA0">
        <w:rPr>
          <w:rFonts w:ascii="Times New Roman" w:hAnsi="Times New Roman" w:cs="Times New Roman"/>
          <w:sz w:val="24"/>
          <w:szCs w:val="24"/>
        </w:rPr>
        <w:t>the above</w:t>
      </w:r>
      <w:r w:rsidR="00900F01" w:rsidRPr="008D2FA0">
        <w:rPr>
          <w:rFonts w:ascii="Times New Roman" w:hAnsi="Times New Roman" w:cs="Times New Roman"/>
          <w:sz w:val="24"/>
          <w:szCs w:val="24"/>
        </w:rPr>
        <w:t xml:space="preserve"> challenges is to examine every </w:t>
      </w:r>
      <w:r w:rsidR="00FF4A22">
        <w:rPr>
          <w:rFonts w:ascii="Times New Roman" w:hAnsi="Times New Roman" w:cs="Times New Roman"/>
          <w:sz w:val="24"/>
          <w:szCs w:val="24"/>
        </w:rPr>
        <w:t>green space</w:t>
      </w:r>
      <w:r w:rsidR="0096649D"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case-by-case</w:t>
      </w:r>
      <w:r w:rsidR="00FA70B8"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to </w:t>
      </w:r>
      <w:r w:rsidR="001C0CF1" w:rsidRPr="008D2FA0">
        <w:rPr>
          <w:rFonts w:ascii="Times New Roman" w:hAnsi="Times New Roman" w:cs="Times New Roman"/>
          <w:sz w:val="24"/>
          <w:szCs w:val="24"/>
        </w:rPr>
        <w:t xml:space="preserve">validate activity patterns. However, for municipal land managers responsible for many properties, this approach is laborious and subjective. </w:t>
      </w:r>
      <w:r w:rsidR="00D40FA2" w:rsidRPr="008D2FA0">
        <w:rPr>
          <w:rFonts w:ascii="Times New Roman" w:hAnsi="Times New Roman" w:cs="Times New Roman"/>
          <w:sz w:val="24"/>
          <w:szCs w:val="24"/>
        </w:rPr>
        <w:t>Clearly, there is a need for a systematic</w:t>
      </w:r>
      <w:r w:rsidR="002F284F">
        <w:rPr>
          <w:rFonts w:ascii="Times New Roman" w:hAnsi="Times New Roman" w:cs="Times New Roman"/>
          <w:sz w:val="24"/>
          <w:szCs w:val="24"/>
        </w:rPr>
        <w:t xml:space="preserve"> and reproducible</w:t>
      </w:r>
      <w:r w:rsidR="00D40FA2" w:rsidRPr="008D2FA0">
        <w:rPr>
          <w:rFonts w:ascii="Times New Roman" w:hAnsi="Times New Roman" w:cs="Times New Roman"/>
          <w:sz w:val="24"/>
          <w:szCs w:val="24"/>
        </w:rPr>
        <w:t xml:space="preserve"> methodology that can synthesize accurate patterns of mobility data </w:t>
      </w:r>
      <w:r w:rsidR="00FF4A22">
        <w:rPr>
          <w:rFonts w:ascii="Times New Roman" w:hAnsi="Times New Roman" w:cs="Times New Roman"/>
          <w:sz w:val="24"/>
          <w:szCs w:val="24"/>
        </w:rPr>
        <w:t>across green spaces</w:t>
      </w:r>
      <w:r w:rsidR="00D40FA2" w:rsidRPr="008D2FA0">
        <w:rPr>
          <w:rFonts w:ascii="Times New Roman" w:hAnsi="Times New Roman" w:cs="Times New Roman"/>
          <w:sz w:val="24"/>
          <w:szCs w:val="24"/>
        </w:rPr>
        <w:t xml:space="preserve">. </w:t>
      </w:r>
      <w:r w:rsidR="001C0CF1"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 </w:t>
      </w:r>
    </w:p>
    <w:p w14:paraId="4998369E" w14:textId="6C3F9AAC" w:rsidR="00FA70B8" w:rsidRPr="008D2FA0" w:rsidRDefault="00F64F8F"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t xml:space="preserve">Connecting biodiversity observations to mobility data can pose a unique set of </w:t>
      </w:r>
      <w:r w:rsidR="0001425E">
        <w:rPr>
          <w:rFonts w:ascii="Times New Roman" w:hAnsi="Times New Roman" w:cs="Times New Roman"/>
          <w:sz w:val="24"/>
          <w:szCs w:val="24"/>
        </w:rPr>
        <w:t>challenges</w:t>
      </w:r>
      <w:r w:rsidR="0001425E" w:rsidRPr="008D2FA0">
        <w:rPr>
          <w:rFonts w:ascii="Times New Roman" w:hAnsi="Times New Roman" w:cs="Times New Roman"/>
          <w:sz w:val="24"/>
          <w:szCs w:val="24"/>
        </w:rPr>
        <w:t xml:space="preserve"> </w:t>
      </w:r>
      <w:r w:rsidRPr="008D2FA0">
        <w:rPr>
          <w:rFonts w:ascii="Times New Roman" w:hAnsi="Times New Roman" w:cs="Times New Roman"/>
          <w:sz w:val="24"/>
          <w:szCs w:val="24"/>
        </w:rPr>
        <w:t xml:space="preserve">beyond validating human activity patterns. </w:t>
      </w:r>
      <w:r w:rsidR="000A0F1A" w:rsidRPr="008D2FA0">
        <w:rPr>
          <w:rFonts w:ascii="Times New Roman" w:hAnsi="Times New Roman" w:cs="Times New Roman"/>
          <w:sz w:val="24"/>
          <w:szCs w:val="24"/>
        </w:rPr>
        <w:t>While mobility data has broad spatial and temporal coverage across a region, biodiversity data is often restricted to long-term monitoring plots static in location or multiple experimental sites that are short-term</w:t>
      </w:r>
      <w:r w:rsidR="00113161">
        <w:rPr>
          <w:rFonts w:ascii="Times New Roman" w:hAnsi="Times New Roman" w:cs="Times New Roman"/>
          <w:sz w:val="24"/>
          <w:szCs w:val="24"/>
        </w:rPr>
        <w:t xml:space="preserve"> </w:t>
      </w:r>
      <w:r w:rsidR="00113161">
        <w:rPr>
          <w:rFonts w:ascii="Times New Roman" w:hAnsi="Times New Roman" w:cs="Times New Roman"/>
          <w:sz w:val="24"/>
          <w:szCs w:val="24"/>
        </w:rPr>
        <w:fldChar w:fldCharType="begin" w:fldLock="1"/>
      </w:r>
      <w:r w:rsidR="00F8311E">
        <w:rPr>
          <w:rFonts w:ascii="Times New Roman" w:hAnsi="Times New Roman" w:cs="Times New Roman"/>
          <w:sz w:val="24"/>
          <w:szCs w:val="24"/>
        </w:rPr>
        <w:instrText>ADDIN CSL_CITATION {"citationItems":[{"id":"ITEM-1","itemData":{"DOI":"https://doi.org/10.1111/2041-210X.13657","ISSN":"2041-210X","abstract":"Abstract Field ecology has been included in a ?replication crisis? that extends across many scientific disciplines. However, the underlying concepts of replication, reproducibility and replicability are not always clearly distinguished, and complicate the identification of best practices. Furthermore, conducting experiments under the high variability of natural field conditions reduces the capacity for replication relative to other biological disciplines working under controlled conditions. Field ecologists are therefore facing a significant challenge in assessing the replicability of their research with implications for overall confidence in study outcomes. Through a review of the literature, we discuss several related aspects of experimental design that can enhance confidence in scientific outcomes. Specifically, we describe sample replication (repeat sample), within-study replication (repeat experiment) and between-study replication (repeat study) and how each can be used within field ecology. Since perfect between-study replication (i.e. direct replication) is generally not possible in field ecology, we suggest more explicit use of conceptual replication would enhance confidence in scientific outcomes. However, such changes require cultural shifts in practice among all participants in the scientific enterprise. We suggest several tangible steps could be taken to improve confidence in ecological research: (a) increase the use of within-study replication before publication, (b) increase replicability for aspects that we can control (e.g. pre-register experiments, open data, publish code), (c) divest from novelty as the primary criterion for publication in leading ecological journals and invest in experimental design, (d) be sceptical of contradictory findings from studies testing similar research questions and (e) create a publishing environment that encourages more conceptual replication studies. We believe adopting these practices will increase the confidence in results for field ecology. There are critical obstacles that could prevent some scientists from increasing within-study or between-study replication, including short-term funding mechanisms and the prospect of fewer publications. We suggest strategies to mitigate negative impacts to researchers, such as leading journals piloting new article categories and explicit mention of experimentally linked studies. We acknowledge that adopting greater replication in field ecology will require signific…","author":[{"dropping-particle":"","family":"Filazzola","given":"Alessandro","non-dropping-particle":"","parse-names":false,"suffix":""},{"dropping-particle":"","family":"Cahill Jr","given":"James F","non-dropping-particle":"","parse-names":false,"suffix":""}],"container-title":"Methods in Ecology and Evolution","id":"ITEM-1","issue":"10","issued":{"date-parts":[["2021","10","1"]]},"note":"https://doi.org/10.1111/2041-210X.13657","page":"1780-1792","publisher":"John Wiley &amp; Sons, Ltd","title":"Replication in field ecology: Identifying challenges and proposing solutions","type":"article-journal","volume":"12"},"uris":["http://www.mendeley.com/documents/?uuid=e8f275c9-aef1-436d-b62a-28b63180606b"]}],"mendeley":{"formattedCitation":"(Filazzola &amp; Cahill Jr, 2021)","plainTextFormattedCitation":"(Filazzola &amp; Cahill Jr, 2021)","previouslyFormattedCitation":"(Filazzola &amp; Cahill Jr, 2021)"},"properties":{"noteIndex":0},"schema":"https://github.com/citation-style-language/schema/raw/master/csl-citation.json"}</w:instrText>
      </w:r>
      <w:r w:rsidR="00113161">
        <w:rPr>
          <w:rFonts w:ascii="Times New Roman" w:hAnsi="Times New Roman" w:cs="Times New Roman"/>
          <w:sz w:val="24"/>
          <w:szCs w:val="24"/>
        </w:rPr>
        <w:fldChar w:fldCharType="separate"/>
      </w:r>
      <w:r w:rsidR="00113161" w:rsidRPr="00113161">
        <w:rPr>
          <w:rFonts w:ascii="Times New Roman" w:hAnsi="Times New Roman" w:cs="Times New Roman"/>
          <w:noProof/>
          <w:sz w:val="24"/>
          <w:szCs w:val="24"/>
        </w:rPr>
        <w:t>(Filazzola &amp; Cahill Jr, 2021)</w:t>
      </w:r>
      <w:r w:rsidR="00113161">
        <w:rPr>
          <w:rFonts w:ascii="Times New Roman" w:hAnsi="Times New Roman" w:cs="Times New Roman"/>
          <w:sz w:val="24"/>
          <w:szCs w:val="24"/>
        </w:rPr>
        <w:fldChar w:fldCharType="end"/>
      </w:r>
      <w:r w:rsidR="000A0F1A" w:rsidRPr="008D2FA0">
        <w:rPr>
          <w:rFonts w:ascii="Times New Roman" w:hAnsi="Times New Roman" w:cs="Times New Roman"/>
          <w:sz w:val="24"/>
          <w:szCs w:val="24"/>
        </w:rPr>
        <w:t>.</w:t>
      </w:r>
      <w:r w:rsidR="00BF3E82" w:rsidRPr="008D2FA0">
        <w:rPr>
          <w:rFonts w:ascii="Times New Roman" w:hAnsi="Times New Roman" w:cs="Times New Roman"/>
          <w:sz w:val="24"/>
          <w:szCs w:val="24"/>
        </w:rPr>
        <w:t xml:space="preserve"> </w:t>
      </w:r>
      <w:r w:rsidR="009B12F2">
        <w:rPr>
          <w:rFonts w:ascii="Times New Roman" w:hAnsi="Times New Roman" w:cs="Times New Roman"/>
          <w:sz w:val="24"/>
          <w:szCs w:val="24"/>
        </w:rPr>
        <w:t xml:space="preserve">Unlike mobility data, </w:t>
      </w:r>
      <w:r w:rsidR="00BF3E82" w:rsidRPr="008D2FA0">
        <w:rPr>
          <w:rFonts w:ascii="Times New Roman" w:hAnsi="Times New Roman" w:cs="Times New Roman"/>
          <w:sz w:val="24"/>
          <w:szCs w:val="24"/>
        </w:rPr>
        <w:t>biodiversity data</w:t>
      </w:r>
      <w:r w:rsidR="009B12F2">
        <w:rPr>
          <w:rFonts w:ascii="Times New Roman" w:hAnsi="Times New Roman" w:cs="Times New Roman"/>
          <w:sz w:val="24"/>
          <w:szCs w:val="24"/>
        </w:rPr>
        <w:t xml:space="preserve"> are rarely</w:t>
      </w:r>
      <w:r w:rsidR="00BF3E82" w:rsidRPr="008D2FA0">
        <w:rPr>
          <w:rFonts w:ascii="Times New Roman" w:hAnsi="Times New Roman" w:cs="Times New Roman"/>
          <w:sz w:val="24"/>
          <w:szCs w:val="24"/>
        </w:rPr>
        <w:t xml:space="preserve"> collected </w:t>
      </w:r>
      <w:r w:rsidR="009B12F2">
        <w:rPr>
          <w:rFonts w:ascii="Times New Roman" w:hAnsi="Times New Roman" w:cs="Times New Roman"/>
          <w:sz w:val="24"/>
          <w:szCs w:val="24"/>
        </w:rPr>
        <w:t>hourly</w:t>
      </w:r>
      <w:r w:rsidR="00BF3E82" w:rsidRPr="008D2FA0">
        <w:rPr>
          <w:rFonts w:ascii="Times New Roman" w:hAnsi="Times New Roman" w:cs="Times New Roman"/>
          <w:sz w:val="24"/>
          <w:szCs w:val="24"/>
        </w:rPr>
        <w:t xml:space="preserve"> or </w:t>
      </w:r>
      <w:r w:rsidR="0038250D">
        <w:rPr>
          <w:rFonts w:ascii="Times New Roman" w:hAnsi="Times New Roman" w:cs="Times New Roman"/>
          <w:sz w:val="24"/>
          <w:szCs w:val="24"/>
        </w:rPr>
        <w:t xml:space="preserve">covering </w:t>
      </w:r>
      <w:r w:rsidR="009B12F2">
        <w:rPr>
          <w:rFonts w:ascii="Times New Roman" w:hAnsi="Times New Roman" w:cs="Times New Roman"/>
          <w:sz w:val="24"/>
          <w:szCs w:val="24"/>
        </w:rPr>
        <w:t>a broad spatial area</w:t>
      </w:r>
      <w:r w:rsidR="00BF3E82" w:rsidRPr="008D2FA0">
        <w:rPr>
          <w:rFonts w:ascii="Times New Roman" w:hAnsi="Times New Roman" w:cs="Times New Roman"/>
          <w:sz w:val="24"/>
          <w:szCs w:val="24"/>
        </w:rPr>
        <w:t xml:space="preserve">, presenting a challenge </w:t>
      </w:r>
      <w:r w:rsidR="00B07D6D">
        <w:rPr>
          <w:rFonts w:ascii="Times New Roman" w:hAnsi="Times New Roman" w:cs="Times New Roman"/>
          <w:sz w:val="24"/>
          <w:szCs w:val="24"/>
        </w:rPr>
        <w:t>when trying to</w:t>
      </w:r>
      <w:r w:rsidR="00BF3E82" w:rsidRPr="008D2FA0">
        <w:rPr>
          <w:rFonts w:ascii="Times New Roman" w:hAnsi="Times New Roman" w:cs="Times New Roman"/>
          <w:sz w:val="24"/>
          <w:szCs w:val="24"/>
        </w:rPr>
        <w:t xml:space="preserve"> connect these two disparate types of data</w:t>
      </w:r>
      <w:r w:rsidR="009B12F2">
        <w:rPr>
          <w:rFonts w:ascii="Times New Roman" w:hAnsi="Times New Roman" w:cs="Times New Roman"/>
          <w:sz w:val="24"/>
          <w:szCs w:val="24"/>
        </w:rPr>
        <w:t xml:space="preserve"> (e.g., evaluating effects of human activity on biodiversity)</w:t>
      </w:r>
      <w:r w:rsidR="00BF3E82" w:rsidRPr="008D2FA0">
        <w:rPr>
          <w:rFonts w:ascii="Times New Roman" w:hAnsi="Times New Roman" w:cs="Times New Roman"/>
          <w:sz w:val="24"/>
          <w:szCs w:val="24"/>
        </w:rPr>
        <w:t>. Additionally, biodiversity surveys are often conducted away from</w:t>
      </w:r>
      <w:r w:rsidR="00701789">
        <w:rPr>
          <w:rFonts w:ascii="Times New Roman" w:hAnsi="Times New Roman" w:cs="Times New Roman"/>
          <w:sz w:val="24"/>
          <w:szCs w:val="24"/>
        </w:rPr>
        <w:t xml:space="preserve"> areas with high</w:t>
      </w:r>
      <w:r w:rsidR="00BF3E82" w:rsidRPr="008D2FA0">
        <w:rPr>
          <w:rFonts w:ascii="Times New Roman" w:hAnsi="Times New Roman" w:cs="Times New Roman"/>
          <w:sz w:val="24"/>
          <w:szCs w:val="24"/>
        </w:rPr>
        <w:t xml:space="preserve"> human activity</w:t>
      </w:r>
      <w:r w:rsidR="00701789">
        <w:rPr>
          <w:rFonts w:ascii="Times New Roman" w:hAnsi="Times New Roman" w:cs="Times New Roman"/>
          <w:sz w:val="24"/>
          <w:szCs w:val="24"/>
        </w:rPr>
        <w:t xml:space="preserve"> (e.g., </w:t>
      </w:r>
      <w:r w:rsidR="00BF3E82" w:rsidRPr="008D2FA0">
        <w:rPr>
          <w:rFonts w:ascii="Times New Roman" w:hAnsi="Times New Roman" w:cs="Times New Roman"/>
          <w:sz w:val="24"/>
          <w:szCs w:val="24"/>
        </w:rPr>
        <w:t>trails, playgrounds, picnic areas</w:t>
      </w:r>
      <w:r w:rsidR="00701789">
        <w:rPr>
          <w:rFonts w:ascii="Times New Roman" w:hAnsi="Times New Roman" w:cs="Times New Roman"/>
          <w:sz w:val="24"/>
          <w:szCs w:val="24"/>
        </w:rPr>
        <w:t>) reducing the chance that any activity would be recorded</w:t>
      </w:r>
      <w:r w:rsidR="00BF3E82" w:rsidRPr="008D2FA0">
        <w:rPr>
          <w:rFonts w:ascii="Times New Roman" w:hAnsi="Times New Roman" w:cs="Times New Roman"/>
          <w:sz w:val="24"/>
          <w:szCs w:val="24"/>
        </w:rPr>
        <w:t>.</w:t>
      </w:r>
      <w:r w:rsidR="00054088" w:rsidRPr="008D2FA0">
        <w:rPr>
          <w:rFonts w:ascii="Times New Roman" w:hAnsi="Times New Roman" w:cs="Times New Roman"/>
          <w:sz w:val="24"/>
          <w:szCs w:val="24"/>
        </w:rPr>
        <w:t xml:space="preserve"> Using community science can be an effective tool at obtaining surveys with broad spatial and temporal coverage of </w:t>
      </w:r>
      <w:r w:rsidR="00FF4A22">
        <w:rPr>
          <w:rFonts w:ascii="Times New Roman" w:hAnsi="Times New Roman" w:cs="Times New Roman"/>
          <w:sz w:val="24"/>
          <w:szCs w:val="24"/>
        </w:rPr>
        <w:t>green spaces</w:t>
      </w:r>
      <w:r w:rsidR="00054088" w:rsidRPr="008D2FA0">
        <w:rPr>
          <w:rFonts w:ascii="Times New Roman" w:hAnsi="Times New Roman" w:cs="Times New Roman"/>
          <w:sz w:val="24"/>
          <w:szCs w:val="24"/>
        </w:rPr>
        <w:t xml:space="preserve"> </w:t>
      </w:r>
      <w:r w:rsidR="00106F94">
        <w:rPr>
          <w:rFonts w:ascii="Times New Roman" w:hAnsi="Times New Roman" w:cs="Times New Roman"/>
          <w:sz w:val="24"/>
          <w:szCs w:val="24"/>
        </w:rPr>
        <w:lastRenderedPageBreak/>
        <w:fldChar w:fldCharType="begin" w:fldLock="1"/>
      </w:r>
      <w:r w:rsidR="00113161">
        <w:rPr>
          <w:rFonts w:ascii="Times New Roman" w:hAnsi="Times New Roman" w:cs="Times New Roman"/>
          <w:sz w:val="24"/>
          <w:szCs w:val="24"/>
        </w:rPr>
        <w:instrText>ADDIN CSL_CITATION {"citationItems":[{"id":"ITEM-1","itemData":{"author":[{"dropping-particle":"","family":"Jimenez","given":"Miguel F","non-dropping-particle":"","parse-names":false,"suffix":""},{"dropping-particle":"","family":"Pejchar","given":"Liba","non-dropping-particle":"","parse-names":false,"suffix":""},{"dropping-particle":"","family":"Reed","given":"Sarah E","non-dropping-particle":"","parse-names":false,"suffix":""}],"container-title":"Conservation Science and Practice","id":"ITEM-1","issue":"2","issued":{"date-parts":[["2021"]]},"page":"e338","publisher":"Wiley Online Library","title":"Tradeoffs of using place-based community science for urban biodiversity monitoring","type":"article-journal","volume":"3"},"uris":["http://www.mendeley.com/documents/?uuid=34bb2f85-ee62-4958-8e28-b21c35abe475"]},{"id":"ITEM-2","itemData":{"DOI":"https://doi.org/10.1016/j.biocon.2020.108753","ISSN":"0006-3207","abstract":"Monitoring urban biodiversity is increasingly important, given the increasing anthropogenic pressures on biodiversity in urban areas. While the cost of broad-scale monitoring by professionals may be prohibitive, citizen science (also referred to as community science) will likely play an important role in understanding biodiversity responses to urbanization into the future. Here, we present a framework that relies on broad-scale citizen science data –– collected through iNaturalist –– to quantify (1) species-specific responses to urbanization on a continuous scale, capitalizing on globally-available VIIRS night-time lights data; and (2) community-level measures of the urbanness of a given biological community that can be aggregated to any spatial unit relevant for policy-decisions. We demonstrate the potential utility of this framework in the Boston metropolitan region, using &gt;1000 species aggregated across 87 towns throughout the region. Of the most common species, our species-specific urbanness measures highlighted the expected difference between native and non-native species. Further, our biological community-level urbanness measures –– aggregated by towns –– negatively correlated with enhanced vegetation indices within a town and positively correlated with the area of impervious surface within a town. We conclude by demonstrating how towns can be ‘ranked’ promoting a framework where towns can be compared based on whether they over- or under-perform in the urbanness of their community relative to other towns. Ultimately, biodiversity conservation in urban environments will best succeed with robust, repeatable, and interpretable measures of biodiversity responses to urbanization, and involving the broader public in the derivation and tracking of these responses will likely result in increased bioliteracy and conservation awareness.","author":[{"dropping-particle":"","family":"Callaghan","given":"Corey T","non-dropping-particle":"","parse-names":false,"suffix":""},{"dropping-particle":"","family":"Ozeroff","given":"Ian","non-dropping-particle":"","parse-names":false,"suffix":""},{"dropping-particle":"","family":"Hitchcock","given":"Colleen","non-dropping-particle":"","parse-names":false,"suffix":""},{"dropping-particle":"","family":"Chandler","given":"Mark","non-dropping-particle":"","parse-names":false,"suffix":""}],"container-title":"Biological Conservation","id":"ITEM-2","issued":{"date-parts":[["2020"]]},"page":"108753","title":"Capitalizing on opportunistic citizen science data to monitor urban biodiversity: A multi-taxa framework","type":"article-journal","volume":"251"},"uris":["http://www.mendeley.com/documents/?uuid=7f73232d-d2f0-4e19-bdc9-48c005437d7e"]}],"mendeley":{"formattedCitation":"(Callaghan, Ozeroff, Hitchcock, &amp; Chandler, 2020; Jimenez, Pejchar, &amp; Reed, 2021)","plainTextFormattedCitation":"(Callaghan, Ozeroff, Hitchcock, &amp; Chandler, 2020; Jimenez, Pejchar, &amp; Reed, 2021)","previouslyFormattedCitation":"(Callaghan, Ozeroff, Hitchcock, &amp; Chandler, 2020; Jimenez, Pejchar, &amp; Reed, 2021)"},"properties":{"noteIndex":0},"schema":"https://github.com/citation-style-language/schema/raw/master/csl-citation.json"}</w:instrText>
      </w:r>
      <w:r w:rsidR="00106F94">
        <w:rPr>
          <w:rFonts w:ascii="Times New Roman" w:hAnsi="Times New Roman" w:cs="Times New Roman"/>
          <w:sz w:val="24"/>
          <w:szCs w:val="24"/>
        </w:rPr>
        <w:fldChar w:fldCharType="separate"/>
      </w:r>
      <w:r w:rsidR="00106F94" w:rsidRPr="00106F94">
        <w:rPr>
          <w:rFonts w:ascii="Times New Roman" w:hAnsi="Times New Roman" w:cs="Times New Roman"/>
          <w:noProof/>
          <w:sz w:val="24"/>
          <w:szCs w:val="24"/>
        </w:rPr>
        <w:t>(Callaghan, Ozeroff, Hitchcock, &amp; Chandler, 2020; Jimenez, Pejchar, &amp; Reed, 2021)</w:t>
      </w:r>
      <w:r w:rsidR="00106F94">
        <w:rPr>
          <w:rFonts w:ascii="Times New Roman" w:hAnsi="Times New Roman" w:cs="Times New Roman"/>
          <w:sz w:val="24"/>
          <w:szCs w:val="24"/>
        </w:rPr>
        <w:fldChar w:fldCharType="end"/>
      </w:r>
      <w:r w:rsidR="00054088" w:rsidRPr="008D2FA0">
        <w:rPr>
          <w:rFonts w:ascii="Times New Roman" w:hAnsi="Times New Roman" w:cs="Times New Roman"/>
          <w:sz w:val="24"/>
          <w:szCs w:val="24"/>
        </w:rPr>
        <w:t xml:space="preserve"> but this type of data is inherently correlated with mobility data.</w:t>
      </w:r>
      <w:r w:rsidR="003F7A6D" w:rsidRPr="008D2FA0">
        <w:rPr>
          <w:rFonts w:ascii="Times New Roman" w:hAnsi="Times New Roman" w:cs="Times New Roman"/>
          <w:sz w:val="24"/>
          <w:szCs w:val="24"/>
        </w:rPr>
        <w:t xml:space="preserve"> </w:t>
      </w:r>
      <w:r w:rsidR="00165FB7" w:rsidRPr="008D2FA0">
        <w:rPr>
          <w:rFonts w:ascii="Times New Roman" w:hAnsi="Times New Roman" w:cs="Times New Roman"/>
          <w:sz w:val="24"/>
          <w:szCs w:val="24"/>
        </w:rPr>
        <w:t xml:space="preserve">A preliminary exploration of biodiversity and mobility data would include examining the relative use of land cover types in </w:t>
      </w:r>
      <w:r w:rsidR="00FF4A22">
        <w:rPr>
          <w:rFonts w:ascii="Times New Roman" w:hAnsi="Times New Roman" w:cs="Times New Roman"/>
          <w:sz w:val="24"/>
          <w:szCs w:val="24"/>
        </w:rPr>
        <w:t xml:space="preserve">green spaces </w:t>
      </w:r>
      <w:r w:rsidR="00165FB7" w:rsidRPr="008D2FA0">
        <w:rPr>
          <w:rFonts w:ascii="Times New Roman" w:hAnsi="Times New Roman" w:cs="Times New Roman"/>
          <w:sz w:val="24"/>
          <w:szCs w:val="24"/>
        </w:rPr>
        <w:t>to determine if certain areas</w:t>
      </w:r>
      <w:r w:rsidR="000065F9" w:rsidRPr="008D2FA0">
        <w:rPr>
          <w:rFonts w:ascii="Times New Roman" w:hAnsi="Times New Roman" w:cs="Times New Roman"/>
          <w:sz w:val="24"/>
          <w:szCs w:val="24"/>
        </w:rPr>
        <w:t xml:space="preserve">, particularly </w:t>
      </w:r>
      <w:r w:rsidR="00B563A2">
        <w:rPr>
          <w:rFonts w:ascii="Times New Roman" w:hAnsi="Times New Roman" w:cs="Times New Roman"/>
          <w:sz w:val="24"/>
          <w:szCs w:val="24"/>
        </w:rPr>
        <w:t>where there is sensitive habitat</w:t>
      </w:r>
      <w:r w:rsidR="000065F9" w:rsidRPr="008D2FA0">
        <w:rPr>
          <w:rFonts w:ascii="Times New Roman" w:hAnsi="Times New Roman" w:cs="Times New Roman"/>
          <w:sz w:val="24"/>
          <w:szCs w:val="24"/>
        </w:rPr>
        <w:t>,</w:t>
      </w:r>
      <w:r w:rsidR="00165FB7" w:rsidRPr="008D2FA0">
        <w:rPr>
          <w:rFonts w:ascii="Times New Roman" w:hAnsi="Times New Roman" w:cs="Times New Roman"/>
          <w:sz w:val="24"/>
          <w:szCs w:val="24"/>
        </w:rPr>
        <w:t xml:space="preserve"> </w:t>
      </w:r>
      <w:r w:rsidR="000065F9" w:rsidRPr="008D2FA0">
        <w:rPr>
          <w:rFonts w:ascii="Times New Roman" w:hAnsi="Times New Roman" w:cs="Times New Roman"/>
          <w:sz w:val="24"/>
          <w:szCs w:val="24"/>
        </w:rPr>
        <w:t xml:space="preserve">receive disproportionate levels of human activity. </w:t>
      </w:r>
      <w:r w:rsidR="00054088" w:rsidRPr="008D2FA0">
        <w:rPr>
          <w:rFonts w:ascii="Times New Roman" w:hAnsi="Times New Roman" w:cs="Times New Roman"/>
          <w:sz w:val="24"/>
          <w:szCs w:val="24"/>
        </w:rPr>
        <w:t xml:space="preserve"> </w:t>
      </w:r>
      <w:r w:rsidR="00BF3E82" w:rsidRPr="008D2FA0">
        <w:rPr>
          <w:rFonts w:ascii="Times New Roman" w:hAnsi="Times New Roman" w:cs="Times New Roman"/>
          <w:sz w:val="24"/>
          <w:szCs w:val="24"/>
        </w:rPr>
        <w:t xml:space="preserve"> </w:t>
      </w:r>
      <w:r w:rsidR="001905ED" w:rsidRPr="008D2FA0">
        <w:rPr>
          <w:rFonts w:ascii="Times New Roman" w:hAnsi="Times New Roman" w:cs="Times New Roman"/>
          <w:sz w:val="24"/>
          <w:szCs w:val="24"/>
        </w:rPr>
        <w:t xml:space="preserve"> </w:t>
      </w:r>
      <w:r w:rsidR="000A0F1A" w:rsidRPr="008D2FA0">
        <w:rPr>
          <w:rFonts w:ascii="Times New Roman" w:hAnsi="Times New Roman" w:cs="Times New Roman"/>
          <w:sz w:val="24"/>
          <w:szCs w:val="24"/>
        </w:rPr>
        <w:t xml:space="preserve"> </w:t>
      </w:r>
    </w:p>
    <w:p w14:paraId="42AA7F5F" w14:textId="58499B1A" w:rsidR="007E4023" w:rsidRPr="008D2FA0" w:rsidRDefault="007E4023"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Objectives</w:t>
      </w:r>
    </w:p>
    <w:p w14:paraId="3A323929" w14:textId="0DF2C27F" w:rsidR="00D14F78" w:rsidRPr="008D2FA0" w:rsidRDefault="00E4140A" w:rsidP="00C73D41">
      <w:pPr>
        <w:spacing w:line="480" w:lineRule="auto"/>
        <w:ind w:left="60" w:firstLine="360"/>
        <w:rPr>
          <w:rFonts w:ascii="Times New Roman" w:hAnsi="Times New Roman" w:cs="Times New Roman"/>
          <w:sz w:val="24"/>
          <w:szCs w:val="24"/>
        </w:rPr>
      </w:pPr>
      <w:r w:rsidRPr="008D2FA0">
        <w:rPr>
          <w:rFonts w:ascii="Times New Roman" w:hAnsi="Times New Roman" w:cs="Times New Roman"/>
          <w:sz w:val="24"/>
          <w:szCs w:val="24"/>
        </w:rPr>
        <w:t xml:space="preserve">Anonymized mobility data can be a powerful tool in managing </w:t>
      </w:r>
      <w:r w:rsidR="00FF4A22">
        <w:rPr>
          <w:rFonts w:ascii="Times New Roman" w:hAnsi="Times New Roman" w:cs="Times New Roman"/>
          <w:sz w:val="24"/>
          <w:szCs w:val="24"/>
        </w:rPr>
        <w:t>green spaces</w:t>
      </w:r>
      <w:r w:rsidRPr="008D2FA0">
        <w:rPr>
          <w:rFonts w:ascii="Times New Roman" w:hAnsi="Times New Roman" w:cs="Times New Roman"/>
          <w:sz w:val="24"/>
          <w:szCs w:val="24"/>
        </w:rPr>
        <w:t xml:space="preserve">, but methods are needed that can properly assess patterns of human activity. Using Mapbox </w:t>
      </w:r>
      <w:r w:rsidR="00785500" w:rsidRPr="008D2FA0">
        <w:rPr>
          <w:rFonts w:ascii="Times New Roman" w:hAnsi="Times New Roman" w:cs="Times New Roman"/>
          <w:sz w:val="24"/>
          <w:szCs w:val="24"/>
        </w:rPr>
        <w:t>M</w:t>
      </w:r>
      <w:r w:rsidRPr="008D2FA0">
        <w:rPr>
          <w:rFonts w:ascii="Times New Roman" w:hAnsi="Times New Roman" w:cs="Times New Roman"/>
          <w:sz w:val="24"/>
          <w:szCs w:val="24"/>
        </w:rPr>
        <w:t>ovement (</w:t>
      </w:r>
      <w:hyperlink r:id="rId8" w:history="1">
        <w:r w:rsidR="00FF4A22" w:rsidRPr="00FF4A22">
          <w:rPr>
            <w:rStyle w:val="Hyperlink"/>
            <w:rFonts w:ascii="Times New Roman" w:hAnsi="Times New Roman" w:cs="Times New Roman"/>
            <w:sz w:val="24"/>
            <w:szCs w:val="24"/>
          </w:rPr>
          <w:t>www.mapbox.com/movement-data</w:t>
        </w:r>
      </w:hyperlink>
      <w:r w:rsidRPr="008D2FA0">
        <w:rPr>
          <w:rFonts w:ascii="Times New Roman" w:hAnsi="Times New Roman" w:cs="Times New Roman"/>
          <w:sz w:val="24"/>
          <w:szCs w:val="24"/>
        </w:rPr>
        <w:t xml:space="preserve">) we obtained anonymized mobile data representing human activity </w:t>
      </w:r>
      <w:r w:rsidR="00594712" w:rsidRPr="008D2FA0">
        <w:rPr>
          <w:rFonts w:ascii="Times New Roman" w:hAnsi="Times New Roman" w:cs="Times New Roman"/>
          <w:sz w:val="24"/>
          <w:szCs w:val="24"/>
        </w:rPr>
        <w:t xml:space="preserve">aggregated to 100 x 100 m grid cells and two-hour windows. We partnered with </w:t>
      </w:r>
      <w:r w:rsidR="005F7CDE" w:rsidRPr="008D2FA0">
        <w:rPr>
          <w:rFonts w:ascii="Times New Roman" w:hAnsi="Times New Roman" w:cs="Times New Roman"/>
          <w:sz w:val="24"/>
          <w:szCs w:val="24"/>
        </w:rPr>
        <w:t>Conservation Halton</w:t>
      </w:r>
      <w:r w:rsidR="005F7CDE">
        <w:rPr>
          <w:rFonts w:ascii="Times New Roman" w:hAnsi="Times New Roman" w:cs="Times New Roman"/>
          <w:sz w:val="24"/>
          <w:szCs w:val="24"/>
        </w:rPr>
        <w:t xml:space="preserve"> (</w:t>
      </w:r>
      <w:hyperlink r:id="rId9" w:history="1">
        <w:r w:rsidR="005F7CDE" w:rsidRPr="004B0BEE">
          <w:rPr>
            <w:rStyle w:val="Hyperlink"/>
            <w:rFonts w:ascii="Times New Roman" w:hAnsi="Times New Roman" w:cs="Times New Roman"/>
            <w:sz w:val="24"/>
            <w:szCs w:val="24"/>
          </w:rPr>
          <w:t>www.conservationhalton.ca</w:t>
        </w:r>
      </w:hyperlink>
      <w:r w:rsidR="005F7CDE">
        <w:rPr>
          <w:rFonts w:ascii="Times New Roman" w:hAnsi="Times New Roman" w:cs="Times New Roman"/>
          <w:sz w:val="24"/>
          <w:szCs w:val="24"/>
        </w:rPr>
        <w:t>)</w:t>
      </w:r>
      <w:r w:rsidR="005F7CDE" w:rsidRPr="008D2FA0">
        <w:rPr>
          <w:rFonts w:ascii="Times New Roman" w:hAnsi="Times New Roman" w:cs="Times New Roman"/>
          <w:sz w:val="24"/>
          <w:szCs w:val="24"/>
        </w:rPr>
        <w:t>,</w:t>
      </w:r>
      <w:r w:rsidR="005F7CDE">
        <w:rPr>
          <w:rFonts w:ascii="Times New Roman" w:hAnsi="Times New Roman" w:cs="Times New Roman"/>
          <w:sz w:val="24"/>
          <w:szCs w:val="24"/>
        </w:rPr>
        <w:t xml:space="preserve"> </w:t>
      </w:r>
      <w:r w:rsidR="00594712" w:rsidRPr="008D2FA0">
        <w:rPr>
          <w:rFonts w:ascii="Times New Roman" w:hAnsi="Times New Roman" w:cs="Times New Roman"/>
          <w:sz w:val="24"/>
          <w:szCs w:val="24"/>
        </w:rPr>
        <w:t>a local conservation authority</w:t>
      </w:r>
      <w:r w:rsidR="005F7CDE">
        <w:rPr>
          <w:rFonts w:ascii="Times New Roman" w:hAnsi="Times New Roman" w:cs="Times New Roman"/>
          <w:sz w:val="24"/>
          <w:szCs w:val="24"/>
        </w:rPr>
        <w:t xml:space="preserve"> </w:t>
      </w:r>
      <w:r w:rsidR="00594712" w:rsidRPr="008D2FA0">
        <w:rPr>
          <w:rFonts w:ascii="Times New Roman" w:hAnsi="Times New Roman" w:cs="Times New Roman"/>
          <w:sz w:val="24"/>
          <w:szCs w:val="24"/>
        </w:rPr>
        <w:t xml:space="preserve">responsible for </w:t>
      </w:r>
      <w:r w:rsidR="00FF4A22" w:rsidRPr="008D2FA0">
        <w:rPr>
          <w:rFonts w:ascii="Times New Roman" w:hAnsi="Times New Roman" w:cs="Times New Roman"/>
          <w:sz w:val="24"/>
          <w:szCs w:val="24"/>
        </w:rPr>
        <w:t>natural areas</w:t>
      </w:r>
      <w:r w:rsidR="00FF4A22">
        <w:rPr>
          <w:rFonts w:ascii="Times New Roman" w:hAnsi="Times New Roman" w:cs="Times New Roman"/>
          <w:sz w:val="24"/>
          <w:szCs w:val="24"/>
        </w:rPr>
        <w:t xml:space="preserve">, </w:t>
      </w:r>
      <w:r w:rsidR="00FF4A22" w:rsidRPr="008D2FA0">
        <w:rPr>
          <w:rFonts w:ascii="Times New Roman" w:hAnsi="Times New Roman" w:cs="Times New Roman"/>
          <w:sz w:val="24"/>
          <w:szCs w:val="24"/>
        </w:rPr>
        <w:t xml:space="preserve">protected reserves, </w:t>
      </w:r>
      <w:r w:rsidR="00FF4A22">
        <w:rPr>
          <w:rFonts w:ascii="Times New Roman" w:hAnsi="Times New Roman" w:cs="Times New Roman"/>
          <w:sz w:val="24"/>
          <w:szCs w:val="24"/>
        </w:rPr>
        <w:t>and urban parks</w:t>
      </w:r>
      <w:r w:rsidR="00FF4A22" w:rsidRPr="008D2FA0" w:rsidDel="00FF4A22">
        <w:rPr>
          <w:rFonts w:ascii="Times New Roman" w:hAnsi="Times New Roman" w:cs="Times New Roman"/>
          <w:sz w:val="24"/>
          <w:szCs w:val="24"/>
        </w:rPr>
        <w:t xml:space="preserve"> </w:t>
      </w:r>
      <w:r w:rsidR="005F7CDE">
        <w:rPr>
          <w:rFonts w:ascii="Times New Roman" w:hAnsi="Times New Roman" w:cs="Times New Roman"/>
          <w:sz w:val="24"/>
          <w:szCs w:val="24"/>
        </w:rPr>
        <w:t>in the regional municipality of Halton</w:t>
      </w:r>
      <w:r w:rsidR="00594712" w:rsidRPr="008D2FA0">
        <w:rPr>
          <w:rFonts w:ascii="Times New Roman" w:hAnsi="Times New Roman" w:cs="Times New Roman"/>
          <w:sz w:val="24"/>
          <w:szCs w:val="24"/>
        </w:rPr>
        <w:t>.</w:t>
      </w:r>
      <w:r w:rsidR="00B0181F" w:rsidRPr="008D2FA0">
        <w:rPr>
          <w:rFonts w:ascii="Times New Roman" w:hAnsi="Times New Roman" w:cs="Times New Roman"/>
          <w:sz w:val="24"/>
          <w:szCs w:val="24"/>
        </w:rPr>
        <w:t xml:space="preserve"> </w:t>
      </w:r>
      <w:r w:rsidR="005F7CDE">
        <w:rPr>
          <w:rFonts w:ascii="Times New Roman" w:hAnsi="Times New Roman" w:cs="Times New Roman"/>
          <w:sz w:val="24"/>
          <w:szCs w:val="24"/>
        </w:rPr>
        <w:t>In the following study,</w:t>
      </w:r>
      <w:r w:rsidR="00B0181F" w:rsidRPr="008D2FA0">
        <w:rPr>
          <w:rFonts w:ascii="Times New Roman" w:hAnsi="Times New Roman" w:cs="Times New Roman"/>
          <w:sz w:val="24"/>
          <w:szCs w:val="24"/>
        </w:rPr>
        <w:t xml:space="preserve"> we develop methods for the synthesis, management, and analysis of </w:t>
      </w:r>
      <w:r w:rsidR="005F7CDE" w:rsidRPr="008D2FA0">
        <w:rPr>
          <w:rFonts w:ascii="Times New Roman" w:hAnsi="Times New Roman" w:cs="Times New Roman"/>
          <w:sz w:val="24"/>
          <w:szCs w:val="24"/>
        </w:rPr>
        <w:t xml:space="preserve">anonymized </w:t>
      </w:r>
      <w:r w:rsidR="00B0181F" w:rsidRPr="008D2FA0">
        <w:rPr>
          <w:rFonts w:ascii="Times New Roman" w:hAnsi="Times New Roman" w:cs="Times New Roman"/>
          <w:sz w:val="24"/>
          <w:szCs w:val="24"/>
        </w:rPr>
        <w:t xml:space="preserve">mobility data in </w:t>
      </w:r>
      <w:r w:rsidR="00775D3C">
        <w:rPr>
          <w:rFonts w:ascii="Times New Roman" w:hAnsi="Times New Roman" w:cs="Times New Roman"/>
          <w:sz w:val="24"/>
          <w:szCs w:val="24"/>
        </w:rPr>
        <w:t>green spaces by</w:t>
      </w:r>
      <w:r w:rsidR="005F7CDE">
        <w:rPr>
          <w:rFonts w:ascii="Times New Roman" w:hAnsi="Times New Roman" w:cs="Times New Roman"/>
          <w:sz w:val="24"/>
          <w:szCs w:val="24"/>
        </w:rPr>
        <w:t xml:space="preserve"> </w:t>
      </w:r>
      <w:r w:rsidR="00D14F78" w:rsidRPr="008D2FA0">
        <w:rPr>
          <w:rFonts w:ascii="Times New Roman" w:hAnsi="Times New Roman" w:cs="Times New Roman"/>
          <w:sz w:val="24"/>
          <w:szCs w:val="24"/>
        </w:rPr>
        <w:t>answer</w:t>
      </w:r>
      <w:r w:rsidR="005F7CDE">
        <w:rPr>
          <w:rFonts w:ascii="Times New Roman" w:hAnsi="Times New Roman" w:cs="Times New Roman"/>
          <w:sz w:val="24"/>
          <w:szCs w:val="24"/>
        </w:rPr>
        <w:t>ing</w:t>
      </w:r>
      <w:r w:rsidR="00D14F78" w:rsidRPr="008D2FA0">
        <w:rPr>
          <w:rFonts w:ascii="Times New Roman" w:hAnsi="Times New Roman" w:cs="Times New Roman"/>
          <w:sz w:val="24"/>
          <w:szCs w:val="24"/>
        </w:rPr>
        <w:t xml:space="preserve"> the following three questions: </w:t>
      </w:r>
    </w:p>
    <w:p w14:paraId="11B1424F" w14:textId="16DE40AE" w:rsidR="007E4023" w:rsidRPr="008D2FA0" w:rsidRDefault="003F6A45" w:rsidP="00C73D41">
      <w:pPr>
        <w:pStyle w:val="ListParagraph"/>
        <w:numPr>
          <w:ilvl w:val="0"/>
          <w:numId w:val="2"/>
        </w:numPr>
        <w:spacing w:line="480" w:lineRule="auto"/>
        <w:rPr>
          <w:rFonts w:ascii="Times New Roman" w:hAnsi="Times New Roman" w:cs="Times New Roman"/>
          <w:sz w:val="24"/>
          <w:szCs w:val="24"/>
        </w:rPr>
      </w:pPr>
      <w:bookmarkStart w:id="0" w:name="_Hlk94518784"/>
      <w:r w:rsidRPr="008D2FA0">
        <w:rPr>
          <w:rFonts w:ascii="Times New Roman" w:hAnsi="Times New Roman" w:cs="Times New Roman"/>
          <w:sz w:val="24"/>
          <w:szCs w:val="24"/>
        </w:rPr>
        <w:t>How does anonymized mobility data compare to traditional measures of human activity in urban green</w:t>
      </w:r>
      <w:r w:rsidR="007F71A3">
        <w:rPr>
          <w:rFonts w:ascii="Times New Roman" w:hAnsi="Times New Roman" w:cs="Times New Roman"/>
          <w:sz w:val="24"/>
          <w:szCs w:val="24"/>
        </w:rPr>
        <w:t xml:space="preserve"> </w:t>
      </w:r>
      <w:r w:rsidRPr="008D2FA0">
        <w:rPr>
          <w:rFonts w:ascii="Times New Roman" w:hAnsi="Times New Roman" w:cs="Times New Roman"/>
          <w:sz w:val="24"/>
          <w:szCs w:val="24"/>
        </w:rPr>
        <w:t xml:space="preserve">spaces, such as reservation data or trail density? </w:t>
      </w:r>
    </w:p>
    <w:p w14:paraId="1375A480" w14:textId="70F72A6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What information does mobility data capture that is different from traditional measures of greenspace use that is beneficial for land management?</w:t>
      </w:r>
    </w:p>
    <w:p w14:paraId="55221CF6" w14:textId="6384417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Can mobility data be used to correlate patterns of human activity to </w:t>
      </w:r>
      <w:r w:rsidR="008A0436">
        <w:rPr>
          <w:rFonts w:ascii="Times New Roman" w:hAnsi="Times New Roman" w:cs="Times New Roman"/>
          <w:sz w:val="24"/>
          <w:szCs w:val="24"/>
        </w:rPr>
        <w:t>the environment</w:t>
      </w:r>
      <w:r w:rsidRPr="008D2FA0">
        <w:rPr>
          <w:rFonts w:ascii="Times New Roman" w:hAnsi="Times New Roman" w:cs="Times New Roman"/>
          <w:sz w:val="24"/>
          <w:szCs w:val="24"/>
        </w:rPr>
        <w:t xml:space="preserve">? </w:t>
      </w:r>
    </w:p>
    <w:bookmarkEnd w:id="0"/>
    <w:p w14:paraId="127A8571" w14:textId="64FF6159" w:rsidR="00965826" w:rsidRPr="008D2FA0" w:rsidRDefault="004E3B3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To our knowledge, this is the first-time Mapbox Movement Data has been used to explore questions </w:t>
      </w:r>
      <w:r w:rsidR="00951C9C">
        <w:rPr>
          <w:rFonts w:ascii="Times New Roman" w:hAnsi="Times New Roman" w:cs="Times New Roman"/>
          <w:sz w:val="24"/>
          <w:szCs w:val="24"/>
        </w:rPr>
        <w:t>relating to human impacts on the environment</w:t>
      </w:r>
      <w:r w:rsidRPr="008D2FA0">
        <w:rPr>
          <w:rFonts w:ascii="Times New Roman" w:hAnsi="Times New Roman" w:cs="Times New Roman"/>
          <w:sz w:val="24"/>
          <w:szCs w:val="24"/>
        </w:rPr>
        <w:t xml:space="preserve">. Thus, we needed to develop tools for management, validation, and comparison, especially when </w:t>
      </w:r>
      <w:r w:rsidR="00951C9C">
        <w:rPr>
          <w:rFonts w:ascii="Times New Roman" w:hAnsi="Times New Roman" w:cs="Times New Roman"/>
          <w:sz w:val="24"/>
          <w:szCs w:val="24"/>
        </w:rPr>
        <w:t>evaluating</w:t>
      </w:r>
      <w:r w:rsidRPr="008D2FA0">
        <w:rPr>
          <w:rFonts w:ascii="Times New Roman" w:hAnsi="Times New Roman" w:cs="Times New Roman"/>
          <w:sz w:val="24"/>
          <w:szCs w:val="24"/>
        </w:rPr>
        <w:t xml:space="preserve"> biodiversity patterns</w:t>
      </w:r>
      <w:r w:rsidR="00951C9C">
        <w:rPr>
          <w:rFonts w:ascii="Times New Roman" w:hAnsi="Times New Roman" w:cs="Times New Roman"/>
          <w:sz w:val="24"/>
          <w:szCs w:val="24"/>
        </w:rPr>
        <w:t xml:space="preserve"> to </w:t>
      </w:r>
      <w:r w:rsidR="00951C9C">
        <w:rPr>
          <w:rFonts w:ascii="Times New Roman" w:hAnsi="Times New Roman" w:cs="Times New Roman"/>
          <w:sz w:val="24"/>
          <w:szCs w:val="24"/>
        </w:rPr>
        <w:lastRenderedPageBreak/>
        <w:t>connect of people to nature and support biological conservation in growing urban areas</w:t>
      </w:r>
      <w:r w:rsidRPr="008D2FA0">
        <w:rPr>
          <w:rFonts w:ascii="Times New Roman" w:hAnsi="Times New Roman" w:cs="Times New Roman"/>
          <w:sz w:val="24"/>
          <w:szCs w:val="24"/>
        </w:rPr>
        <w:t xml:space="preserve">. We share the related methods and scripts to facilitate future users of </w:t>
      </w:r>
      <w:r w:rsidR="000F1FDC">
        <w:rPr>
          <w:rFonts w:ascii="Times New Roman" w:hAnsi="Times New Roman" w:cs="Times New Roman"/>
          <w:sz w:val="24"/>
          <w:szCs w:val="24"/>
        </w:rPr>
        <w:t xml:space="preserve">mobility data for monitoring human activity in green spaces. </w:t>
      </w:r>
    </w:p>
    <w:p w14:paraId="7A6AADD5" w14:textId="77777777" w:rsidR="00785500" w:rsidRPr="008D2FA0" w:rsidRDefault="00785500" w:rsidP="00C73D41">
      <w:pPr>
        <w:spacing w:line="480" w:lineRule="auto"/>
        <w:rPr>
          <w:rFonts w:ascii="Times New Roman" w:hAnsi="Times New Roman" w:cs="Times New Roman"/>
          <w:sz w:val="24"/>
          <w:szCs w:val="24"/>
        </w:rPr>
      </w:pPr>
    </w:p>
    <w:p w14:paraId="290D6D2E" w14:textId="0B867FD0" w:rsidR="003F6A45" w:rsidRDefault="00825994"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2.0 Data</w:t>
      </w:r>
      <w:r w:rsidR="003F6A45" w:rsidRPr="008D2FA0">
        <w:rPr>
          <w:rFonts w:ascii="Times New Roman" w:hAnsi="Times New Roman" w:cs="Times New Roman"/>
          <w:b/>
          <w:bCs/>
          <w:sz w:val="24"/>
          <w:szCs w:val="24"/>
        </w:rPr>
        <w:t xml:space="preserve"> and Method</w:t>
      </w:r>
      <w:r w:rsidRPr="008D2FA0">
        <w:rPr>
          <w:rFonts w:ascii="Times New Roman" w:hAnsi="Times New Roman" w:cs="Times New Roman"/>
          <w:b/>
          <w:bCs/>
          <w:sz w:val="24"/>
          <w:szCs w:val="24"/>
        </w:rPr>
        <w:t>s</w:t>
      </w:r>
    </w:p>
    <w:p w14:paraId="5319C1A6" w14:textId="37CFF85E" w:rsidR="004E3B34" w:rsidRPr="00B67EAF" w:rsidRDefault="00785500"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2.</w:t>
      </w:r>
      <w:r w:rsidR="00FE6BD4" w:rsidRPr="00B67EAF">
        <w:rPr>
          <w:rFonts w:ascii="Times New Roman" w:hAnsi="Times New Roman" w:cs="Times New Roman"/>
          <w:i/>
          <w:iCs/>
          <w:sz w:val="24"/>
          <w:szCs w:val="24"/>
        </w:rPr>
        <w:t>1</w:t>
      </w:r>
      <w:r w:rsidRPr="00B67EAF">
        <w:rPr>
          <w:rFonts w:ascii="Times New Roman" w:hAnsi="Times New Roman" w:cs="Times New Roman"/>
          <w:i/>
          <w:iCs/>
          <w:sz w:val="24"/>
          <w:szCs w:val="24"/>
        </w:rPr>
        <w:t xml:space="preserve"> </w:t>
      </w:r>
      <w:r w:rsidR="004E3B34" w:rsidRPr="00B67EAF">
        <w:rPr>
          <w:rFonts w:ascii="Times New Roman" w:hAnsi="Times New Roman" w:cs="Times New Roman"/>
          <w:i/>
          <w:iCs/>
          <w:sz w:val="24"/>
          <w:szCs w:val="24"/>
        </w:rPr>
        <w:t>Mapbox Movement Data</w:t>
      </w:r>
    </w:p>
    <w:p w14:paraId="0581C7A5" w14:textId="40386CA4" w:rsidR="001C287B" w:rsidRPr="008D2FA0" w:rsidRDefault="00C81072"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We obtained anonymized mobility data from Mapbox for the Greater Toronto Region (</w:t>
      </w:r>
      <w:r w:rsidR="009912C1" w:rsidRPr="008D2FA0">
        <w:rPr>
          <w:rFonts w:ascii="Times New Roman" w:hAnsi="Times New Roman" w:cs="Times New Roman"/>
          <w:sz w:val="24"/>
          <w:szCs w:val="24"/>
        </w:rPr>
        <w:t>43.23° N – 44.35° N, 78.83° W - 80.26° W)</w:t>
      </w:r>
      <w:r w:rsidR="0078347B">
        <w:rPr>
          <w:rFonts w:ascii="Times New Roman" w:hAnsi="Times New Roman" w:cs="Times New Roman"/>
          <w:sz w:val="24"/>
          <w:szCs w:val="24"/>
        </w:rPr>
        <w:t xml:space="preserve"> which includes the regional municipality of Halton</w:t>
      </w:r>
      <w:r w:rsidRPr="008D2FA0">
        <w:rPr>
          <w:rFonts w:ascii="Times New Roman" w:hAnsi="Times New Roman" w:cs="Times New Roman"/>
          <w:sz w:val="24"/>
          <w:szCs w:val="24"/>
        </w:rPr>
        <w:t>. Mapbox is a</w:t>
      </w:r>
      <w:r w:rsidR="009912C1" w:rsidRPr="008D2FA0">
        <w:rPr>
          <w:rFonts w:ascii="Times New Roman" w:hAnsi="Times New Roman" w:cs="Times New Roman"/>
          <w:sz w:val="24"/>
          <w:szCs w:val="24"/>
        </w:rPr>
        <w:t xml:space="preserve"> private company that specializes in location data with products for application development. The data </w:t>
      </w:r>
      <w:r w:rsidR="0078347B">
        <w:rPr>
          <w:rFonts w:ascii="Times New Roman" w:hAnsi="Times New Roman" w:cs="Times New Roman"/>
          <w:sz w:val="24"/>
          <w:szCs w:val="24"/>
        </w:rPr>
        <w:t>were</w:t>
      </w:r>
      <w:r w:rsidR="0078347B" w:rsidRPr="008D2FA0">
        <w:rPr>
          <w:rFonts w:ascii="Times New Roman" w:hAnsi="Times New Roman" w:cs="Times New Roman"/>
          <w:sz w:val="24"/>
          <w:szCs w:val="24"/>
        </w:rPr>
        <w:t xml:space="preserve"> </w:t>
      </w:r>
      <w:r w:rsidR="009912C1" w:rsidRPr="008D2FA0">
        <w:rPr>
          <w:rFonts w:ascii="Times New Roman" w:hAnsi="Times New Roman" w:cs="Times New Roman"/>
          <w:sz w:val="24"/>
          <w:szCs w:val="24"/>
        </w:rPr>
        <w:t xml:space="preserve">provided </w:t>
      </w:r>
      <w:r w:rsidR="0078347B">
        <w:rPr>
          <w:rFonts w:ascii="Times New Roman" w:hAnsi="Times New Roman" w:cs="Times New Roman"/>
          <w:sz w:val="24"/>
          <w:szCs w:val="24"/>
        </w:rPr>
        <w:t xml:space="preserve">in </w:t>
      </w:r>
      <w:r w:rsidR="009912C1" w:rsidRPr="008D2FA0">
        <w:rPr>
          <w:rFonts w:ascii="Times New Roman" w:hAnsi="Times New Roman" w:cs="Times New Roman"/>
          <w:sz w:val="24"/>
          <w:szCs w:val="24"/>
        </w:rPr>
        <w:t>aggregated</w:t>
      </w:r>
      <w:r w:rsidR="0078347B">
        <w:rPr>
          <w:rFonts w:ascii="Times New Roman" w:hAnsi="Times New Roman" w:cs="Times New Roman"/>
          <w:sz w:val="24"/>
          <w:szCs w:val="24"/>
        </w:rPr>
        <w:t>,</w:t>
      </w:r>
      <w:r w:rsidR="009912C1" w:rsidRPr="008D2FA0">
        <w:rPr>
          <w:rFonts w:ascii="Times New Roman" w:hAnsi="Times New Roman" w:cs="Times New Roman"/>
          <w:sz w:val="24"/>
          <w:szCs w:val="24"/>
        </w:rPr>
        <w:t xml:space="preserve"> 100 x 100 m grid cells</w:t>
      </w:r>
      <w:r w:rsidR="0078347B">
        <w:rPr>
          <w:rFonts w:ascii="Times New Roman" w:hAnsi="Times New Roman" w:cs="Times New Roman"/>
          <w:sz w:val="24"/>
          <w:szCs w:val="24"/>
        </w:rPr>
        <w:t>,</w:t>
      </w:r>
      <w:r w:rsidR="009912C1" w:rsidRPr="008D2FA0">
        <w:rPr>
          <w:rFonts w:ascii="Times New Roman" w:hAnsi="Times New Roman" w:cs="Times New Roman"/>
          <w:sz w:val="24"/>
          <w:szCs w:val="24"/>
        </w:rPr>
        <w:t xml:space="preserve"> for June, July, and August 2020</w:t>
      </w:r>
      <w:r w:rsidR="009D7422">
        <w:rPr>
          <w:rFonts w:ascii="Times New Roman" w:hAnsi="Times New Roman" w:cs="Times New Roman"/>
          <w:sz w:val="24"/>
          <w:szCs w:val="24"/>
        </w:rPr>
        <w:t xml:space="preserve"> by Mapbox</w:t>
      </w:r>
      <w:commentRangeStart w:id="1"/>
      <w:r w:rsidR="009912C1" w:rsidRPr="008D2FA0">
        <w:rPr>
          <w:rFonts w:ascii="Times New Roman" w:hAnsi="Times New Roman" w:cs="Times New Roman"/>
          <w:sz w:val="24"/>
          <w:szCs w:val="24"/>
        </w:rPr>
        <w:t>.</w:t>
      </w:r>
      <w:commentRangeEnd w:id="1"/>
      <w:r w:rsidR="00701789">
        <w:rPr>
          <w:rStyle w:val="CommentReference"/>
        </w:rPr>
        <w:commentReference w:id="1"/>
      </w:r>
      <w:r w:rsidR="00C57FC7" w:rsidRPr="008D2FA0">
        <w:rPr>
          <w:rFonts w:ascii="Times New Roman" w:hAnsi="Times New Roman" w:cs="Times New Roman"/>
          <w:sz w:val="24"/>
          <w:szCs w:val="24"/>
        </w:rPr>
        <w:t xml:space="preserve"> Each grid cell has a monthly average value for 2-hour time windows throughout </w:t>
      </w:r>
      <w:r w:rsidR="0078347B">
        <w:rPr>
          <w:rFonts w:ascii="Times New Roman" w:hAnsi="Times New Roman" w:cs="Times New Roman"/>
          <w:sz w:val="24"/>
          <w:szCs w:val="24"/>
        </w:rPr>
        <w:t>a complete 24-hour</w:t>
      </w:r>
      <w:r w:rsidR="00C57FC7" w:rsidRPr="008D2FA0">
        <w:rPr>
          <w:rFonts w:ascii="Times New Roman" w:hAnsi="Times New Roman" w:cs="Times New Roman"/>
          <w:sz w:val="24"/>
          <w:szCs w:val="24"/>
        </w:rPr>
        <w:t xml:space="preserve"> day. Monthly averages are also separated into weekdays (Monday-Friday) and weekends (Saturday and Sunday).</w:t>
      </w:r>
      <w:r w:rsidR="009912C1" w:rsidRPr="008D2FA0">
        <w:rPr>
          <w:rFonts w:ascii="Times New Roman" w:hAnsi="Times New Roman" w:cs="Times New Roman"/>
          <w:sz w:val="24"/>
          <w:szCs w:val="24"/>
        </w:rPr>
        <w:t xml:space="preserve"> </w:t>
      </w:r>
      <w:r w:rsidR="00C57FC7" w:rsidRPr="008D2FA0">
        <w:rPr>
          <w:rFonts w:ascii="Times New Roman" w:hAnsi="Times New Roman" w:cs="Times New Roman"/>
          <w:sz w:val="24"/>
          <w:szCs w:val="24"/>
        </w:rPr>
        <w:t xml:space="preserve">To anonymize the mobility data, grid cells with activity levels below a threshold </w:t>
      </w:r>
      <w:r w:rsidR="00E63D90">
        <w:rPr>
          <w:rFonts w:ascii="Times New Roman" w:hAnsi="Times New Roman" w:cs="Times New Roman"/>
          <w:sz w:val="24"/>
          <w:szCs w:val="24"/>
        </w:rPr>
        <w:t>were</w:t>
      </w:r>
      <w:r w:rsidR="00C57FC7" w:rsidRPr="008D2FA0">
        <w:rPr>
          <w:rFonts w:ascii="Times New Roman" w:hAnsi="Times New Roman" w:cs="Times New Roman"/>
          <w:sz w:val="24"/>
          <w:szCs w:val="24"/>
        </w:rPr>
        <w:t xml:space="preserve"> removed</w:t>
      </w:r>
      <w:r w:rsidR="00E63D90">
        <w:rPr>
          <w:rFonts w:ascii="Times New Roman" w:hAnsi="Times New Roman" w:cs="Times New Roman"/>
          <w:sz w:val="24"/>
          <w:szCs w:val="24"/>
        </w:rPr>
        <w:t xml:space="preserve"> by Mapbox</w:t>
      </w:r>
      <w:r w:rsidR="00C57FC7" w:rsidRPr="008D2FA0">
        <w:rPr>
          <w:rFonts w:ascii="Times New Roman" w:hAnsi="Times New Roman" w:cs="Times New Roman"/>
          <w:sz w:val="24"/>
          <w:szCs w:val="24"/>
        </w:rPr>
        <w:t xml:space="preserve">. Additionally, all activity patterns </w:t>
      </w:r>
      <w:r w:rsidR="0048548D" w:rsidRPr="008D2FA0">
        <w:rPr>
          <w:rFonts w:ascii="Times New Roman" w:hAnsi="Times New Roman" w:cs="Times New Roman"/>
          <w:sz w:val="24"/>
          <w:szCs w:val="24"/>
        </w:rPr>
        <w:t xml:space="preserve">are normalized (i.e., scaled between 0 and 1) across the entire dataset. The activity pattern found within a </w:t>
      </w:r>
      <w:r w:rsidR="001C287B" w:rsidRPr="008D2FA0">
        <w:rPr>
          <w:rFonts w:ascii="Times New Roman" w:hAnsi="Times New Roman" w:cs="Times New Roman"/>
          <w:sz w:val="24"/>
          <w:szCs w:val="24"/>
        </w:rPr>
        <w:t>grid</w:t>
      </w:r>
      <w:r w:rsidR="009E7E34">
        <w:rPr>
          <w:rFonts w:ascii="Times New Roman" w:hAnsi="Times New Roman" w:cs="Times New Roman"/>
          <w:sz w:val="24"/>
          <w:szCs w:val="24"/>
        </w:rPr>
        <w:t xml:space="preserve"> </w:t>
      </w:r>
      <w:r w:rsidR="001C287B" w:rsidRPr="008D2FA0">
        <w:rPr>
          <w:rFonts w:ascii="Times New Roman" w:hAnsi="Times New Roman" w:cs="Times New Roman"/>
          <w:sz w:val="24"/>
          <w:szCs w:val="24"/>
        </w:rPr>
        <w:t xml:space="preserve">cell therefore represents the relative human activity between areas and not the raw total. </w:t>
      </w:r>
    </w:p>
    <w:p w14:paraId="23677073" w14:textId="1253831C" w:rsidR="000E792B" w:rsidRDefault="001C287B"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The data provided by Mapbox require</w:t>
      </w:r>
      <w:r w:rsidR="00E63D90">
        <w:rPr>
          <w:rFonts w:ascii="Times New Roman" w:hAnsi="Times New Roman" w:cs="Times New Roman"/>
          <w:sz w:val="24"/>
          <w:szCs w:val="24"/>
        </w:rPr>
        <w:t>s</w:t>
      </w:r>
      <w:r w:rsidRPr="008D2FA0">
        <w:rPr>
          <w:rFonts w:ascii="Times New Roman" w:hAnsi="Times New Roman" w:cs="Times New Roman"/>
          <w:sz w:val="24"/>
          <w:szCs w:val="24"/>
        </w:rPr>
        <w:t xml:space="preserve"> processing for comparisons with other spatial data. The anonymized mobility data </w:t>
      </w:r>
      <w:r w:rsidR="00E63D90">
        <w:rPr>
          <w:rFonts w:ascii="Times New Roman" w:hAnsi="Times New Roman" w:cs="Times New Roman"/>
          <w:sz w:val="24"/>
          <w:szCs w:val="24"/>
        </w:rPr>
        <w:t>is</w:t>
      </w:r>
      <w:r w:rsidRPr="008D2FA0">
        <w:rPr>
          <w:rFonts w:ascii="Times New Roman" w:hAnsi="Times New Roman" w:cs="Times New Roman"/>
          <w:sz w:val="24"/>
          <w:szCs w:val="24"/>
        </w:rPr>
        <w:t xml:space="preserve"> a text delimited file with a column specifying the boundaries of the grid cell. </w:t>
      </w:r>
      <w:r w:rsidR="00351C70" w:rsidRPr="008D2FA0">
        <w:rPr>
          <w:rFonts w:ascii="Times New Roman" w:hAnsi="Times New Roman" w:cs="Times New Roman"/>
          <w:sz w:val="24"/>
          <w:szCs w:val="24"/>
        </w:rPr>
        <w:t xml:space="preserve">We found the intersection of each grid cell with the properties managed by Conservation Halton through an iterative loop. The file size for this dataset was large (&gt; 4 million observations) and difficult to manage </w:t>
      </w:r>
      <w:r w:rsidR="0078657F">
        <w:rPr>
          <w:rFonts w:ascii="Times New Roman" w:hAnsi="Times New Roman" w:cs="Times New Roman"/>
          <w:sz w:val="24"/>
          <w:szCs w:val="24"/>
        </w:rPr>
        <w:t xml:space="preserve">by </w:t>
      </w:r>
      <w:r w:rsidR="00351C70" w:rsidRPr="008D2FA0">
        <w:rPr>
          <w:rFonts w:ascii="Times New Roman" w:hAnsi="Times New Roman" w:cs="Times New Roman"/>
          <w:sz w:val="24"/>
          <w:szCs w:val="24"/>
        </w:rPr>
        <w:t xml:space="preserve">personal computers. We conduct this </w:t>
      </w:r>
      <w:r w:rsidR="00351C70" w:rsidRPr="008D2FA0">
        <w:rPr>
          <w:rFonts w:ascii="Times New Roman" w:hAnsi="Times New Roman" w:cs="Times New Roman"/>
          <w:sz w:val="24"/>
          <w:szCs w:val="24"/>
        </w:rPr>
        <w:lastRenderedPageBreak/>
        <w:t>intersection process in parallel for efficiency in runtime on the Compute Canada high-performance computing cluster (</w:t>
      </w:r>
      <w:hyperlink r:id="rId14" w:history="1">
        <w:r w:rsidR="009E7E34" w:rsidRPr="00C91AD0">
          <w:rPr>
            <w:rStyle w:val="Hyperlink"/>
            <w:rFonts w:ascii="Times New Roman" w:hAnsi="Times New Roman" w:cs="Times New Roman"/>
            <w:sz w:val="24"/>
            <w:szCs w:val="24"/>
          </w:rPr>
          <w:t>www.computecanada.ca/</w:t>
        </w:r>
      </w:hyperlink>
      <w:r w:rsidR="00351C70" w:rsidRPr="008D2FA0">
        <w:rPr>
          <w:rFonts w:ascii="Times New Roman" w:hAnsi="Times New Roman" w:cs="Times New Roman"/>
          <w:sz w:val="24"/>
          <w:szCs w:val="24"/>
        </w:rPr>
        <w:t xml:space="preserve">). We provide a function </w:t>
      </w:r>
      <w:r w:rsidR="000E792B" w:rsidRPr="008D2FA0">
        <w:rPr>
          <w:rFonts w:ascii="Times New Roman" w:hAnsi="Times New Roman" w:cs="Times New Roman"/>
          <w:sz w:val="24"/>
          <w:szCs w:val="24"/>
        </w:rPr>
        <w:t xml:space="preserve">for matching spatial files in </w:t>
      </w:r>
      <w:r w:rsidR="000E792B" w:rsidRPr="009E7E34">
        <w:rPr>
          <w:rFonts w:ascii="Times New Roman" w:hAnsi="Times New Roman" w:cs="Times New Roman"/>
          <w:i/>
          <w:iCs/>
          <w:sz w:val="24"/>
          <w:szCs w:val="24"/>
        </w:rPr>
        <w:t>R</w:t>
      </w:r>
      <w:r w:rsidR="000E792B" w:rsidRPr="008D2FA0">
        <w:rPr>
          <w:rFonts w:ascii="Times New Roman" w:hAnsi="Times New Roman" w:cs="Times New Roman"/>
          <w:sz w:val="24"/>
          <w:szCs w:val="24"/>
        </w:rPr>
        <w:t xml:space="preserve"> (e.g., </w:t>
      </w:r>
      <w:r w:rsidR="000E792B" w:rsidRPr="00AA286C">
        <w:rPr>
          <w:rFonts w:ascii="Times New Roman" w:hAnsi="Times New Roman" w:cs="Times New Roman"/>
          <w:i/>
          <w:iCs/>
          <w:sz w:val="24"/>
          <w:szCs w:val="24"/>
        </w:rPr>
        <w:t>sf</w:t>
      </w:r>
      <w:r w:rsidR="000E792B" w:rsidRPr="008D2FA0">
        <w:rPr>
          <w:rFonts w:ascii="Times New Roman" w:hAnsi="Times New Roman" w:cs="Times New Roman"/>
          <w:sz w:val="24"/>
          <w:szCs w:val="24"/>
        </w:rPr>
        <w:t xml:space="preserve">, </w:t>
      </w:r>
      <w:r w:rsidR="000E792B" w:rsidRPr="00AA286C">
        <w:rPr>
          <w:rFonts w:ascii="Times New Roman" w:hAnsi="Times New Roman" w:cs="Times New Roman"/>
          <w:i/>
          <w:iCs/>
          <w:sz w:val="24"/>
          <w:szCs w:val="24"/>
        </w:rPr>
        <w:t>sfc</w:t>
      </w:r>
      <w:r w:rsidR="000E792B" w:rsidRPr="008D2FA0">
        <w:rPr>
          <w:rFonts w:ascii="Times New Roman" w:hAnsi="Times New Roman" w:cs="Times New Roman"/>
          <w:sz w:val="24"/>
          <w:szCs w:val="24"/>
        </w:rPr>
        <w:t>) to the grid cells from the mobility data for future users (</w:t>
      </w:r>
      <w:r w:rsidR="000E792B" w:rsidRPr="000F74AD">
        <w:rPr>
          <w:rFonts w:ascii="Times New Roman" w:hAnsi="Times New Roman" w:cs="Times New Roman"/>
          <w:i/>
          <w:iCs/>
          <w:sz w:val="24"/>
          <w:szCs w:val="24"/>
        </w:rPr>
        <w:t>functions.r</w:t>
      </w:r>
      <w:r w:rsidR="000E792B" w:rsidRPr="008D2FA0">
        <w:rPr>
          <w:rFonts w:ascii="Times New Roman" w:hAnsi="Times New Roman" w:cs="Times New Roman"/>
          <w:sz w:val="24"/>
          <w:szCs w:val="24"/>
        </w:rPr>
        <w:t xml:space="preserve">). The output produced was a spatial data file (SF class; package sf) that had grid cells masked to the Conservation Halton </w:t>
      </w:r>
      <w:r w:rsidR="00F93E79">
        <w:rPr>
          <w:rFonts w:ascii="Times New Roman" w:hAnsi="Times New Roman" w:cs="Times New Roman"/>
          <w:sz w:val="24"/>
          <w:szCs w:val="24"/>
        </w:rPr>
        <w:t>green spaces</w:t>
      </w:r>
      <w:r w:rsidR="000E792B" w:rsidRPr="008D2FA0">
        <w:rPr>
          <w:rFonts w:ascii="Times New Roman" w:hAnsi="Times New Roman" w:cs="Times New Roman"/>
          <w:sz w:val="24"/>
          <w:szCs w:val="24"/>
        </w:rPr>
        <w:t xml:space="preserve">. </w:t>
      </w:r>
    </w:p>
    <w:p w14:paraId="5E918BEF" w14:textId="26915830" w:rsidR="00DD19B4" w:rsidRPr="008D2FA0" w:rsidRDefault="00DD19B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Grid cells that were found to intersect on Conservation Halton properties often ended up masked to an area smaller than the full 100 x 100 m bounding box (for an example, see Figure 1). Many grids were reduced to areas that were only a fraction of the full size. However, the activity value for that grid cell remained unadjusted. To adjust the activity patterns to more accurately reflect the activity registered, we multiplied the mobility data for every grid cell by the polygon area of the respective cell. We also log-transformed the adjusted mobility data to account for wide right-skew in the data.  </w:t>
      </w:r>
    </w:p>
    <w:p w14:paraId="644B0496" w14:textId="13A951E6" w:rsidR="00773A19" w:rsidRDefault="00D11069"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A significant challenge with using the mobility data for </w:t>
      </w:r>
      <w:r w:rsidR="00F93E79">
        <w:rPr>
          <w:rFonts w:ascii="Times New Roman" w:hAnsi="Times New Roman" w:cs="Times New Roman"/>
          <w:sz w:val="24"/>
          <w:szCs w:val="24"/>
        </w:rPr>
        <w:t>green spaces</w:t>
      </w:r>
      <w:r w:rsidRPr="008D2FA0">
        <w:rPr>
          <w:rFonts w:ascii="Times New Roman" w:hAnsi="Times New Roman" w:cs="Times New Roman"/>
          <w:sz w:val="24"/>
          <w:szCs w:val="24"/>
        </w:rPr>
        <w:t xml:space="preserve"> was the accidental inclusion of activity outside of the </w:t>
      </w:r>
      <w:r w:rsidR="00F93E79">
        <w:rPr>
          <w:rFonts w:ascii="Times New Roman" w:hAnsi="Times New Roman" w:cs="Times New Roman"/>
          <w:sz w:val="24"/>
          <w:szCs w:val="24"/>
        </w:rPr>
        <w:t>green space</w:t>
      </w:r>
      <w:r w:rsidRPr="008D2FA0">
        <w:rPr>
          <w:rFonts w:ascii="Times New Roman" w:hAnsi="Times New Roman" w:cs="Times New Roman"/>
          <w:sz w:val="24"/>
          <w:szCs w:val="24"/>
        </w:rPr>
        <w:t xml:space="preserve">. Roads and highways were especially challenging </w:t>
      </w:r>
      <w:r w:rsidR="005C1D94">
        <w:rPr>
          <w:rFonts w:ascii="Times New Roman" w:hAnsi="Times New Roman" w:cs="Times New Roman"/>
          <w:sz w:val="24"/>
          <w:szCs w:val="24"/>
        </w:rPr>
        <w:t>when adjacent to</w:t>
      </w:r>
      <w:r w:rsidR="005C1D94" w:rsidRPr="008D2FA0">
        <w:rPr>
          <w:rFonts w:ascii="Times New Roman" w:hAnsi="Times New Roman" w:cs="Times New Roman"/>
          <w:sz w:val="24"/>
          <w:szCs w:val="24"/>
        </w:rPr>
        <w:t xml:space="preserve"> </w:t>
      </w:r>
      <w:r w:rsidR="005C1D94">
        <w:rPr>
          <w:rFonts w:ascii="Times New Roman" w:hAnsi="Times New Roman" w:cs="Times New Roman"/>
          <w:sz w:val="24"/>
          <w:szCs w:val="24"/>
        </w:rPr>
        <w:t xml:space="preserve">property </w:t>
      </w:r>
      <w:r w:rsidRPr="008D2FA0">
        <w:rPr>
          <w:rFonts w:ascii="Times New Roman" w:hAnsi="Times New Roman" w:cs="Times New Roman"/>
          <w:sz w:val="24"/>
          <w:szCs w:val="24"/>
        </w:rPr>
        <w:t>boundaries</w:t>
      </w:r>
      <w:r w:rsidR="005C1D94">
        <w:rPr>
          <w:rFonts w:ascii="Times New Roman" w:hAnsi="Times New Roman" w:cs="Times New Roman"/>
          <w:sz w:val="24"/>
          <w:szCs w:val="24"/>
        </w:rPr>
        <w:t>,</w:t>
      </w:r>
      <w:r w:rsidRPr="008D2FA0">
        <w:rPr>
          <w:rFonts w:ascii="Times New Roman" w:hAnsi="Times New Roman" w:cs="Times New Roman"/>
          <w:sz w:val="24"/>
          <w:szCs w:val="24"/>
        </w:rPr>
        <w:t xml:space="preserve"> </w:t>
      </w:r>
      <w:r w:rsidR="005C1D94">
        <w:rPr>
          <w:rFonts w:ascii="Times New Roman" w:hAnsi="Times New Roman" w:cs="Times New Roman"/>
          <w:sz w:val="24"/>
          <w:szCs w:val="24"/>
        </w:rPr>
        <w:t>causing</w:t>
      </w:r>
      <w:r w:rsidRPr="008D2FA0">
        <w:rPr>
          <w:rFonts w:ascii="Times New Roman" w:hAnsi="Times New Roman" w:cs="Times New Roman"/>
          <w:sz w:val="24"/>
          <w:szCs w:val="24"/>
        </w:rPr>
        <w:t xml:space="preserve"> high activity patterns that are likely not reflective of the activity within the property. Removing grid</w:t>
      </w:r>
      <w:r w:rsidR="008D2FA0" w:rsidRPr="008D2FA0">
        <w:rPr>
          <w:rFonts w:ascii="Times New Roman" w:hAnsi="Times New Roman" w:cs="Times New Roman"/>
          <w:sz w:val="24"/>
          <w:szCs w:val="24"/>
        </w:rPr>
        <w:t xml:space="preserve"> </w:t>
      </w:r>
      <w:r w:rsidRPr="008D2FA0">
        <w:rPr>
          <w:rFonts w:ascii="Times New Roman" w:hAnsi="Times New Roman" w:cs="Times New Roman"/>
          <w:sz w:val="24"/>
          <w:szCs w:val="24"/>
        </w:rPr>
        <w:t xml:space="preserve">cells individually based on proximity to road is labourious, requires spatial information about roads, and can be subjective. For a more systematic approach, we identified any grid cell with human activity between 12 – 6 am. </w:t>
      </w:r>
      <w:r w:rsidR="00BA3490" w:rsidRPr="008D2FA0">
        <w:rPr>
          <w:rFonts w:ascii="Times New Roman" w:hAnsi="Times New Roman" w:cs="Times New Roman"/>
          <w:sz w:val="24"/>
          <w:szCs w:val="24"/>
        </w:rPr>
        <w:t xml:space="preserve">Many of the </w:t>
      </w:r>
      <w:r w:rsidR="00F93E79">
        <w:rPr>
          <w:rFonts w:ascii="Times New Roman" w:hAnsi="Times New Roman" w:cs="Times New Roman"/>
          <w:sz w:val="24"/>
          <w:szCs w:val="24"/>
        </w:rPr>
        <w:t>green spaces</w:t>
      </w:r>
      <w:r w:rsidR="005C1D94" w:rsidRPr="008D2FA0">
        <w:rPr>
          <w:rFonts w:ascii="Times New Roman" w:hAnsi="Times New Roman" w:cs="Times New Roman"/>
          <w:sz w:val="24"/>
          <w:szCs w:val="24"/>
        </w:rPr>
        <w:t xml:space="preserve"> </w:t>
      </w:r>
      <w:r w:rsidR="00BA3490" w:rsidRPr="008D2FA0">
        <w:rPr>
          <w:rFonts w:ascii="Times New Roman" w:hAnsi="Times New Roman" w:cs="Times New Roman"/>
          <w:sz w:val="24"/>
          <w:szCs w:val="24"/>
        </w:rPr>
        <w:t xml:space="preserve">are closed to access overnight and </w:t>
      </w:r>
      <w:r w:rsidR="00BF18FE" w:rsidRPr="008D2FA0">
        <w:rPr>
          <w:rFonts w:ascii="Times New Roman" w:hAnsi="Times New Roman" w:cs="Times New Roman"/>
          <w:sz w:val="24"/>
          <w:szCs w:val="24"/>
        </w:rPr>
        <w:t>the remaining properties likely experience substantially lower traffic</w:t>
      </w:r>
      <w:r w:rsidR="008D2FA0" w:rsidRPr="008D2FA0">
        <w:rPr>
          <w:rFonts w:ascii="Times New Roman" w:hAnsi="Times New Roman" w:cs="Times New Roman"/>
          <w:sz w:val="24"/>
          <w:szCs w:val="24"/>
        </w:rPr>
        <w:t xml:space="preserve"> compared to daytime hours</w:t>
      </w:r>
      <w:r w:rsidR="00BF18FE" w:rsidRPr="008D2FA0">
        <w:rPr>
          <w:rFonts w:ascii="Times New Roman" w:hAnsi="Times New Roman" w:cs="Times New Roman"/>
          <w:sz w:val="24"/>
          <w:szCs w:val="24"/>
        </w:rPr>
        <w:t>. The activity in these areas between 12 – 6 am are likely below the threshold identified by Mapbox for human activity. Conversely, roads and adjacent commercial operations remain activ</w:t>
      </w:r>
      <w:r w:rsidR="008D2FA0" w:rsidRPr="008D2FA0">
        <w:rPr>
          <w:rFonts w:ascii="Times New Roman" w:hAnsi="Times New Roman" w:cs="Times New Roman"/>
          <w:sz w:val="24"/>
          <w:szCs w:val="24"/>
        </w:rPr>
        <w:t>e</w:t>
      </w:r>
      <w:r w:rsidR="00BF18FE" w:rsidRPr="008D2FA0">
        <w:rPr>
          <w:rFonts w:ascii="Times New Roman" w:hAnsi="Times New Roman" w:cs="Times New Roman"/>
          <w:sz w:val="24"/>
          <w:szCs w:val="24"/>
        </w:rPr>
        <w:t xml:space="preserve"> during overnight hours. </w:t>
      </w:r>
      <w:r w:rsidR="008D2FA0" w:rsidRPr="008D2FA0">
        <w:rPr>
          <w:rFonts w:ascii="Times New Roman" w:hAnsi="Times New Roman" w:cs="Times New Roman"/>
          <w:sz w:val="24"/>
          <w:szCs w:val="24"/>
        </w:rPr>
        <w:t>Therefore, w</w:t>
      </w:r>
      <w:r w:rsidR="00BF18FE" w:rsidRPr="008D2FA0">
        <w:rPr>
          <w:rFonts w:ascii="Times New Roman" w:hAnsi="Times New Roman" w:cs="Times New Roman"/>
          <w:sz w:val="24"/>
          <w:szCs w:val="24"/>
        </w:rPr>
        <w:t xml:space="preserve">e </w:t>
      </w:r>
      <w:r w:rsidR="00BF18FE" w:rsidRPr="008D2FA0">
        <w:rPr>
          <w:rFonts w:ascii="Times New Roman" w:hAnsi="Times New Roman" w:cs="Times New Roman"/>
          <w:sz w:val="24"/>
          <w:szCs w:val="24"/>
        </w:rPr>
        <w:lastRenderedPageBreak/>
        <w:t xml:space="preserve">excluded any grid cell with activity during these select hours to remove activity outside of the </w:t>
      </w:r>
      <w:r w:rsidR="00F93E79">
        <w:rPr>
          <w:rFonts w:ascii="Times New Roman" w:hAnsi="Times New Roman" w:cs="Times New Roman"/>
          <w:sz w:val="24"/>
          <w:szCs w:val="24"/>
        </w:rPr>
        <w:t>green spaces</w:t>
      </w:r>
      <w:r w:rsidR="005C1D94" w:rsidRPr="008D2FA0">
        <w:rPr>
          <w:rFonts w:ascii="Times New Roman" w:hAnsi="Times New Roman" w:cs="Times New Roman"/>
          <w:sz w:val="24"/>
          <w:szCs w:val="24"/>
        </w:rPr>
        <w:t xml:space="preserve"> </w:t>
      </w:r>
      <w:r w:rsidR="00BF18FE" w:rsidRPr="008D2FA0">
        <w:rPr>
          <w:rFonts w:ascii="Times New Roman" w:hAnsi="Times New Roman" w:cs="Times New Roman"/>
          <w:sz w:val="24"/>
          <w:szCs w:val="24"/>
        </w:rPr>
        <w:t xml:space="preserve">from being reported (Appendix </w:t>
      </w:r>
      <w:r w:rsidR="00FE6BD4">
        <w:rPr>
          <w:rFonts w:ascii="Times New Roman" w:hAnsi="Times New Roman" w:cs="Times New Roman"/>
          <w:sz w:val="24"/>
          <w:szCs w:val="24"/>
        </w:rPr>
        <w:t>S1)</w:t>
      </w:r>
      <w:r w:rsidR="00BF18FE" w:rsidRPr="008D2FA0">
        <w:rPr>
          <w:rFonts w:ascii="Times New Roman" w:hAnsi="Times New Roman" w:cs="Times New Roman"/>
          <w:sz w:val="24"/>
          <w:szCs w:val="24"/>
        </w:rPr>
        <w:t xml:space="preserve">. </w:t>
      </w:r>
    </w:p>
    <w:p w14:paraId="15AAC84B" w14:textId="77777777" w:rsidR="00C73D41" w:rsidRDefault="00C73D41" w:rsidP="00C73D41">
      <w:pPr>
        <w:spacing w:line="480" w:lineRule="auto"/>
        <w:rPr>
          <w:rFonts w:ascii="Times New Roman" w:hAnsi="Times New Roman" w:cs="Times New Roman"/>
          <w:sz w:val="24"/>
          <w:szCs w:val="24"/>
        </w:rPr>
      </w:pPr>
    </w:p>
    <w:p w14:paraId="3BF36878" w14:textId="036F1292" w:rsidR="00FE6BD4" w:rsidRPr="00CC3103" w:rsidRDefault="00FE6BD4" w:rsidP="00C73D41">
      <w:pPr>
        <w:spacing w:line="480" w:lineRule="auto"/>
        <w:rPr>
          <w:rFonts w:ascii="Times New Roman" w:hAnsi="Times New Roman" w:cs="Times New Roman"/>
          <w:i/>
          <w:iCs/>
          <w:sz w:val="24"/>
          <w:szCs w:val="24"/>
        </w:rPr>
      </w:pPr>
      <w:r w:rsidRPr="00CC3103">
        <w:rPr>
          <w:rFonts w:ascii="Times New Roman" w:hAnsi="Times New Roman" w:cs="Times New Roman"/>
          <w:i/>
          <w:iCs/>
          <w:sz w:val="24"/>
          <w:szCs w:val="24"/>
        </w:rPr>
        <w:t xml:space="preserve">2.2 </w:t>
      </w:r>
      <w:r w:rsidR="00F93E79">
        <w:rPr>
          <w:rFonts w:ascii="Times New Roman" w:hAnsi="Times New Roman" w:cs="Times New Roman"/>
          <w:i/>
          <w:iCs/>
          <w:sz w:val="24"/>
          <w:szCs w:val="24"/>
        </w:rPr>
        <w:t>G</w:t>
      </w:r>
      <w:r w:rsidRPr="00CC3103">
        <w:rPr>
          <w:rFonts w:ascii="Times New Roman" w:hAnsi="Times New Roman" w:cs="Times New Roman"/>
          <w:i/>
          <w:iCs/>
          <w:sz w:val="24"/>
          <w:szCs w:val="24"/>
        </w:rPr>
        <w:t>reen</w:t>
      </w:r>
      <w:r w:rsidR="00F93E79">
        <w:rPr>
          <w:rFonts w:ascii="Times New Roman" w:hAnsi="Times New Roman" w:cs="Times New Roman"/>
          <w:i/>
          <w:iCs/>
          <w:sz w:val="24"/>
          <w:szCs w:val="24"/>
        </w:rPr>
        <w:t xml:space="preserve"> </w:t>
      </w:r>
      <w:r w:rsidRPr="00CC3103">
        <w:rPr>
          <w:rFonts w:ascii="Times New Roman" w:hAnsi="Times New Roman" w:cs="Times New Roman"/>
          <w:i/>
          <w:iCs/>
          <w:sz w:val="24"/>
          <w:szCs w:val="24"/>
        </w:rPr>
        <w:t>space data</w:t>
      </w:r>
    </w:p>
    <w:p w14:paraId="03FBA4DB" w14:textId="497206E9" w:rsidR="00FE6BD4" w:rsidRDefault="00FE6BD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a case study for using anonymized mobility data with </w:t>
      </w:r>
      <w:r w:rsidR="00F93E79">
        <w:rPr>
          <w:rFonts w:ascii="Times New Roman" w:hAnsi="Times New Roman" w:cs="Times New Roman"/>
          <w:sz w:val="24"/>
          <w:szCs w:val="24"/>
        </w:rPr>
        <w:t>green spaces</w:t>
      </w:r>
      <w:r>
        <w:rPr>
          <w:rFonts w:ascii="Times New Roman" w:hAnsi="Times New Roman" w:cs="Times New Roman"/>
          <w:sz w:val="24"/>
          <w:szCs w:val="24"/>
        </w:rPr>
        <w:t xml:space="preserve">, we selected 53 </w:t>
      </w:r>
      <w:r w:rsidR="00F93E79">
        <w:rPr>
          <w:rFonts w:ascii="Times New Roman" w:hAnsi="Times New Roman" w:cs="Times New Roman"/>
          <w:sz w:val="24"/>
          <w:szCs w:val="24"/>
        </w:rPr>
        <w:t>green spaces</w:t>
      </w:r>
      <w:r w:rsidR="005C1D94">
        <w:rPr>
          <w:rFonts w:ascii="Times New Roman" w:hAnsi="Times New Roman" w:cs="Times New Roman"/>
          <w:sz w:val="24"/>
          <w:szCs w:val="24"/>
        </w:rPr>
        <w:t xml:space="preserve"> </w:t>
      </w:r>
      <w:r>
        <w:rPr>
          <w:rFonts w:ascii="Times New Roman" w:hAnsi="Times New Roman" w:cs="Times New Roman"/>
          <w:sz w:val="24"/>
          <w:szCs w:val="24"/>
        </w:rPr>
        <w:t xml:space="preserve">managed by Conservation Halton in Ontario, Canada. Conservation Halton is a conservation authority empowered by the provincial government to manage </w:t>
      </w:r>
      <w:r w:rsidR="00F93E79">
        <w:rPr>
          <w:rFonts w:ascii="Times New Roman" w:hAnsi="Times New Roman" w:cs="Times New Roman"/>
          <w:sz w:val="24"/>
          <w:szCs w:val="24"/>
        </w:rPr>
        <w:t>green spaces</w:t>
      </w:r>
      <w:r>
        <w:rPr>
          <w:rFonts w:ascii="Times New Roman" w:hAnsi="Times New Roman" w:cs="Times New Roman"/>
          <w:sz w:val="24"/>
          <w:szCs w:val="24"/>
        </w:rPr>
        <w:t xml:space="preserve"> for biological conservation, the preservation of ecosystem services, and for human recreation. The 53 </w:t>
      </w:r>
      <w:r w:rsidR="00F93E79">
        <w:rPr>
          <w:rFonts w:ascii="Times New Roman" w:hAnsi="Times New Roman" w:cs="Times New Roman"/>
          <w:sz w:val="24"/>
          <w:szCs w:val="24"/>
        </w:rPr>
        <w:t>green spaces</w:t>
      </w:r>
      <w:r w:rsidR="005C1D94">
        <w:rPr>
          <w:rFonts w:ascii="Times New Roman" w:hAnsi="Times New Roman" w:cs="Times New Roman"/>
          <w:sz w:val="24"/>
          <w:szCs w:val="24"/>
        </w:rPr>
        <w:t xml:space="preserve"> </w:t>
      </w:r>
      <w:r>
        <w:rPr>
          <w:rFonts w:ascii="Times New Roman" w:hAnsi="Times New Roman" w:cs="Times New Roman"/>
          <w:sz w:val="24"/>
          <w:szCs w:val="24"/>
        </w:rPr>
        <w:t>include a range of management types including conservation area</w:t>
      </w:r>
      <w:r w:rsidR="008B37C8">
        <w:rPr>
          <w:rFonts w:ascii="Times New Roman" w:hAnsi="Times New Roman" w:cs="Times New Roman"/>
          <w:sz w:val="24"/>
          <w:szCs w:val="24"/>
        </w:rPr>
        <w:t>s</w:t>
      </w:r>
      <w:r>
        <w:rPr>
          <w:rFonts w:ascii="Times New Roman" w:hAnsi="Times New Roman" w:cs="Times New Roman"/>
          <w:sz w:val="24"/>
          <w:szCs w:val="24"/>
        </w:rPr>
        <w:t xml:space="preserve"> used for recreation</w:t>
      </w:r>
      <w:r w:rsidR="008B37C8">
        <w:rPr>
          <w:rFonts w:ascii="Times New Roman" w:hAnsi="Times New Roman" w:cs="Times New Roman"/>
          <w:sz w:val="24"/>
          <w:szCs w:val="24"/>
        </w:rPr>
        <w:t xml:space="preserve"> and conservation</w:t>
      </w:r>
      <w:r>
        <w:rPr>
          <w:rFonts w:ascii="Times New Roman" w:hAnsi="Times New Roman" w:cs="Times New Roman"/>
          <w:sz w:val="24"/>
          <w:szCs w:val="24"/>
        </w:rPr>
        <w:t>, natural area</w:t>
      </w:r>
      <w:r w:rsidR="008B37C8">
        <w:rPr>
          <w:rFonts w:ascii="Times New Roman" w:hAnsi="Times New Roman" w:cs="Times New Roman"/>
          <w:sz w:val="24"/>
          <w:szCs w:val="24"/>
        </w:rPr>
        <w:t>s</w:t>
      </w:r>
      <w:r>
        <w:rPr>
          <w:rFonts w:ascii="Times New Roman" w:hAnsi="Times New Roman" w:cs="Times New Roman"/>
          <w:sz w:val="24"/>
          <w:szCs w:val="24"/>
        </w:rPr>
        <w:t xml:space="preserve"> </w:t>
      </w:r>
      <w:r w:rsidR="008B37C8">
        <w:rPr>
          <w:rFonts w:ascii="Times New Roman" w:hAnsi="Times New Roman" w:cs="Times New Roman"/>
          <w:sz w:val="24"/>
          <w:szCs w:val="24"/>
        </w:rPr>
        <w:t>where human visitation is not facilitated (i.e., no parking lots or trails), reserve areas where human activity is limited (</w:t>
      </w:r>
      <w:r w:rsidR="0006069B">
        <w:rPr>
          <w:rFonts w:ascii="Times New Roman" w:hAnsi="Times New Roman" w:cs="Times New Roman"/>
          <w:sz w:val="24"/>
          <w:szCs w:val="24"/>
        </w:rPr>
        <w:t>e.g.,</w:t>
      </w:r>
      <w:r w:rsidR="008B37C8">
        <w:rPr>
          <w:rFonts w:ascii="Times New Roman" w:hAnsi="Times New Roman" w:cs="Times New Roman"/>
          <w:sz w:val="24"/>
          <w:szCs w:val="24"/>
        </w:rPr>
        <w:t xml:space="preserve"> fencing), and other areas that include stormwater management spaces and city parks (Table </w:t>
      </w:r>
      <w:r w:rsidR="009E7E34">
        <w:rPr>
          <w:rFonts w:ascii="Times New Roman" w:hAnsi="Times New Roman" w:cs="Times New Roman"/>
          <w:sz w:val="24"/>
          <w:szCs w:val="24"/>
        </w:rPr>
        <w:t>2</w:t>
      </w:r>
      <w:r w:rsidR="008B37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74930B1" w14:textId="1BD49E31" w:rsidR="0006069B" w:rsidRDefault="0006069B"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During the summer of 2020</w:t>
      </w:r>
      <w:r w:rsidR="00976957">
        <w:rPr>
          <w:rFonts w:ascii="Times New Roman" w:hAnsi="Times New Roman" w:cs="Times New Roman"/>
          <w:sz w:val="24"/>
          <w:szCs w:val="24"/>
        </w:rPr>
        <w:t>,</w:t>
      </w:r>
      <w:r>
        <w:rPr>
          <w:rFonts w:ascii="Times New Roman" w:hAnsi="Times New Roman" w:cs="Times New Roman"/>
          <w:sz w:val="24"/>
          <w:szCs w:val="24"/>
        </w:rPr>
        <w:t xml:space="preserve"> visitation to seven of the</w:t>
      </w:r>
      <w:r w:rsidR="00976957">
        <w:rPr>
          <w:rFonts w:ascii="Times New Roman" w:hAnsi="Times New Roman" w:cs="Times New Roman"/>
          <w:sz w:val="24"/>
          <w:szCs w:val="24"/>
        </w:rPr>
        <w:t xml:space="preserve"> </w:t>
      </w:r>
      <w:r w:rsidR="00F93E79">
        <w:rPr>
          <w:rFonts w:ascii="Times New Roman" w:hAnsi="Times New Roman" w:cs="Times New Roman"/>
          <w:sz w:val="24"/>
          <w:szCs w:val="24"/>
        </w:rPr>
        <w:t>green spaces</w:t>
      </w:r>
      <w:r w:rsidR="00976957">
        <w:rPr>
          <w:rFonts w:ascii="Times New Roman" w:hAnsi="Times New Roman" w:cs="Times New Roman"/>
          <w:sz w:val="24"/>
          <w:szCs w:val="24"/>
        </w:rPr>
        <w:t xml:space="preserve"> managed as</w:t>
      </w:r>
      <w:r>
        <w:rPr>
          <w:rFonts w:ascii="Times New Roman" w:hAnsi="Times New Roman" w:cs="Times New Roman"/>
          <w:sz w:val="24"/>
          <w:szCs w:val="24"/>
        </w:rPr>
        <w:t xml:space="preserve"> conservation areas was controlled through reservations because of the Covid-19 pandemic. </w:t>
      </w:r>
      <w:r w:rsidR="00437220">
        <w:rPr>
          <w:rFonts w:ascii="Times New Roman" w:hAnsi="Times New Roman" w:cs="Times New Roman"/>
          <w:sz w:val="24"/>
          <w:szCs w:val="24"/>
        </w:rPr>
        <w:t>Individuals</w:t>
      </w:r>
      <w:r>
        <w:rPr>
          <w:rFonts w:ascii="Times New Roman" w:hAnsi="Times New Roman" w:cs="Times New Roman"/>
          <w:sz w:val="24"/>
          <w:szCs w:val="24"/>
        </w:rPr>
        <w:t xml:space="preserve"> with reservations were allowed to visit the </w:t>
      </w:r>
      <w:r w:rsidR="00F93E79">
        <w:rPr>
          <w:rFonts w:ascii="Times New Roman" w:hAnsi="Times New Roman" w:cs="Times New Roman"/>
          <w:sz w:val="24"/>
          <w:szCs w:val="24"/>
        </w:rPr>
        <w:t>green space</w:t>
      </w:r>
      <w:r w:rsidR="00976957">
        <w:rPr>
          <w:rFonts w:ascii="Times New Roman" w:hAnsi="Times New Roman" w:cs="Times New Roman"/>
          <w:sz w:val="24"/>
          <w:szCs w:val="24"/>
        </w:rPr>
        <w:t xml:space="preserve"> </w:t>
      </w:r>
      <w:r>
        <w:rPr>
          <w:rFonts w:ascii="Times New Roman" w:hAnsi="Times New Roman" w:cs="Times New Roman"/>
          <w:sz w:val="24"/>
          <w:szCs w:val="24"/>
        </w:rPr>
        <w:t xml:space="preserve">between 9 am and 6 pm for a maximum of 2 hours. These seven </w:t>
      </w:r>
      <w:r w:rsidR="00F93E79">
        <w:rPr>
          <w:rFonts w:ascii="Times New Roman" w:hAnsi="Times New Roman" w:cs="Times New Roman"/>
          <w:sz w:val="24"/>
          <w:szCs w:val="24"/>
        </w:rPr>
        <w:t>green spaces</w:t>
      </w:r>
      <w:r w:rsidR="00976957">
        <w:rPr>
          <w:rFonts w:ascii="Times New Roman" w:hAnsi="Times New Roman" w:cs="Times New Roman"/>
          <w:sz w:val="24"/>
          <w:szCs w:val="24"/>
        </w:rPr>
        <w:t xml:space="preserve"> </w:t>
      </w:r>
      <w:r>
        <w:rPr>
          <w:rFonts w:ascii="Times New Roman" w:hAnsi="Times New Roman" w:cs="Times New Roman"/>
          <w:sz w:val="24"/>
          <w:szCs w:val="24"/>
        </w:rPr>
        <w:t>are among the most popular within Conservation Halton with features including waterbodies, rock formations</w:t>
      </w:r>
      <w:r w:rsidR="009E7E34">
        <w:rPr>
          <w:rFonts w:ascii="Times New Roman" w:hAnsi="Times New Roman" w:cs="Times New Roman"/>
          <w:sz w:val="24"/>
          <w:szCs w:val="24"/>
        </w:rPr>
        <w:t xml:space="preserve">, look-out sand </w:t>
      </w:r>
      <w:r>
        <w:rPr>
          <w:rFonts w:ascii="Times New Roman" w:hAnsi="Times New Roman" w:cs="Times New Roman"/>
          <w:sz w:val="24"/>
          <w:szCs w:val="24"/>
        </w:rPr>
        <w:t>well</w:t>
      </w:r>
      <w:r w:rsidR="001A6C81">
        <w:rPr>
          <w:rFonts w:ascii="Times New Roman" w:hAnsi="Times New Roman" w:cs="Times New Roman"/>
          <w:sz w:val="24"/>
          <w:szCs w:val="24"/>
        </w:rPr>
        <w:t>-</w:t>
      </w:r>
      <w:r>
        <w:rPr>
          <w:rFonts w:ascii="Times New Roman" w:hAnsi="Times New Roman" w:cs="Times New Roman"/>
          <w:sz w:val="24"/>
          <w:szCs w:val="24"/>
        </w:rPr>
        <w:t>developed trail network</w:t>
      </w:r>
      <w:r w:rsidR="00976957">
        <w:rPr>
          <w:rFonts w:ascii="Times New Roman" w:hAnsi="Times New Roman" w:cs="Times New Roman"/>
          <w:sz w:val="24"/>
          <w:szCs w:val="24"/>
        </w:rPr>
        <w:t>s</w:t>
      </w:r>
      <w:r>
        <w:rPr>
          <w:rFonts w:ascii="Times New Roman" w:hAnsi="Times New Roman" w:cs="Times New Roman"/>
          <w:sz w:val="24"/>
          <w:szCs w:val="24"/>
        </w:rPr>
        <w:t>.</w:t>
      </w:r>
      <w:r w:rsidR="00437220">
        <w:rPr>
          <w:rFonts w:ascii="Times New Roman" w:hAnsi="Times New Roman" w:cs="Times New Roman"/>
          <w:sz w:val="24"/>
          <w:szCs w:val="24"/>
        </w:rPr>
        <w:t xml:space="preserve"> We obtained the reservation data for visitors that attended these seven properties for June, July, and August 2020. </w:t>
      </w:r>
      <w:r w:rsidR="00976957">
        <w:rPr>
          <w:rFonts w:ascii="Times New Roman" w:hAnsi="Times New Roman" w:cs="Times New Roman"/>
          <w:sz w:val="24"/>
          <w:szCs w:val="24"/>
        </w:rPr>
        <w:t xml:space="preserve">Each </w:t>
      </w:r>
      <w:r w:rsidR="00437220">
        <w:rPr>
          <w:rFonts w:ascii="Times New Roman" w:hAnsi="Times New Roman" w:cs="Times New Roman"/>
          <w:sz w:val="24"/>
          <w:szCs w:val="24"/>
        </w:rPr>
        <w:t xml:space="preserve">reservation included the number of individuals, the time of check-in, and </w:t>
      </w:r>
      <w:r w:rsidR="00976957">
        <w:rPr>
          <w:rFonts w:ascii="Times New Roman" w:hAnsi="Times New Roman" w:cs="Times New Roman"/>
          <w:sz w:val="24"/>
          <w:szCs w:val="24"/>
        </w:rPr>
        <w:t xml:space="preserve">the </w:t>
      </w:r>
      <w:r w:rsidR="00437220">
        <w:rPr>
          <w:rFonts w:ascii="Times New Roman" w:hAnsi="Times New Roman" w:cs="Times New Roman"/>
          <w:sz w:val="24"/>
          <w:szCs w:val="24"/>
        </w:rPr>
        <w:t xml:space="preserve">park visited. Additionally, we obtained information about the </w:t>
      </w:r>
      <w:r w:rsidR="0078657F">
        <w:rPr>
          <w:rFonts w:ascii="Times New Roman" w:hAnsi="Times New Roman" w:cs="Times New Roman"/>
          <w:sz w:val="24"/>
          <w:szCs w:val="24"/>
        </w:rPr>
        <w:t>property</w:t>
      </w:r>
      <w:r w:rsidR="00437220">
        <w:rPr>
          <w:rFonts w:ascii="Times New Roman" w:hAnsi="Times New Roman" w:cs="Times New Roman"/>
          <w:sz w:val="24"/>
          <w:szCs w:val="24"/>
        </w:rPr>
        <w:t xml:space="preserve"> boundaries, ecological land classification, and officially managed trail network from </w:t>
      </w:r>
      <w:r w:rsidR="009E7E34">
        <w:rPr>
          <w:rFonts w:ascii="Times New Roman" w:hAnsi="Times New Roman" w:cs="Times New Roman"/>
          <w:sz w:val="24"/>
          <w:szCs w:val="24"/>
        </w:rPr>
        <w:t xml:space="preserve">green space </w:t>
      </w:r>
      <w:r w:rsidR="00437220">
        <w:rPr>
          <w:rFonts w:ascii="Times New Roman" w:hAnsi="Times New Roman" w:cs="Times New Roman"/>
          <w:sz w:val="24"/>
          <w:szCs w:val="24"/>
        </w:rPr>
        <w:t>Conservation Halton’s open data portal</w:t>
      </w:r>
      <w:r w:rsidR="00D90D8D">
        <w:rPr>
          <w:rFonts w:ascii="Times New Roman" w:hAnsi="Times New Roman" w:cs="Times New Roman"/>
          <w:sz w:val="24"/>
          <w:szCs w:val="24"/>
        </w:rPr>
        <w:t xml:space="preserve"> (</w:t>
      </w:r>
      <w:hyperlink r:id="rId15" w:history="1">
        <w:r w:rsidR="00D90D8D" w:rsidRPr="00C91AD0">
          <w:rPr>
            <w:rStyle w:val="Hyperlink"/>
            <w:rFonts w:ascii="Times New Roman" w:hAnsi="Times New Roman" w:cs="Times New Roman"/>
            <w:sz w:val="24"/>
            <w:szCs w:val="24"/>
          </w:rPr>
          <w:t>www.conservationhalton.ca/mapping-and-data</w:t>
        </w:r>
      </w:hyperlink>
      <w:r w:rsidR="00D90D8D">
        <w:rPr>
          <w:rFonts w:ascii="Times New Roman" w:hAnsi="Times New Roman" w:cs="Times New Roman"/>
          <w:sz w:val="24"/>
          <w:szCs w:val="24"/>
        </w:rPr>
        <w:t>)</w:t>
      </w:r>
      <w:r w:rsidR="00437220">
        <w:rPr>
          <w:rFonts w:ascii="Times New Roman" w:hAnsi="Times New Roman" w:cs="Times New Roman"/>
          <w:sz w:val="24"/>
          <w:szCs w:val="24"/>
        </w:rPr>
        <w:t xml:space="preserve">. The </w:t>
      </w:r>
      <w:r w:rsidR="00437220">
        <w:rPr>
          <w:rFonts w:ascii="Times New Roman" w:hAnsi="Times New Roman" w:cs="Times New Roman"/>
          <w:sz w:val="24"/>
          <w:szCs w:val="24"/>
        </w:rPr>
        <w:lastRenderedPageBreak/>
        <w:t xml:space="preserve">ecological land classification categorizes land formations and vegetation communities to assist in the characterization of the landscape (Lee et al., 1998). Through ground surveys, lands are </w:t>
      </w:r>
      <w:r w:rsidR="00976957">
        <w:rPr>
          <w:rFonts w:ascii="Times New Roman" w:hAnsi="Times New Roman" w:cs="Times New Roman"/>
          <w:sz w:val="24"/>
          <w:szCs w:val="24"/>
        </w:rPr>
        <w:t xml:space="preserve">grouped </w:t>
      </w:r>
      <w:r w:rsidR="00437220">
        <w:rPr>
          <w:rFonts w:ascii="Times New Roman" w:hAnsi="Times New Roman" w:cs="Times New Roman"/>
          <w:sz w:val="24"/>
          <w:szCs w:val="24"/>
        </w:rPr>
        <w:t xml:space="preserve">into different classifications such as marsh, forest, dune, </w:t>
      </w:r>
      <w:r w:rsidR="00976957">
        <w:rPr>
          <w:rFonts w:ascii="Times New Roman" w:hAnsi="Times New Roman" w:cs="Times New Roman"/>
          <w:sz w:val="24"/>
          <w:szCs w:val="24"/>
        </w:rPr>
        <w:t xml:space="preserve">and </w:t>
      </w:r>
      <w:r w:rsidR="00437220">
        <w:rPr>
          <w:rFonts w:ascii="Times New Roman" w:hAnsi="Times New Roman" w:cs="Times New Roman"/>
          <w:sz w:val="24"/>
          <w:szCs w:val="24"/>
        </w:rPr>
        <w:t xml:space="preserve">swamp.   </w:t>
      </w:r>
    </w:p>
    <w:p w14:paraId="265C3F41" w14:textId="06DC3329" w:rsidR="00FE6BD4" w:rsidRDefault="00FB4A6D" w:rsidP="00C73D41">
      <w:pPr>
        <w:spacing w:line="480" w:lineRule="auto"/>
        <w:rPr>
          <w:rFonts w:ascii="Times New Roman" w:hAnsi="Times New Roman" w:cs="Times New Roman"/>
          <w:sz w:val="24"/>
          <w:szCs w:val="24"/>
        </w:rPr>
      </w:pPr>
      <w:r>
        <w:rPr>
          <w:rFonts w:ascii="Times New Roman" w:hAnsi="Times New Roman" w:cs="Times New Roman"/>
          <w:sz w:val="24"/>
          <w:szCs w:val="24"/>
        </w:rPr>
        <w:tab/>
        <w:t>Tree surveys were conducted at eleven unique sites in Conservation Halton between 2006 and 2019</w:t>
      </w:r>
      <w:commentRangeStart w:id="2"/>
      <w:r>
        <w:rPr>
          <w:rFonts w:ascii="Times New Roman" w:hAnsi="Times New Roman" w:cs="Times New Roman"/>
          <w:sz w:val="24"/>
          <w:szCs w:val="24"/>
        </w:rPr>
        <w:t xml:space="preserve">. </w:t>
      </w:r>
      <w:commentRangeEnd w:id="2"/>
      <w:r>
        <w:rPr>
          <w:rStyle w:val="CommentReference"/>
        </w:rPr>
        <w:commentReference w:id="2"/>
      </w:r>
      <w:r>
        <w:rPr>
          <w:rFonts w:ascii="Times New Roman" w:hAnsi="Times New Roman" w:cs="Times New Roman"/>
          <w:sz w:val="24"/>
          <w:szCs w:val="24"/>
        </w:rPr>
        <w:t>Although the mobility data was acquired for 2020, the composition of tree species at these sites remains relatively constant between years. To confirm composition did not change significantly between years, we conducted a constrained correspondence analysis with year as a predictor and found it did not significant effect tree species (</w:t>
      </w:r>
      <w:r w:rsidR="0072537E">
        <w:rPr>
          <w:rFonts w:ascii="Times New Roman" w:hAnsi="Times New Roman" w:cs="Times New Roman"/>
          <w:sz w:val="24"/>
          <w:szCs w:val="24"/>
        </w:rPr>
        <w:t>F</w:t>
      </w:r>
      <w:r w:rsidR="0072537E">
        <w:rPr>
          <w:rFonts w:ascii="Times New Roman" w:hAnsi="Times New Roman" w:cs="Times New Roman"/>
          <w:sz w:val="24"/>
          <w:szCs w:val="24"/>
          <w:vertAlign w:val="subscript"/>
        </w:rPr>
        <w:t xml:space="preserve">26 </w:t>
      </w:r>
      <w:r w:rsidR="0072537E">
        <w:rPr>
          <w:rFonts w:ascii="Times New Roman" w:hAnsi="Times New Roman" w:cs="Times New Roman"/>
          <w:sz w:val="24"/>
          <w:szCs w:val="24"/>
        </w:rPr>
        <w:t xml:space="preserve">= 1.26, </w:t>
      </w:r>
      <w:r>
        <w:rPr>
          <w:rFonts w:ascii="Times New Roman" w:hAnsi="Times New Roman" w:cs="Times New Roman"/>
          <w:sz w:val="24"/>
          <w:szCs w:val="24"/>
        </w:rPr>
        <w:t xml:space="preserve">p = 0.23).  </w:t>
      </w:r>
    </w:p>
    <w:p w14:paraId="77AE7A8A" w14:textId="77777777" w:rsidR="00FB4A6D" w:rsidRDefault="00FB4A6D" w:rsidP="00C73D41">
      <w:pPr>
        <w:spacing w:line="480" w:lineRule="auto"/>
        <w:rPr>
          <w:rFonts w:ascii="Times New Roman" w:hAnsi="Times New Roman" w:cs="Times New Roman"/>
          <w:sz w:val="24"/>
          <w:szCs w:val="24"/>
        </w:rPr>
      </w:pPr>
    </w:p>
    <w:p w14:paraId="74069AC2" w14:textId="5B3B5382" w:rsidR="00724EE6" w:rsidRPr="00B67EAF" w:rsidRDefault="005E5C19"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 xml:space="preserve">2.3 </w:t>
      </w:r>
      <w:r w:rsidR="00724EE6" w:rsidRPr="00B67EAF">
        <w:rPr>
          <w:rFonts w:ascii="Times New Roman" w:hAnsi="Times New Roman" w:cs="Times New Roman"/>
          <w:i/>
          <w:iCs/>
          <w:sz w:val="24"/>
          <w:szCs w:val="24"/>
        </w:rPr>
        <w:t xml:space="preserve">Data analysis </w:t>
      </w:r>
    </w:p>
    <w:p w14:paraId="4269FD23" w14:textId="453A21E2" w:rsidR="00BF18FE" w:rsidRDefault="00C73D41"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every </w:t>
      </w:r>
      <w:r w:rsidR="00F93E79">
        <w:rPr>
          <w:rFonts w:ascii="Times New Roman" w:hAnsi="Times New Roman" w:cs="Times New Roman"/>
          <w:sz w:val="24"/>
          <w:szCs w:val="24"/>
        </w:rPr>
        <w:t>green space</w:t>
      </w:r>
      <w:r>
        <w:rPr>
          <w:rFonts w:ascii="Times New Roman" w:hAnsi="Times New Roman" w:cs="Times New Roman"/>
          <w:sz w:val="24"/>
          <w:szCs w:val="24"/>
        </w:rPr>
        <w:t xml:space="preserve">, we calculated the total </w:t>
      </w:r>
      <w:r w:rsidR="005A1A38">
        <w:rPr>
          <w:rFonts w:ascii="Times New Roman" w:hAnsi="Times New Roman" w:cs="Times New Roman"/>
          <w:sz w:val="24"/>
          <w:szCs w:val="24"/>
        </w:rPr>
        <w:t>adjusted mobility data and divided it by the area of the respective property</w:t>
      </w:r>
      <w:r w:rsidR="00C7561C">
        <w:rPr>
          <w:rFonts w:ascii="Times New Roman" w:hAnsi="Times New Roman" w:cs="Times New Roman"/>
          <w:sz w:val="24"/>
          <w:szCs w:val="24"/>
        </w:rPr>
        <w:t xml:space="preserve"> (Eq. 1)</w:t>
      </w:r>
      <w:r w:rsidR="005A1A38">
        <w:rPr>
          <w:rFonts w:ascii="Times New Roman" w:hAnsi="Times New Roman" w:cs="Times New Roman"/>
          <w:sz w:val="24"/>
          <w:szCs w:val="24"/>
        </w:rPr>
        <w:t>.</w:t>
      </w:r>
      <w:r w:rsidR="002F284F">
        <w:rPr>
          <w:rFonts w:ascii="Times New Roman" w:hAnsi="Times New Roman" w:cs="Times New Roman"/>
          <w:sz w:val="24"/>
          <w:szCs w:val="24"/>
        </w:rPr>
        <w:t>To quantify total mobile activity, w</w:t>
      </w:r>
      <w:r w:rsidR="005A1A38">
        <w:rPr>
          <w:rFonts w:ascii="Times New Roman" w:hAnsi="Times New Roman" w:cs="Times New Roman"/>
          <w:sz w:val="24"/>
          <w:szCs w:val="24"/>
        </w:rPr>
        <w:t>e used sum</w:t>
      </w:r>
      <w:r w:rsidR="002F284F">
        <w:rPr>
          <w:rFonts w:ascii="Times New Roman" w:hAnsi="Times New Roman" w:cs="Times New Roman"/>
          <w:sz w:val="24"/>
          <w:szCs w:val="24"/>
        </w:rPr>
        <w:t xml:space="preserve"> of an unbiased estimate,</w:t>
      </w:r>
      <w:r w:rsidR="005A1A38">
        <w:rPr>
          <w:rFonts w:ascii="Times New Roman" w:hAnsi="Times New Roman" w:cs="Times New Roman"/>
          <w:sz w:val="24"/>
          <w:szCs w:val="24"/>
        </w:rPr>
        <w:t xml:space="preserve"> rather than median or mean</w:t>
      </w:r>
      <w:r w:rsidR="002F284F">
        <w:rPr>
          <w:rFonts w:ascii="Times New Roman" w:hAnsi="Times New Roman" w:cs="Times New Roman"/>
          <w:sz w:val="24"/>
          <w:szCs w:val="24"/>
        </w:rPr>
        <w:t>,</w:t>
      </w:r>
      <w:r w:rsidR="005A1A38">
        <w:rPr>
          <w:rFonts w:ascii="Times New Roman" w:hAnsi="Times New Roman" w:cs="Times New Roman"/>
          <w:sz w:val="24"/>
          <w:szCs w:val="24"/>
        </w:rPr>
        <w:t xml:space="preserve"> because the number of grid cells varies over time </w:t>
      </w:r>
      <w:r w:rsidR="00EA06E2">
        <w:rPr>
          <w:rFonts w:ascii="Times New Roman" w:hAnsi="Times New Roman" w:cs="Times New Roman"/>
          <w:sz w:val="24"/>
          <w:szCs w:val="24"/>
        </w:rPr>
        <w:t xml:space="preserve">due to </w:t>
      </w:r>
      <w:r w:rsidR="005A1A38">
        <w:rPr>
          <w:rFonts w:ascii="Times New Roman" w:hAnsi="Times New Roman" w:cs="Times New Roman"/>
          <w:sz w:val="24"/>
          <w:szCs w:val="24"/>
        </w:rPr>
        <w:t xml:space="preserve">the thresholding of activity that is applied to anonymize the data (i.e., no grid cells have zero values, they are simply absent). Thus, to obtain density of activity for comparisons among properties, we divided the sum adjusted activity by </w:t>
      </w:r>
      <w:r w:rsidR="00EA06E2">
        <w:rPr>
          <w:rFonts w:ascii="Times New Roman" w:hAnsi="Times New Roman" w:cs="Times New Roman"/>
          <w:sz w:val="24"/>
          <w:szCs w:val="24"/>
        </w:rPr>
        <w:t xml:space="preserve">the </w:t>
      </w:r>
      <w:r w:rsidR="005A1A38">
        <w:rPr>
          <w:rFonts w:ascii="Times New Roman" w:hAnsi="Times New Roman" w:cs="Times New Roman"/>
          <w:sz w:val="24"/>
          <w:szCs w:val="24"/>
        </w:rPr>
        <w:t xml:space="preserve">area of the </w:t>
      </w:r>
      <w:r w:rsidR="00F93E79">
        <w:rPr>
          <w:rFonts w:ascii="Times New Roman" w:hAnsi="Times New Roman" w:cs="Times New Roman"/>
          <w:sz w:val="24"/>
          <w:szCs w:val="24"/>
        </w:rPr>
        <w:t>green space</w:t>
      </w:r>
      <w:r w:rsidR="005A1A38">
        <w:rPr>
          <w:rFonts w:ascii="Times New Roman" w:hAnsi="Times New Roman" w:cs="Times New Roman"/>
          <w:sz w:val="24"/>
          <w:szCs w:val="24"/>
        </w:rPr>
        <w:t xml:space="preserve">. We calculated the density of </w:t>
      </w:r>
      <w:r w:rsidR="00903E61">
        <w:rPr>
          <w:rFonts w:ascii="Times New Roman" w:hAnsi="Times New Roman" w:cs="Times New Roman"/>
          <w:sz w:val="24"/>
          <w:szCs w:val="24"/>
        </w:rPr>
        <w:t>adjusted mobility data across all months</w:t>
      </w:r>
      <w:r w:rsidR="00EA06E2">
        <w:rPr>
          <w:rFonts w:ascii="Times New Roman" w:hAnsi="Times New Roman" w:cs="Times New Roman"/>
          <w:sz w:val="24"/>
          <w:szCs w:val="24"/>
        </w:rPr>
        <w:t xml:space="preserve"> </w:t>
      </w:r>
      <w:r w:rsidR="00903E61">
        <w:rPr>
          <w:rFonts w:ascii="Times New Roman" w:hAnsi="Times New Roman" w:cs="Times New Roman"/>
          <w:sz w:val="24"/>
          <w:szCs w:val="24"/>
        </w:rPr>
        <w:t xml:space="preserve">but separated for weekdays and weekends. </w:t>
      </w:r>
      <w:r w:rsidR="00312FFA">
        <w:rPr>
          <w:rFonts w:ascii="Times New Roman" w:hAnsi="Times New Roman" w:cs="Times New Roman"/>
          <w:sz w:val="24"/>
          <w:szCs w:val="24"/>
        </w:rPr>
        <w:t xml:space="preserve">For every property, we also calculated the percentage of area with any human activity. If a grid-cell had a mobility data value for any of the time periods within our dataset, that grid-cell was treated as having human activity. </w:t>
      </w:r>
      <w:r w:rsidR="004F43E0">
        <w:rPr>
          <w:rFonts w:ascii="Times New Roman" w:hAnsi="Times New Roman" w:cs="Times New Roman"/>
          <w:sz w:val="24"/>
          <w:szCs w:val="24"/>
        </w:rPr>
        <w:t>We totalled the area identified with human activity and divided it by the total area of the property to determine the percent area</w:t>
      </w:r>
      <w:r w:rsidR="00C7561C">
        <w:rPr>
          <w:rFonts w:ascii="Times New Roman" w:hAnsi="Times New Roman" w:cs="Times New Roman"/>
          <w:sz w:val="24"/>
          <w:szCs w:val="24"/>
        </w:rPr>
        <w:t xml:space="preserve"> (Eq 2.)</w:t>
      </w:r>
      <w:r w:rsidR="004F43E0">
        <w:rPr>
          <w:rFonts w:ascii="Times New Roman" w:hAnsi="Times New Roman" w:cs="Times New Roman"/>
          <w:sz w:val="24"/>
          <w:szCs w:val="24"/>
        </w:rPr>
        <w:t xml:space="preserve">. The inverse of this value </w:t>
      </w:r>
      <w:r w:rsidR="004F43E0">
        <w:rPr>
          <w:rFonts w:ascii="Times New Roman" w:hAnsi="Times New Roman" w:cs="Times New Roman"/>
          <w:sz w:val="24"/>
          <w:szCs w:val="24"/>
        </w:rPr>
        <w:lastRenderedPageBreak/>
        <w:t xml:space="preserve">would </w:t>
      </w:r>
      <w:r w:rsidR="00EA06E2">
        <w:rPr>
          <w:rFonts w:ascii="Times New Roman" w:hAnsi="Times New Roman" w:cs="Times New Roman"/>
          <w:sz w:val="24"/>
          <w:szCs w:val="24"/>
        </w:rPr>
        <w:t xml:space="preserve">be </w:t>
      </w:r>
      <w:r w:rsidR="004F43E0">
        <w:rPr>
          <w:rFonts w:ascii="Times New Roman" w:hAnsi="Times New Roman" w:cs="Times New Roman"/>
          <w:sz w:val="24"/>
          <w:szCs w:val="24"/>
        </w:rPr>
        <w:t xml:space="preserve">the percent area of the property where human activity </w:t>
      </w:r>
      <w:r w:rsidR="00EA06E2">
        <w:rPr>
          <w:rFonts w:ascii="Times New Roman" w:hAnsi="Times New Roman" w:cs="Times New Roman"/>
          <w:sz w:val="24"/>
          <w:szCs w:val="24"/>
        </w:rPr>
        <w:t xml:space="preserve">is at a non-detectable level </w:t>
      </w:r>
      <w:r w:rsidR="004F43E0">
        <w:rPr>
          <w:rFonts w:ascii="Times New Roman" w:hAnsi="Times New Roman" w:cs="Times New Roman"/>
          <w:sz w:val="24"/>
          <w:szCs w:val="24"/>
        </w:rPr>
        <w:t xml:space="preserve">throughout the timeframe. </w:t>
      </w:r>
    </w:p>
    <w:p w14:paraId="33834205" w14:textId="19B838F5" w:rsidR="0078657F" w:rsidRPr="0038250D" w:rsidRDefault="00364588" w:rsidP="002C3A56">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Activity Density</m:t>
            </m:r>
          </m:e>
          <m:sub>
            <m:r>
              <w:rPr>
                <w:rFonts w:ascii="Cambria Math" w:hAnsi="Cambria Math" w:cs="Times New Roman"/>
                <w:sz w:val="24"/>
                <w:szCs w:val="24"/>
              </w:rPr>
              <m:t>greenspace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 xml:space="preserve">Activity × </m:t>
                </m:r>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002C3A56" w:rsidRPr="0038250D">
        <w:rPr>
          <w:rFonts w:ascii="Times New Roman" w:eastAsiaTheme="minorEastAsia" w:hAnsi="Times New Roman" w:cs="Times New Roman"/>
          <w:sz w:val="24"/>
          <w:szCs w:val="24"/>
        </w:rPr>
        <w:tab/>
      </w:r>
      <w:r w:rsidR="002C3A56" w:rsidRPr="0038250D">
        <w:rPr>
          <w:rFonts w:ascii="Times New Roman" w:eastAsiaTheme="minorEastAsia" w:hAnsi="Times New Roman" w:cs="Times New Roman"/>
          <w:sz w:val="24"/>
          <w:szCs w:val="24"/>
        </w:rPr>
        <w:tab/>
      </w:r>
      <w:r w:rsidR="002C3A56" w:rsidRPr="0038250D">
        <w:rPr>
          <w:rFonts w:ascii="Times New Roman" w:eastAsiaTheme="minorEastAsia" w:hAnsi="Times New Roman" w:cs="Times New Roman"/>
          <w:sz w:val="24"/>
          <w:szCs w:val="24"/>
        </w:rPr>
        <w:tab/>
        <w:t xml:space="preserve">Eq.1 </w:t>
      </w:r>
    </w:p>
    <w:p w14:paraId="24D3F823" w14:textId="4B35145A" w:rsidR="00C7561C" w:rsidRPr="0038250D" w:rsidRDefault="00364588" w:rsidP="00C7561C">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Percent Activity</m:t>
            </m:r>
          </m:e>
          <m:sub>
            <m:r>
              <w:rPr>
                <w:rFonts w:ascii="Cambria Math" w:hAnsi="Cambria Math" w:cs="Times New Roman"/>
                <w:sz w:val="24"/>
                <w:szCs w:val="24"/>
              </w:rPr>
              <m:t>greenspace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00C7561C" w:rsidRPr="0038250D">
        <w:rPr>
          <w:rFonts w:ascii="Times New Roman" w:eastAsiaTheme="minorEastAsia" w:hAnsi="Times New Roman" w:cs="Times New Roman"/>
          <w:sz w:val="24"/>
          <w:szCs w:val="24"/>
        </w:rPr>
        <w:tab/>
      </w:r>
      <w:r w:rsidR="00C7561C" w:rsidRPr="0038250D">
        <w:rPr>
          <w:rFonts w:ascii="Times New Roman" w:eastAsiaTheme="minorEastAsia" w:hAnsi="Times New Roman" w:cs="Times New Roman"/>
          <w:sz w:val="24"/>
          <w:szCs w:val="24"/>
        </w:rPr>
        <w:tab/>
      </w:r>
      <w:r w:rsidR="00C7561C" w:rsidRPr="0038250D">
        <w:rPr>
          <w:rFonts w:ascii="Times New Roman" w:eastAsiaTheme="minorEastAsia" w:hAnsi="Times New Roman" w:cs="Times New Roman"/>
          <w:sz w:val="24"/>
          <w:szCs w:val="24"/>
        </w:rPr>
        <w:tab/>
        <w:t xml:space="preserve">Eq. 2 </w:t>
      </w:r>
    </w:p>
    <w:p w14:paraId="4B6DCA59" w14:textId="77777777" w:rsidR="00C7561C" w:rsidRPr="0038250D" w:rsidRDefault="00C7561C" w:rsidP="002C3A56">
      <w:pPr>
        <w:spacing w:line="480" w:lineRule="auto"/>
        <w:jc w:val="right"/>
        <w:rPr>
          <w:rFonts w:ascii="Times New Roman" w:hAnsi="Times New Roman" w:cs="Times New Roman"/>
          <w:sz w:val="24"/>
          <w:szCs w:val="24"/>
        </w:rPr>
      </w:pPr>
    </w:p>
    <w:p w14:paraId="112B95A7" w14:textId="2403EC4D" w:rsidR="00E63D90" w:rsidRDefault="00E63D90" w:rsidP="00C73D41">
      <w:pPr>
        <w:spacing w:line="480" w:lineRule="auto"/>
        <w:rPr>
          <w:rFonts w:ascii="Times New Roman" w:hAnsi="Times New Roman" w:cs="Times New Roman"/>
          <w:sz w:val="24"/>
          <w:szCs w:val="24"/>
        </w:rPr>
      </w:pPr>
      <w:r>
        <w:rPr>
          <w:rFonts w:ascii="Times New Roman" w:hAnsi="Times New Roman" w:cs="Times New Roman"/>
          <w:sz w:val="24"/>
          <w:szCs w:val="24"/>
        </w:rPr>
        <w:t xml:space="preserve">To compare mobility data to traditional estimates of visitation and to validate the estimated activity patterns through our adjusted metric, we examined the seven Conservation Halton properties that had reservation-only access. We summarized total number of visitors on weekends and weekdays for </w:t>
      </w:r>
      <w:r w:rsidR="00EA06E2">
        <w:rPr>
          <w:rFonts w:ascii="Times New Roman" w:hAnsi="Times New Roman" w:cs="Times New Roman"/>
          <w:sz w:val="24"/>
          <w:szCs w:val="24"/>
        </w:rPr>
        <w:t xml:space="preserve">June, July, and August </w:t>
      </w:r>
      <w:r>
        <w:rPr>
          <w:rFonts w:ascii="Times New Roman" w:hAnsi="Times New Roman" w:cs="Times New Roman"/>
          <w:sz w:val="24"/>
          <w:szCs w:val="24"/>
        </w:rPr>
        <w:t xml:space="preserve">2020 with the sum adjusted mobility data and fit a linear model. The number of visitors and day-of-week were fitted as </w:t>
      </w:r>
      <w:r w:rsidR="00D90D8D">
        <w:rPr>
          <w:rFonts w:ascii="Times New Roman" w:hAnsi="Times New Roman" w:cs="Times New Roman"/>
          <w:sz w:val="24"/>
          <w:szCs w:val="24"/>
        </w:rPr>
        <w:t xml:space="preserve">interacting </w:t>
      </w:r>
      <w:r>
        <w:rPr>
          <w:rFonts w:ascii="Times New Roman" w:hAnsi="Times New Roman" w:cs="Times New Roman"/>
          <w:sz w:val="24"/>
          <w:szCs w:val="24"/>
        </w:rPr>
        <w:t xml:space="preserve">predictors. </w:t>
      </w:r>
    </w:p>
    <w:p w14:paraId="549B092E" w14:textId="137016CA" w:rsidR="00912136" w:rsidRPr="008D2FA0" w:rsidRDefault="00E63D90"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compared the density of trails among all properties with official trails (n</w:t>
      </w:r>
      <w:r w:rsidR="00D90D8D">
        <w:rPr>
          <w:rFonts w:ascii="Times New Roman" w:hAnsi="Times New Roman" w:cs="Times New Roman"/>
          <w:sz w:val="24"/>
          <w:szCs w:val="24"/>
        </w:rPr>
        <w:t>umber of green spaces</w:t>
      </w:r>
      <w:r>
        <w:rPr>
          <w:rFonts w:ascii="Times New Roman" w:hAnsi="Times New Roman" w:cs="Times New Roman"/>
          <w:sz w:val="24"/>
          <w:szCs w:val="24"/>
        </w:rPr>
        <w:t xml:space="preserve"> = 16) to the sum adjusted mobility data and percent area with human activity using linear models. We identified any grid cell from the mobility data that intersected with the trail network (function </w:t>
      </w:r>
      <w:r w:rsidRPr="00C924C4">
        <w:rPr>
          <w:rFonts w:ascii="Times New Roman" w:hAnsi="Times New Roman" w:cs="Times New Roman"/>
          <w:i/>
          <w:iCs/>
          <w:sz w:val="24"/>
          <w:szCs w:val="24"/>
        </w:rPr>
        <w:t>st_intersection</w:t>
      </w:r>
      <w:r>
        <w:rPr>
          <w:rFonts w:ascii="Times New Roman" w:hAnsi="Times New Roman" w:cs="Times New Roman"/>
          <w:sz w:val="24"/>
          <w:szCs w:val="24"/>
        </w:rPr>
        <w:t xml:space="preserve">; package </w:t>
      </w:r>
      <w:r w:rsidRPr="00C924C4">
        <w:rPr>
          <w:rFonts w:ascii="Times New Roman" w:hAnsi="Times New Roman" w:cs="Times New Roman"/>
          <w:i/>
          <w:iCs/>
          <w:sz w:val="24"/>
          <w:szCs w:val="24"/>
        </w:rPr>
        <w:t>sf</w:t>
      </w:r>
      <w:r>
        <w:rPr>
          <w:rFonts w:ascii="Times New Roman" w:hAnsi="Times New Roman" w:cs="Times New Roman"/>
          <w:sz w:val="24"/>
          <w:szCs w:val="24"/>
        </w:rPr>
        <w:t xml:space="preserve">) and summed the area of activity on trails divided by area with human activity. The resulting percentage represents the amount percent of human activity that is spent on trails. To determine if </w:t>
      </w:r>
      <w:r w:rsidR="00144F87">
        <w:rPr>
          <w:rFonts w:ascii="Times New Roman" w:hAnsi="Times New Roman" w:cs="Times New Roman"/>
          <w:sz w:val="24"/>
          <w:szCs w:val="24"/>
        </w:rPr>
        <w:t>greater visitation</w:t>
      </w:r>
      <w:r>
        <w:rPr>
          <w:rFonts w:ascii="Times New Roman" w:hAnsi="Times New Roman" w:cs="Times New Roman"/>
          <w:sz w:val="24"/>
          <w:szCs w:val="24"/>
        </w:rPr>
        <w:t xml:space="preserve"> </w:t>
      </w:r>
      <w:r w:rsidR="00144F87">
        <w:rPr>
          <w:rFonts w:ascii="Times New Roman" w:hAnsi="Times New Roman" w:cs="Times New Roman"/>
          <w:sz w:val="24"/>
          <w:szCs w:val="24"/>
        </w:rPr>
        <w:t>to a</w:t>
      </w:r>
      <w:r w:rsidR="00F93E79">
        <w:rPr>
          <w:rFonts w:ascii="Times New Roman" w:hAnsi="Times New Roman" w:cs="Times New Roman"/>
          <w:sz w:val="24"/>
          <w:szCs w:val="24"/>
        </w:rPr>
        <w:t xml:space="preserve"> green space </w:t>
      </w:r>
      <w:r>
        <w:rPr>
          <w:rFonts w:ascii="Times New Roman" w:hAnsi="Times New Roman" w:cs="Times New Roman"/>
          <w:sz w:val="24"/>
          <w:szCs w:val="24"/>
        </w:rPr>
        <w:t xml:space="preserve">relates to activity on trails, we fit a linear model comparing the percent of </w:t>
      </w:r>
      <w:r w:rsidR="00144F87">
        <w:rPr>
          <w:rFonts w:ascii="Times New Roman" w:hAnsi="Times New Roman" w:cs="Times New Roman"/>
          <w:sz w:val="24"/>
          <w:szCs w:val="24"/>
        </w:rPr>
        <w:t xml:space="preserve">human </w:t>
      </w:r>
      <w:r>
        <w:rPr>
          <w:rFonts w:ascii="Times New Roman" w:hAnsi="Times New Roman" w:cs="Times New Roman"/>
          <w:sz w:val="24"/>
          <w:szCs w:val="24"/>
        </w:rPr>
        <w:t xml:space="preserve">activity on trails to the percent of human activity in the property. </w:t>
      </w:r>
    </w:p>
    <w:p w14:paraId="783BF6A5" w14:textId="7449A2AE" w:rsidR="00BF18FE" w:rsidRDefault="00144F87"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Next, w</w:t>
      </w:r>
      <w:r w:rsidR="00E63D90">
        <w:rPr>
          <w:rFonts w:ascii="Times New Roman" w:hAnsi="Times New Roman" w:cs="Times New Roman"/>
          <w:sz w:val="24"/>
          <w:szCs w:val="24"/>
        </w:rPr>
        <w:t xml:space="preserve">e </w:t>
      </w:r>
      <w:r w:rsidR="00E776EB">
        <w:rPr>
          <w:rFonts w:ascii="Times New Roman" w:hAnsi="Times New Roman" w:cs="Times New Roman"/>
          <w:sz w:val="24"/>
          <w:szCs w:val="24"/>
        </w:rPr>
        <w:t xml:space="preserve">determined </w:t>
      </w:r>
      <w:r>
        <w:rPr>
          <w:rFonts w:ascii="Times New Roman" w:hAnsi="Times New Roman" w:cs="Times New Roman"/>
          <w:sz w:val="24"/>
          <w:szCs w:val="24"/>
        </w:rPr>
        <w:t>how the</w:t>
      </w:r>
      <w:r w:rsidR="00E776EB">
        <w:rPr>
          <w:rFonts w:ascii="Times New Roman" w:hAnsi="Times New Roman" w:cs="Times New Roman"/>
          <w:sz w:val="24"/>
          <w:szCs w:val="24"/>
        </w:rPr>
        <w:t xml:space="preserve"> </w:t>
      </w:r>
      <w:r>
        <w:rPr>
          <w:rFonts w:ascii="Times New Roman" w:hAnsi="Times New Roman" w:cs="Times New Roman"/>
          <w:sz w:val="24"/>
          <w:szCs w:val="24"/>
        </w:rPr>
        <w:t xml:space="preserve">anonymized </w:t>
      </w:r>
      <w:r w:rsidR="00E776EB">
        <w:rPr>
          <w:rFonts w:ascii="Times New Roman" w:hAnsi="Times New Roman" w:cs="Times New Roman"/>
          <w:sz w:val="24"/>
          <w:szCs w:val="24"/>
        </w:rPr>
        <w:t xml:space="preserve">mobility data intersected with the ecological land classifications (ELC). The proportion of human activity was determined by dividing the </w:t>
      </w:r>
      <w:r w:rsidR="00E776EB">
        <w:rPr>
          <w:rFonts w:ascii="Times New Roman" w:hAnsi="Times New Roman" w:cs="Times New Roman"/>
          <w:sz w:val="24"/>
          <w:szCs w:val="24"/>
        </w:rPr>
        <w:lastRenderedPageBreak/>
        <w:t xml:space="preserve">area of human activity in each ELC class by the total area of human activity. The proportion of ELC used was </w:t>
      </w:r>
      <w:r>
        <w:rPr>
          <w:rFonts w:ascii="Times New Roman" w:hAnsi="Times New Roman" w:cs="Times New Roman"/>
          <w:sz w:val="24"/>
          <w:szCs w:val="24"/>
        </w:rPr>
        <w:t xml:space="preserve">established </w:t>
      </w:r>
      <w:r w:rsidR="00E776EB">
        <w:rPr>
          <w:rFonts w:ascii="Times New Roman" w:hAnsi="Times New Roman" w:cs="Times New Roman"/>
          <w:sz w:val="24"/>
          <w:szCs w:val="24"/>
        </w:rPr>
        <w:t xml:space="preserve">by dividing </w:t>
      </w:r>
      <w:r w:rsidR="00E4762D">
        <w:rPr>
          <w:rFonts w:ascii="Times New Roman" w:hAnsi="Times New Roman" w:cs="Times New Roman"/>
          <w:sz w:val="24"/>
          <w:szCs w:val="24"/>
        </w:rPr>
        <w:t xml:space="preserve">the area of human activity in each ELC class by the total area of that ELC class in the respective </w:t>
      </w:r>
      <w:r w:rsidR="00F93E79">
        <w:rPr>
          <w:rFonts w:ascii="Times New Roman" w:hAnsi="Times New Roman" w:cs="Times New Roman"/>
          <w:sz w:val="24"/>
          <w:szCs w:val="24"/>
        </w:rPr>
        <w:t>green space</w:t>
      </w:r>
      <w:r w:rsidR="00E4762D">
        <w:rPr>
          <w:rFonts w:ascii="Times New Roman" w:hAnsi="Times New Roman" w:cs="Times New Roman"/>
          <w:sz w:val="24"/>
          <w:szCs w:val="24"/>
        </w:rPr>
        <w:t xml:space="preserve">. </w:t>
      </w:r>
    </w:p>
    <w:p w14:paraId="47F2F5BB" w14:textId="3FB76FBC" w:rsidR="00381121" w:rsidRDefault="00381121"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Lastly, we tested if mobility data had any relationship with biodiversity patterns in these green spaces. We compared tree composition part of a long-term monitoring project at 11 sites using a partially constrained correspondence analysis (pCCA). We fit as predictors the percent area of human activity, the sum adjusted mobility data (averaged across weekday and weekend), and the proportion of weekend activity (i.e., weekend activity / weekday activity). Year was fit as a conditioning matrix to partial out any interannual differences in tree composition. However, many of these trees long-lived individuals without substantial differences in species among years. We conducted a permutation test of pCCA (function </w:t>
      </w:r>
      <w:r w:rsidRPr="0023553A">
        <w:rPr>
          <w:rFonts w:ascii="Times New Roman" w:hAnsi="Times New Roman" w:cs="Times New Roman"/>
          <w:i/>
          <w:iCs/>
          <w:sz w:val="24"/>
          <w:szCs w:val="24"/>
        </w:rPr>
        <w:t>anova.cca</w:t>
      </w:r>
      <w:r>
        <w:rPr>
          <w:rFonts w:ascii="Times New Roman" w:hAnsi="Times New Roman" w:cs="Times New Roman"/>
          <w:sz w:val="24"/>
          <w:szCs w:val="24"/>
        </w:rPr>
        <w:t xml:space="preserve">, package </w:t>
      </w:r>
      <w:r w:rsidRPr="0023553A">
        <w:rPr>
          <w:rFonts w:ascii="Times New Roman" w:hAnsi="Times New Roman" w:cs="Times New Roman"/>
          <w:i/>
          <w:iCs/>
          <w:sz w:val="24"/>
          <w:szCs w:val="24"/>
        </w:rPr>
        <w:t>vegan</w:t>
      </w:r>
      <w:r>
        <w:rPr>
          <w:rFonts w:ascii="Times New Roman" w:hAnsi="Times New Roman" w:cs="Times New Roman"/>
          <w:sz w:val="24"/>
          <w:szCs w:val="24"/>
        </w:rPr>
        <w:t>) to determine model significant and percent of variation explained</w:t>
      </w:r>
      <w:r w:rsidR="00F8311E">
        <w:rPr>
          <w:rFonts w:ascii="Times New Roman" w:hAnsi="Times New Roman" w:cs="Times New Roman"/>
          <w:sz w:val="24"/>
          <w:szCs w:val="24"/>
        </w:rPr>
        <w:t xml:space="preserve"> </w:t>
      </w:r>
      <w:r w:rsidR="00F8311E">
        <w:rPr>
          <w:rFonts w:ascii="Times New Roman" w:hAnsi="Times New Roman" w:cs="Times New Roman"/>
          <w:sz w:val="24"/>
          <w:szCs w:val="24"/>
        </w:rPr>
        <w:fldChar w:fldCharType="begin" w:fldLock="1"/>
      </w:r>
      <w:r w:rsidR="00F8311E">
        <w:rPr>
          <w:rFonts w:ascii="Times New Roman" w:hAnsi="Times New Roman" w:cs="Times New Roman"/>
          <w:sz w:val="24"/>
          <w:szCs w:val="24"/>
        </w:rPr>
        <w:instrText>ADDIN CSL_CITATION {"citationItems":[{"id":"ITEM-1","itemData":{"DOI":"https://doi.org/10.1111/j.2041-210X.2010.00078.x","ISSN":"2041-210X","abstract":"Summary 1. Tests of significance of the individual canonical axes in redundancy analysis allow researchers to determine which of the axes represent variation that can be distinguished from random. Variation along the significant axes can be mapped, used to draw biplots or interpreted through subsequent analyses, whilst the nonsignificant axes may be dropped from further consideration. 2. Three methods have been implemented in computer programs to test the significance of the canonical axes; they are compared in this paper. The simultaneous test of all individual canonical axes, which is appealing because of its simplicity, produced incorrect (highly inflated) levels of type I error for the axes following those corresponding to true relationships in the data, so it is invalid. The ?marginal? testing method implemented in the ?vegan? R package and the ?forward? testing method implemented in the program CANOCO were found to have correct levels of type I error and comparable power. Permutation of the residuals achieved greater power than permutation of the raw data. 3. R functions found in a Supplement to this paper provide the first formal description of the ?marginal? and ?forward? testing methods.","author":[{"dropping-particle":"","family":"Legendre","given":"Pierre","non-dropping-particle":"","parse-names":false,"suffix":""},{"dropping-particle":"","family":"Oksanen","given":"Jari","non-dropping-particle":"","parse-names":false,"suffix":""},{"dropping-particle":"","family":"Braak","given":"Cajo J F","non-dropping-particle":"ter","parse-names":false,"suffix":""}],"container-title":"Methods in Ecology and Evolution","id":"ITEM-1","issue":"3","issued":{"date-parts":[["2011","6","1"]]},"note":"https://doi.org/10.1111/j.2041-210X.2010.00078.x","page":"269-277","publisher":"John Wiley &amp; Sons, Ltd","title":"Testing the significance of canonical axes in redundancy analysis","type":"article-journal","volume":"2"},"uris":["http://www.mendeley.com/documents/?uuid=07a6d8f1-8f5f-49dc-a0ea-775619b140d9"]}],"mendeley":{"formattedCitation":"(Legendre, Oksanen, &amp; ter Braak, 2011)","plainTextFormattedCitation":"(Legendre, Oksanen, &amp; ter Braak, 2011)","previouslyFormattedCitation":"(Legendre, Oksanen, &amp; ter Braak, 2011)"},"properties":{"noteIndex":0},"schema":"https://github.com/citation-style-language/schema/raw/master/csl-citation.json"}</w:instrText>
      </w:r>
      <w:r w:rsidR="00F8311E">
        <w:rPr>
          <w:rFonts w:ascii="Times New Roman" w:hAnsi="Times New Roman" w:cs="Times New Roman"/>
          <w:sz w:val="24"/>
          <w:szCs w:val="24"/>
        </w:rPr>
        <w:fldChar w:fldCharType="separate"/>
      </w:r>
      <w:r w:rsidR="00F8311E" w:rsidRPr="00F8311E">
        <w:rPr>
          <w:rFonts w:ascii="Times New Roman" w:hAnsi="Times New Roman" w:cs="Times New Roman"/>
          <w:noProof/>
          <w:sz w:val="24"/>
          <w:szCs w:val="24"/>
        </w:rPr>
        <w:t>(Legendre, Oksanen, &amp; ter Braak, 2011)</w:t>
      </w:r>
      <w:r w:rsidR="00F8311E">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4889278" w14:textId="10D41B7D" w:rsidR="00BF18FE" w:rsidRPr="003C2E68" w:rsidRDefault="00B67EAF" w:rsidP="0070178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All analyses were conducted in </w:t>
      </w:r>
      <w:r w:rsidRPr="00C924C4">
        <w:rPr>
          <w:rFonts w:ascii="Times New Roman" w:hAnsi="Times New Roman" w:cs="Times New Roman"/>
          <w:i/>
          <w:iCs/>
          <w:sz w:val="24"/>
          <w:szCs w:val="24"/>
        </w:rPr>
        <w:t>R</w:t>
      </w:r>
      <w:r w:rsidR="00701789">
        <w:rPr>
          <w:rFonts w:ascii="Times New Roman" w:hAnsi="Times New Roman" w:cs="Times New Roman"/>
          <w:sz w:val="24"/>
          <w:szCs w:val="24"/>
        </w:rPr>
        <w:t xml:space="preserve"> version</w:t>
      </w:r>
      <w:r>
        <w:rPr>
          <w:rFonts w:ascii="Times New Roman" w:hAnsi="Times New Roman" w:cs="Times New Roman"/>
          <w:sz w:val="24"/>
          <w:szCs w:val="24"/>
        </w:rPr>
        <w:t xml:space="preserve"> 4.1.2</w:t>
      </w:r>
      <w:r w:rsidR="00F8311E">
        <w:rPr>
          <w:rFonts w:ascii="Times New Roman" w:hAnsi="Times New Roman" w:cs="Times New Roman"/>
          <w:sz w:val="24"/>
          <w:szCs w:val="24"/>
        </w:rPr>
        <w:t xml:space="preserve"> </w:t>
      </w:r>
      <w:r w:rsidR="00F8311E">
        <w:rPr>
          <w:rFonts w:ascii="Times New Roman" w:hAnsi="Times New Roman" w:cs="Times New Roman"/>
          <w:sz w:val="24"/>
          <w:szCs w:val="24"/>
        </w:rPr>
        <w:fldChar w:fldCharType="begin" w:fldLock="1"/>
      </w:r>
      <w:r w:rsidR="003D58EB">
        <w:rPr>
          <w:rFonts w:ascii="Times New Roman" w:hAnsi="Times New Roman" w:cs="Times New Roman"/>
          <w:sz w:val="24"/>
          <w:szCs w:val="24"/>
        </w:rPr>
        <w:instrText>ADDIN CSL_CITATION {"citationItems":[{"id":"ITEM-1","itemData":{"author":[{"dropping-particle":"","family":"R Core Team","given":"","non-dropping-particle":"","parse-names":false,"suffix":""}],"container-title":"R Foundation for Statistical Computing, Vienna, Austria","id":"ITEM-1","issued":{"date-parts":[["2019"]]},"page":"URL https://www.R-project.org/","title":"R: A language and environment for statistical computing","type":"article-journal"},"uris":["http://www.mendeley.com/documents/?uuid=075280d6-666b-4f97-a970-76e5fe56f504"]}],"mendeley":{"formattedCitation":"(R Core Team, 2019)","plainTextFormattedCitation":"(R Core Team, 2019)","previouslyFormattedCitation":"(R Core Team, 2019)"},"properties":{"noteIndex":0},"schema":"https://github.com/citation-style-language/schema/raw/master/csl-citation.json"}</w:instrText>
      </w:r>
      <w:r w:rsidR="00F8311E">
        <w:rPr>
          <w:rFonts w:ascii="Times New Roman" w:hAnsi="Times New Roman" w:cs="Times New Roman"/>
          <w:sz w:val="24"/>
          <w:szCs w:val="24"/>
        </w:rPr>
        <w:fldChar w:fldCharType="separate"/>
      </w:r>
      <w:r w:rsidR="00F8311E" w:rsidRPr="00F8311E">
        <w:rPr>
          <w:rFonts w:ascii="Times New Roman" w:hAnsi="Times New Roman" w:cs="Times New Roman"/>
          <w:noProof/>
          <w:sz w:val="24"/>
          <w:szCs w:val="24"/>
        </w:rPr>
        <w:t>(R Core Team, 2019)</w:t>
      </w:r>
      <w:r w:rsidR="00F8311E">
        <w:rPr>
          <w:rFonts w:ascii="Times New Roman" w:hAnsi="Times New Roman" w:cs="Times New Roman"/>
          <w:sz w:val="24"/>
          <w:szCs w:val="24"/>
        </w:rPr>
        <w:fldChar w:fldCharType="end"/>
      </w:r>
      <w:r w:rsidR="00701789">
        <w:rPr>
          <w:rFonts w:ascii="Times New Roman" w:hAnsi="Times New Roman" w:cs="Times New Roman"/>
          <w:sz w:val="24"/>
          <w:szCs w:val="24"/>
        </w:rPr>
        <w:t xml:space="preserve">. All scripts and source codes are </w:t>
      </w:r>
      <w:r w:rsidR="007E62EB">
        <w:rPr>
          <w:rFonts w:ascii="Times New Roman" w:hAnsi="Times New Roman" w:cs="Times New Roman"/>
          <w:sz w:val="24"/>
          <w:szCs w:val="24"/>
        </w:rPr>
        <w:t xml:space="preserve">available on a </w:t>
      </w:r>
      <w:r w:rsidR="003C2E68">
        <w:rPr>
          <w:rFonts w:ascii="Times New Roman" w:hAnsi="Times New Roman" w:cs="Times New Roman"/>
          <w:sz w:val="24"/>
          <w:szCs w:val="24"/>
        </w:rPr>
        <w:t>public</w:t>
      </w:r>
      <w:r w:rsidR="007E62EB">
        <w:rPr>
          <w:rFonts w:ascii="Times New Roman" w:hAnsi="Times New Roman" w:cs="Times New Roman"/>
          <w:sz w:val="24"/>
          <w:szCs w:val="24"/>
        </w:rPr>
        <w:t xml:space="preserve"> repository that </w:t>
      </w:r>
      <w:r w:rsidR="00701789">
        <w:rPr>
          <w:rFonts w:ascii="Times New Roman" w:hAnsi="Times New Roman" w:cs="Times New Roman"/>
          <w:sz w:val="24"/>
          <w:szCs w:val="24"/>
        </w:rPr>
        <w:t xml:space="preserve">can be found at </w:t>
      </w:r>
      <w:hyperlink r:id="rId16" w:history="1">
        <w:r w:rsidR="00701789" w:rsidRPr="008C3227">
          <w:rPr>
            <w:rStyle w:val="Hyperlink"/>
            <w:rFonts w:ascii="Times New Roman" w:hAnsi="Times New Roman" w:cs="Times New Roman"/>
            <w:sz w:val="24"/>
            <w:szCs w:val="24"/>
          </w:rPr>
          <w:t>https://github.com/afilazzola/CUERecreationEcology</w:t>
        </w:r>
      </w:hyperlink>
      <w:r w:rsidR="00701789">
        <w:rPr>
          <w:rFonts w:ascii="Times New Roman" w:hAnsi="Times New Roman" w:cs="Times New Roman"/>
          <w:sz w:val="24"/>
          <w:szCs w:val="24"/>
        </w:rPr>
        <w:t xml:space="preserve"> including a </w:t>
      </w:r>
      <w:r w:rsidR="00701789" w:rsidRPr="00701789">
        <w:rPr>
          <w:rFonts w:ascii="Times New Roman" w:hAnsi="Times New Roman" w:cs="Times New Roman"/>
          <w:i/>
          <w:iCs/>
          <w:sz w:val="24"/>
          <w:szCs w:val="24"/>
        </w:rPr>
        <w:t>functions.r</w:t>
      </w:r>
      <w:r w:rsidR="00701789">
        <w:rPr>
          <w:rFonts w:ascii="Times New Roman" w:hAnsi="Times New Roman" w:cs="Times New Roman"/>
          <w:sz w:val="24"/>
          <w:szCs w:val="24"/>
        </w:rPr>
        <w:t xml:space="preserve"> file that contains tools for processing mobility data. </w:t>
      </w:r>
      <w:r w:rsidR="003C2E68">
        <w:rPr>
          <w:rFonts w:ascii="Times New Roman" w:hAnsi="Times New Roman" w:cs="Times New Roman"/>
          <w:sz w:val="24"/>
          <w:szCs w:val="24"/>
        </w:rPr>
        <w:t xml:space="preserve">The function </w:t>
      </w:r>
      <w:r w:rsidR="003C2E68" w:rsidRPr="003C2E68">
        <w:rPr>
          <w:rFonts w:ascii="Times New Roman" w:hAnsi="Times New Roman" w:cs="Times New Roman"/>
          <w:i/>
          <w:iCs/>
          <w:sz w:val="24"/>
          <w:szCs w:val="24"/>
        </w:rPr>
        <w:t>spatial_Mapbox_Find</w:t>
      </w:r>
      <w:r w:rsidR="003C2E68">
        <w:rPr>
          <w:rFonts w:ascii="Times New Roman" w:hAnsi="Times New Roman" w:cs="Times New Roman"/>
          <w:i/>
          <w:iCs/>
          <w:sz w:val="24"/>
          <w:szCs w:val="24"/>
        </w:rPr>
        <w:t xml:space="preserve"> </w:t>
      </w:r>
      <w:r w:rsidR="003C2E68">
        <w:rPr>
          <w:rFonts w:ascii="Times New Roman" w:hAnsi="Times New Roman" w:cs="Times New Roman"/>
          <w:sz w:val="24"/>
          <w:szCs w:val="24"/>
        </w:rPr>
        <w:t xml:space="preserve">is useful for finding Mapbox activity patterns that intersect a defined spatial object of SF class but is designed to be conducted in parallel (see repository for more documentation). </w:t>
      </w:r>
    </w:p>
    <w:p w14:paraId="126054D6" w14:textId="77777777" w:rsidR="00701789" w:rsidRPr="008D2FA0" w:rsidRDefault="00701789" w:rsidP="00701789">
      <w:pPr>
        <w:spacing w:line="480" w:lineRule="auto"/>
        <w:ind w:firstLine="720"/>
        <w:rPr>
          <w:rFonts w:ascii="Times New Roman" w:hAnsi="Times New Roman" w:cs="Times New Roman"/>
          <w:sz w:val="24"/>
          <w:szCs w:val="24"/>
        </w:rPr>
      </w:pPr>
    </w:p>
    <w:p w14:paraId="070787CE" w14:textId="2FB5EBC5" w:rsidR="00825994" w:rsidRPr="008D2FA0" w:rsidRDefault="00773A19"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3.0 Results</w:t>
      </w:r>
    </w:p>
    <w:p w14:paraId="7122A84D" w14:textId="3C667888" w:rsidR="00965826" w:rsidRPr="00D10918" w:rsidRDefault="00773A19" w:rsidP="00C73D41">
      <w:pPr>
        <w:spacing w:line="480" w:lineRule="auto"/>
        <w:rPr>
          <w:rFonts w:ascii="Times New Roman" w:hAnsi="Times New Roman" w:cs="Times New Roman"/>
          <w:i/>
          <w:iCs/>
          <w:sz w:val="24"/>
          <w:szCs w:val="24"/>
        </w:rPr>
      </w:pPr>
      <w:r w:rsidRPr="00D10918">
        <w:rPr>
          <w:rFonts w:ascii="Times New Roman" w:hAnsi="Times New Roman" w:cs="Times New Roman"/>
          <w:i/>
          <w:iCs/>
          <w:sz w:val="24"/>
          <w:szCs w:val="24"/>
        </w:rPr>
        <w:t>3.1</w:t>
      </w:r>
      <w:r w:rsidR="00965826" w:rsidRPr="00D10918">
        <w:rPr>
          <w:rFonts w:ascii="Times New Roman" w:hAnsi="Times New Roman" w:cs="Times New Roman"/>
          <w:i/>
          <w:iCs/>
          <w:sz w:val="24"/>
          <w:szCs w:val="24"/>
        </w:rPr>
        <w:t xml:space="preserve"> </w:t>
      </w:r>
      <w:r w:rsidR="00042637" w:rsidRPr="00D10918">
        <w:rPr>
          <w:rFonts w:ascii="Times New Roman" w:hAnsi="Times New Roman" w:cs="Times New Roman"/>
          <w:i/>
          <w:iCs/>
          <w:sz w:val="24"/>
          <w:szCs w:val="24"/>
        </w:rPr>
        <w:t>Patterns of mobility data</w:t>
      </w:r>
    </w:p>
    <w:p w14:paraId="321F4C3B" w14:textId="5A9883F4" w:rsidR="00965826" w:rsidRDefault="00C924C4"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With adjustments, t</w:t>
      </w:r>
      <w:r w:rsidR="004C0EE2">
        <w:rPr>
          <w:rFonts w:ascii="Times New Roman" w:hAnsi="Times New Roman" w:cs="Times New Roman"/>
          <w:sz w:val="24"/>
          <w:szCs w:val="24"/>
        </w:rPr>
        <w:t>he anonymized m</w:t>
      </w:r>
      <w:r w:rsidR="00546F19">
        <w:rPr>
          <w:rFonts w:ascii="Times New Roman" w:hAnsi="Times New Roman" w:cs="Times New Roman"/>
          <w:sz w:val="24"/>
          <w:szCs w:val="24"/>
        </w:rPr>
        <w:t>obility data was found to</w:t>
      </w:r>
      <w:r>
        <w:rPr>
          <w:rFonts w:ascii="Times New Roman" w:hAnsi="Times New Roman" w:cs="Times New Roman"/>
          <w:sz w:val="24"/>
          <w:szCs w:val="24"/>
        </w:rPr>
        <w:t xml:space="preserve"> accurately</w:t>
      </w:r>
      <w:r w:rsidR="00546F19">
        <w:rPr>
          <w:rFonts w:ascii="Times New Roman" w:hAnsi="Times New Roman" w:cs="Times New Roman"/>
          <w:sz w:val="24"/>
          <w:szCs w:val="24"/>
        </w:rPr>
        <w:t xml:space="preserve"> capture human </w:t>
      </w:r>
      <w:r>
        <w:rPr>
          <w:rFonts w:ascii="Times New Roman" w:hAnsi="Times New Roman" w:cs="Times New Roman"/>
          <w:sz w:val="24"/>
          <w:szCs w:val="24"/>
        </w:rPr>
        <w:t>visitation</w:t>
      </w:r>
      <w:r w:rsidR="00546F19">
        <w:rPr>
          <w:rFonts w:ascii="Times New Roman" w:hAnsi="Times New Roman" w:cs="Times New Roman"/>
          <w:sz w:val="24"/>
          <w:szCs w:val="24"/>
        </w:rPr>
        <w:t xml:space="preserve"> within green</w:t>
      </w:r>
      <w:r w:rsidR="00F93E79">
        <w:rPr>
          <w:rFonts w:ascii="Times New Roman" w:hAnsi="Times New Roman" w:cs="Times New Roman"/>
          <w:sz w:val="24"/>
          <w:szCs w:val="24"/>
        </w:rPr>
        <w:t xml:space="preserve"> </w:t>
      </w:r>
      <w:r w:rsidR="00546F19">
        <w:rPr>
          <w:rFonts w:ascii="Times New Roman" w:hAnsi="Times New Roman" w:cs="Times New Roman"/>
          <w:sz w:val="24"/>
          <w:szCs w:val="24"/>
        </w:rPr>
        <w:t xml:space="preserve">spaces. </w:t>
      </w:r>
      <w:r>
        <w:rPr>
          <w:rFonts w:ascii="Times New Roman" w:hAnsi="Times New Roman" w:cs="Times New Roman"/>
          <w:sz w:val="24"/>
          <w:szCs w:val="24"/>
        </w:rPr>
        <w:t>All</w:t>
      </w:r>
      <w:r w:rsidR="00D10918">
        <w:rPr>
          <w:rFonts w:ascii="Times New Roman" w:hAnsi="Times New Roman" w:cs="Times New Roman"/>
          <w:sz w:val="24"/>
          <w:szCs w:val="24"/>
        </w:rPr>
        <w:t xml:space="preserve"> properties were found to have</w:t>
      </w:r>
      <w:r>
        <w:rPr>
          <w:rFonts w:ascii="Times New Roman" w:hAnsi="Times New Roman" w:cs="Times New Roman"/>
          <w:sz w:val="24"/>
          <w:szCs w:val="24"/>
        </w:rPr>
        <w:t xml:space="preserve"> at least on grid-cell with</w:t>
      </w:r>
      <w:r w:rsidR="00D10918">
        <w:rPr>
          <w:rFonts w:ascii="Times New Roman" w:hAnsi="Times New Roman" w:cs="Times New Roman"/>
          <w:sz w:val="24"/>
          <w:szCs w:val="24"/>
        </w:rPr>
        <w:t xml:space="preserve"> activity levels above the threshold used to anonymize the data. Most properties had between 30 and 50% of the total area with</w:t>
      </w:r>
      <w:r>
        <w:rPr>
          <w:rFonts w:ascii="Times New Roman" w:hAnsi="Times New Roman" w:cs="Times New Roman"/>
          <w:sz w:val="24"/>
          <w:szCs w:val="24"/>
        </w:rPr>
        <w:t xml:space="preserve"> a</w:t>
      </w:r>
      <w:r w:rsidR="00D10918">
        <w:rPr>
          <w:rFonts w:ascii="Times New Roman" w:hAnsi="Times New Roman" w:cs="Times New Roman"/>
          <w:sz w:val="24"/>
          <w:szCs w:val="24"/>
        </w:rPr>
        <w:t xml:space="preserve"> </w:t>
      </w:r>
      <w:r w:rsidR="003776B9">
        <w:rPr>
          <w:rFonts w:ascii="Times New Roman" w:hAnsi="Times New Roman" w:cs="Times New Roman"/>
          <w:sz w:val="24"/>
          <w:szCs w:val="24"/>
        </w:rPr>
        <w:t xml:space="preserve">detectable </w:t>
      </w:r>
      <w:r w:rsidR="00D10918">
        <w:rPr>
          <w:rFonts w:ascii="Times New Roman" w:hAnsi="Times New Roman" w:cs="Times New Roman"/>
          <w:sz w:val="24"/>
          <w:szCs w:val="24"/>
        </w:rPr>
        <w:t xml:space="preserve">observation of mobility data (Table </w:t>
      </w:r>
      <w:r>
        <w:rPr>
          <w:rFonts w:ascii="Times New Roman" w:hAnsi="Times New Roman" w:cs="Times New Roman"/>
          <w:sz w:val="24"/>
          <w:szCs w:val="24"/>
        </w:rPr>
        <w:t>2</w:t>
      </w:r>
      <w:r w:rsidR="00D10918">
        <w:rPr>
          <w:rFonts w:ascii="Times New Roman" w:hAnsi="Times New Roman" w:cs="Times New Roman"/>
          <w:sz w:val="24"/>
          <w:szCs w:val="24"/>
        </w:rPr>
        <w:t>). Reserve areas had the lowest percentage of mobility data</w:t>
      </w:r>
      <w:r w:rsidR="00F93E79">
        <w:rPr>
          <w:rFonts w:ascii="Times New Roman" w:hAnsi="Times New Roman" w:cs="Times New Roman"/>
          <w:sz w:val="24"/>
          <w:szCs w:val="24"/>
        </w:rPr>
        <w:t xml:space="preserve"> (i.e., cool spots)</w:t>
      </w:r>
      <w:r w:rsidR="00D10918">
        <w:rPr>
          <w:rFonts w:ascii="Times New Roman" w:hAnsi="Times New Roman" w:cs="Times New Roman"/>
          <w:sz w:val="24"/>
          <w:szCs w:val="24"/>
        </w:rPr>
        <w:t xml:space="preserve"> (Table </w:t>
      </w:r>
      <w:r>
        <w:rPr>
          <w:rFonts w:ascii="Times New Roman" w:hAnsi="Times New Roman" w:cs="Times New Roman"/>
          <w:sz w:val="24"/>
          <w:szCs w:val="24"/>
        </w:rPr>
        <w:t>2</w:t>
      </w:r>
      <w:r w:rsidR="00D10918">
        <w:rPr>
          <w:rFonts w:ascii="Times New Roman" w:hAnsi="Times New Roman" w:cs="Times New Roman"/>
          <w:sz w:val="24"/>
          <w:szCs w:val="24"/>
        </w:rPr>
        <w:t xml:space="preserve">) as would be expected for lands where access is limited. </w:t>
      </w:r>
      <w:r w:rsidR="00546F19">
        <w:rPr>
          <w:rFonts w:ascii="Times New Roman" w:hAnsi="Times New Roman" w:cs="Times New Roman"/>
          <w:sz w:val="24"/>
          <w:szCs w:val="24"/>
        </w:rPr>
        <w:t>For the properties where reservations were required, we found a strong positive relationship between the total number of reservations and total mobility data (</w:t>
      </w:r>
      <w:r w:rsidR="0005588C">
        <w:rPr>
          <w:rFonts w:ascii="Times New Roman" w:hAnsi="Times New Roman" w:cs="Times New Roman"/>
          <w:sz w:val="24"/>
          <w:szCs w:val="24"/>
        </w:rPr>
        <w:t>F</w:t>
      </w:r>
      <w:r w:rsidR="0005588C">
        <w:rPr>
          <w:rFonts w:ascii="Times New Roman" w:hAnsi="Times New Roman" w:cs="Times New Roman"/>
          <w:sz w:val="24"/>
          <w:szCs w:val="24"/>
          <w:vertAlign w:val="subscript"/>
        </w:rPr>
        <w:t xml:space="preserve">6 </w:t>
      </w:r>
      <w:r w:rsidR="0005588C" w:rsidRPr="0005588C">
        <w:rPr>
          <w:rFonts w:ascii="Times New Roman" w:hAnsi="Times New Roman" w:cs="Times New Roman"/>
          <w:sz w:val="24"/>
          <w:szCs w:val="24"/>
        </w:rPr>
        <w:t xml:space="preserve">= </w:t>
      </w:r>
      <w:r w:rsidR="0005588C">
        <w:rPr>
          <w:rFonts w:ascii="Times New Roman" w:hAnsi="Times New Roman" w:cs="Times New Roman"/>
          <w:sz w:val="24"/>
          <w:szCs w:val="24"/>
        </w:rPr>
        <w:t xml:space="preserve">86.6, p </w:t>
      </w:r>
      <w:r w:rsidR="007B22BA">
        <w:rPr>
          <w:rFonts w:ascii="Times New Roman" w:hAnsi="Times New Roman" w:cs="Times New Roman"/>
          <w:sz w:val="24"/>
          <w:szCs w:val="24"/>
        </w:rPr>
        <w:t>&lt; 0.0001,</w:t>
      </w:r>
      <w:r w:rsidR="0005588C">
        <w:rPr>
          <w:rFonts w:ascii="Times New Roman" w:hAnsi="Times New Roman" w:cs="Times New Roman"/>
          <w:sz w:val="24"/>
          <w:szCs w:val="24"/>
        </w:rPr>
        <w:t xml:space="preserve"> R</w:t>
      </w:r>
      <w:r w:rsidR="0005588C" w:rsidRPr="0005588C">
        <w:rPr>
          <w:rFonts w:ascii="Times New Roman" w:hAnsi="Times New Roman" w:cs="Times New Roman"/>
          <w:sz w:val="24"/>
          <w:szCs w:val="24"/>
          <w:vertAlign w:val="superscript"/>
        </w:rPr>
        <w:t>2</w:t>
      </w:r>
      <w:r w:rsidR="0005588C">
        <w:rPr>
          <w:rFonts w:ascii="Times New Roman" w:hAnsi="Times New Roman" w:cs="Times New Roman"/>
          <w:sz w:val="24"/>
          <w:szCs w:val="24"/>
        </w:rPr>
        <w:t xml:space="preserve"> = 0.97; </w:t>
      </w:r>
      <w:r w:rsidR="00546F19">
        <w:rPr>
          <w:rFonts w:ascii="Times New Roman" w:hAnsi="Times New Roman" w:cs="Times New Roman"/>
          <w:sz w:val="24"/>
          <w:szCs w:val="24"/>
        </w:rPr>
        <w:t xml:space="preserve">Figure 2). </w:t>
      </w:r>
      <w:r w:rsidR="007B22BA">
        <w:rPr>
          <w:rFonts w:ascii="Times New Roman" w:hAnsi="Times New Roman" w:cs="Times New Roman"/>
          <w:sz w:val="24"/>
          <w:szCs w:val="24"/>
        </w:rPr>
        <w:t>The relationship between number of reservations and mobility data</w:t>
      </w:r>
      <w:r w:rsidR="00546F19">
        <w:rPr>
          <w:rFonts w:ascii="Times New Roman" w:hAnsi="Times New Roman" w:cs="Times New Roman"/>
          <w:sz w:val="24"/>
          <w:szCs w:val="24"/>
        </w:rPr>
        <w:t xml:space="preserve"> </w:t>
      </w:r>
      <w:r w:rsidR="0005588C">
        <w:rPr>
          <w:rFonts w:ascii="Times New Roman" w:hAnsi="Times New Roman" w:cs="Times New Roman"/>
          <w:sz w:val="24"/>
          <w:szCs w:val="24"/>
        </w:rPr>
        <w:t>was mediated by day-of-week</w:t>
      </w:r>
      <w:r w:rsidR="007B22BA">
        <w:rPr>
          <w:rFonts w:ascii="Times New Roman" w:hAnsi="Times New Roman" w:cs="Times New Roman"/>
          <w:sz w:val="24"/>
          <w:szCs w:val="24"/>
        </w:rPr>
        <w:t xml:space="preserve"> (p = 0.047)</w:t>
      </w:r>
      <w:r w:rsidR="0005588C">
        <w:rPr>
          <w:rFonts w:ascii="Times New Roman" w:hAnsi="Times New Roman" w:cs="Times New Roman"/>
          <w:sz w:val="24"/>
          <w:szCs w:val="24"/>
        </w:rPr>
        <w:t>, where mobile activity was much higher on weekends</w:t>
      </w:r>
      <w:r w:rsidR="007B22BA">
        <w:rPr>
          <w:rFonts w:ascii="Times New Roman" w:hAnsi="Times New Roman" w:cs="Times New Roman"/>
          <w:sz w:val="24"/>
          <w:szCs w:val="24"/>
        </w:rPr>
        <w:t xml:space="preserve">. This pattern suggests that for the same number of reservations, people often spend more time at these properties on the weekend relative to weekdays. </w:t>
      </w:r>
    </w:p>
    <w:p w14:paraId="2308F97B" w14:textId="77777777" w:rsidR="004F20E2" w:rsidRDefault="004F20E2" w:rsidP="00C73D41">
      <w:pPr>
        <w:spacing w:line="480" w:lineRule="auto"/>
        <w:rPr>
          <w:rFonts w:ascii="Times New Roman" w:hAnsi="Times New Roman" w:cs="Times New Roman"/>
          <w:i/>
          <w:iCs/>
          <w:sz w:val="24"/>
          <w:szCs w:val="24"/>
        </w:rPr>
      </w:pPr>
    </w:p>
    <w:p w14:paraId="0CC9EA67" w14:textId="5D9E755B" w:rsidR="007B22BA" w:rsidRPr="00365C95" w:rsidRDefault="007B22BA" w:rsidP="00C73D41">
      <w:pPr>
        <w:spacing w:line="480" w:lineRule="auto"/>
        <w:rPr>
          <w:rFonts w:ascii="Times New Roman" w:hAnsi="Times New Roman" w:cs="Times New Roman"/>
          <w:i/>
          <w:iCs/>
          <w:sz w:val="24"/>
          <w:szCs w:val="24"/>
        </w:rPr>
      </w:pPr>
      <w:r w:rsidRPr="00365C95">
        <w:rPr>
          <w:rFonts w:ascii="Times New Roman" w:hAnsi="Times New Roman" w:cs="Times New Roman"/>
          <w:i/>
          <w:iCs/>
          <w:sz w:val="24"/>
          <w:szCs w:val="24"/>
        </w:rPr>
        <w:t xml:space="preserve">3.2 </w:t>
      </w:r>
      <w:r w:rsidR="00AB3EE4" w:rsidRPr="00365C95">
        <w:rPr>
          <w:rFonts w:ascii="Times New Roman" w:hAnsi="Times New Roman" w:cs="Times New Roman"/>
          <w:i/>
          <w:iCs/>
          <w:sz w:val="24"/>
          <w:szCs w:val="24"/>
        </w:rPr>
        <w:t>Unique metrics from mobility data</w:t>
      </w:r>
    </w:p>
    <w:p w14:paraId="1EC35BF6" w14:textId="5606FC29" w:rsidR="00AB3EE4" w:rsidRDefault="00AB3EE4"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Mobility data provides</w:t>
      </w:r>
      <w:r w:rsidR="00D10918">
        <w:rPr>
          <w:rFonts w:ascii="Times New Roman" w:hAnsi="Times New Roman" w:cs="Times New Roman"/>
          <w:sz w:val="24"/>
          <w:szCs w:val="24"/>
        </w:rPr>
        <w:t xml:space="preserve"> greater</w:t>
      </w:r>
      <w:r>
        <w:rPr>
          <w:rFonts w:ascii="Times New Roman" w:hAnsi="Times New Roman" w:cs="Times New Roman"/>
          <w:sz w:val="24"/>
          <w:szCs w:val="24"/>
        </w:rPr>
        <w:t xml:space="preserve"> spatial and temporal resolution </w:t>
      </w:r>
      <w:r w:rsidR="00D10918">
        <w:rPr>
          <w:rFonts w:ascii="Times New Roman" w:hAnsi="Times New Roman" w:cs="Times New Roman"/>
          <w:sz w:val="24"/>
          <w:szCs w:val="24"/>
        </w:rPr>
        <w:t xml:space="preserve">on human activity relative to tracking visitation patterns. Many </w:t>
      </w:r>
      <w:r w:rsidR="00F93E79">
        <w:rPr>
          <w:rFonts w:ascii="Times New Roman" w:hAnsi="Times New Roman" w:cs="Times New Roman"/>
          <w:sz w:val="24"/>
          <w:szCs w:val="24"/>
        </w:rPr>
        <w:t xml:space="preserve">green spaces </w:t>
      </w:r>
      <w:r w:rsidR="00D10918">
        <w:rPr>
          <w:rFonts w:ascii="Times New Roman" w:hAnsi="Times New Roman" w:cs="Times New Roman"/>
          <w:sz w:val="24"/>
          <w:szCs w:val="24"/>
        </w:rPr>
        <w:t>had hot spots of mobility data where activity was substantially higher than adjacent areas. For example, two properties (Hilton Falls and Kelso Conservation Area) had high activity patterns within their trail network (Figure 1).</w:t>
      </w:r>
      <w:r w:rsidR="00365C95">
        <w:rPr>
          <w:rFonts w:ascii="Times New Roman" w:hAnsi="Times New Roman" w:cs="Times New Roman"/>
          <w:sz w:val="24"/>
          <w:szCs w:val="24"/>
        </w:rPr>
        <w:t xml:space="preserve"> On average, parks with higher trail densities were found to have higher amounts of mobile activity (F</w:t>
      </w:r>
      <w:r w:rsidR="00365C95">
        <w:rPr>
          <w:rFonts w:ascii="Times New Roman" w:hAnsi="Times New Roman" w:cs="Times New Roman"/>
          <w:sz w:val="24"/>
          <w:szCs w:val="24"/>
          <w:vertAlign w:val="subscript"/>
        </w:rPr>
        <w:t xml:space="preserve">14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18.2, p &lt; 0.0001,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0.75; Figure 3</w:t>
      </w:r>
      <w:r w:rsidR="009A417B">
        <w:rPr>
          <w:rFonts w:ascii="Times New Roman" w:hAnsi="Times New Roman" w:cs="Times New Roman"/>
          <w:sz w:val="24"/>
          <w:szCs w:val="24"/>
        </w:rPr>
        <w:t>A</w:t>
      </w:r>
      <w:r w:rsidR="00365C95">
        <w:rPr>
          <w:rFonts w:ascii="Times New Roman" w:hAnsi="Times New Roman" w:cs="Times New Roman"/>
          <w:sz w:val="24"/>
          <w:szCs w:val="24"/>
        </w:rPr>
        <w:t xml:space="preserve">). Similarly, properties with high densities of trails also correlated with more area of the </w:t>
      </w:r>
      <w:r w:rsidR="00F93E79">
        <w:rPr>
          <w:rFonts w:ascii="Times New Roman" w:hAnsi="Times New Roman" w:cs="Times New Roman"/>
          <w:sz w:val="24"/>
          <w:szCs w:val="24"/>
        </w:rPr>
        <w:t xml:space="preserve">green space </w:t>
      </w:r>
      <w:r w:rsidR="00365C95">
        <w:rPr>
          <w:rFonts w:ascii="Times New Roman" w:hAnsi="Times New Roman" w:cs="Times New Roman"/>
          <w:sz w:val="24"/>
          <w:szCs w:val="24"/>
        </w:rPr>
        <w:t>containing some human activity (F</w:t>
      </w:r>
      <w:r w:rsidR="00365C95">
        <w:rPr>
          <w:rFonts w:ascii="Times New Roman" w:hAnsi="Times New Roman" w:cs="Times New Roman"/>
          <w:sz w:val="24"/>
          <w:szCs w:val="24"/>
          <w:vertAlign w:val="subscript"/>
        </w:rPr>
        <w:t xml:space="preserve">9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6.57, p = 0.035,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0.36; Figure 3</w:t>
      </w:r>
      <w:r w:rsidR="009A417B">
        <w:rPr>
          <w:rFonts w:ascii="Times New Roman" w:hAnsi="Times New Roman" w:cs="Times New Roman"/>
          <w:sz w:val="24"/>
          <w:szCs w:val="24"/>
        </w:rPr>
        <w:t>B</w:t>
      </w:r>
      <w:r w:rsidR="00365C95">
        <w:rPr>
          <w:rFonts w:ascii="Times New Roman" w:hAnsi="Times New Roman" w:cs="Times New Roman"/>
          <w:sz w:val="24"/>
          <w:szCs w:val="24"/>
        </w:rPr>
        <w:t>).</w:t>
      </w:r>
      <w:r w:rsidR="008C26E2">
        <w:rPr>
          <w:rFonts w:ascii="Times New Roman" w:hAnsi="Times New Roman" w:cs="Times New Roman"/>
          <w:sz w:val="24"/>
          <w:szCs w:val="24"/>
        </w:rPr>
        <w:t xml:space="preserve"> </w:t>
      </w:r>
      <w:r w:rsidR="00365C95">
        <w:rPr>
          <w:rFonts w:ascii="Times New Roman" w:hAnsi="Times New Roman" w:cs="Times New Roman"/>
          <w:sz w:val="24"/>
          <w:szCs w:val="24"/>
        </w:rPr>
        <w:t xml:space="preserve">Properties </w:t>
      </w:r>
      <w:r w:rsidR="008C26E2">
        <w:rPr>
          <w:rFonts w:ascii="Times New Roman" w:hAnsi="Times New Roman" w:cs="Times New Roman"/>
          <w:sz w:val="24"/>
          <w:szCs w:val="24"/>
        </w:rPr>
        <w:t xml:space="preserve">with waterbodies tended to have higher percentages of coverage by human activity. </w:t>
      </w:r>
      <w:r w:rsidR="00E51DD9">
        <w:rPr>
          <w:rFonts w:ascii="Times New Roman" w:hAnsi="Times New Roman" w:cs="Times New Roman"/>
          <w:sz w:val="24"/>
          <w:szCs w:val="24"/>
        </w:rPr>
        <w:t>The percent of activity on-trail relative to off-trail</w:t>
      </w:r>
      <w:r w:rsidR="008C26E2">
        <w:rPr>
          <w:rFonts w:ascii="Times New Roman" w:hAnsi="Times New Roman" w:cs="Times New Roman"/>
          <w:sz w:val="24"/>
          <w:szCs w:val="24"/>
        </w:rPr>
        <w:t xml:space="preserve"> </w:t>
      </w:r>
      <w:r w:rsidR="00E51DD9">
        <w:rPr>
          <w:rFonts w:ascii="Times New Roman" w:hAnsi="Times New Roman" w:cs="Times New Roman"/>
          <w:sz w:val="24"/>
          <w:szCs w:val="24"/>
        </w:rPr>
        <w:t xml:space="preserve">was significantly </w:t>
      </w:r>
      <w:r w:rsidR="00E51DD9">
        <w:rPr>
          <w:rFonts w:ascii="Times New Roman" w:hAnsi="Times New Roman" w:cs="Times New Roman"/>
          <w:sz w:val="24"/>
          <w:szCs w:val="24"/>
        </w:rPr>
        <w:lastRenderedPageBreak/>
        <w:t>correlated with the percent area with human activity (F</w:t>
      </w:r>
      <w:r w:rsidR="00E51DD9">
        <w:rPr>
          <w:rFonts w:ascii="Times New Roman" w:hAnsi="Times New Roman" w:cs="Times New Roman"/>
          <w:sz w:val="24"/>
          <w:szCs w:val="24"/>
          <w:vertAlign w:val="subscript"/>
        </w:rPr>
        <w:t xml:space="preserve">9 </w:t>
      </w:r>
      <w:r w:rsidR="00E51DD9" w:rsidRPr="0005588C">
        <w:rPr>
          <w:rFonts w:ascii="Times New Roman" w:hAnsi="Times New Roman" w:cs="Times New Roman"/>
          <w:sz w:val="24"/>
          <w:szCs w:val="24"/>
        </w:rPr>
        <w:t xml:space="preserve">= </w:t>
      </w:r>
      <w:r w:rsidR="00E51DD9">
        <w:rPr>
          <w:rFonts w:ascii="Times New Roman" w:hAnsi="Times New Roman" w:cs="Times New Roman"/>
          <w:sz w:val="24"/>
          <w:szCs w:val="24"/>
        </w:rPr>
        <w:t>18.0, p = 0.002, R</w:t>
      </w:r>
      <w:r w:rsidR="00E51DD9" w:rsidRPr="0005588C">
        <w:rPr>
          <w:rFonts w:ascii="Times New Roman" w:hAnsi="Times New Roman" w:cs="Times New Roman"/>
          <w:sz w:val="24"/>
          <w:szCs w:val="24"/>
          <w:vertAlign w:val="superscript"/>
        </w:rPr>
        <w:t>2</w:t>
      </w:r>
      <w:r w:rsidR="00E51DD9">
        <w:rPr>
          <w:rFonts w:ascii="Times New Roman" w:hAnsi="Times New Roman" w:cs="Times New Roman"/>
          <w:sz w:val="24"/>
          <w:szCs w:val="24"/>
        </w:rPr>
        <w:t xml:space="preserve"> = 0.63; Figure 3</w:t>
      </w:r>
      <w:r w:rsidR="009A417B">
        <w:rPr>
          <w:rFonts w:ascii="Times New Roman" w:hAnsi="Times New Roman" w:cs="Times New Roman"/>
          <w:sz w:val="24"/>
          <w:szCs w:val="24"/>
        </w:rPr>
        <w:t>C</w:t>
      </w:r>
      <w:r w:rsidR="00E51DD9">
        <w:rPr>
          <w:rFonts w:ascii="Times New Roman" w:hAnsi="Times New Roman" w:cs="Times New Roman"/>
          <w:sz w:val="24"/>
          <w:szCs w:val="24"/>
        </w:rPr>
        <w:t>)</w:t>
      </w:r>
      <w:r w:rsidR="00103070">
        <w:rPr>
          <w:rFonts w:ascii="Times New Roman" w:hAnsi="Times New Roman" w:cs="Times New Roman"/>
          <w:sz w:val="24"/>
          <w:szCs w:val="24"/>
        </w:rPr>
        <w:t>, suggesting increased use typically occurs on trails</w:t>
      </w:r>
      <w:r w:rsidR="00E51DD9">
        <w:rPr>
          <w:rFonts w:ascii="Times New Roman" w:hAnsi="Times New Roman" w:cs="Times New Roman"/>
          <w:sz w:val="24"/>
          <w:szCs w:val="24"/>
        </w:rPr>
        <w:t>.</w:t>
      </w:r>
    </w:p>
    <w:p w14:paraId="41CFD801" w14:textId="77777777" w:rsidR="004F20E2" w:rsidRDefault="004F20E2" w:rsidP="00C73D41">
      <w:pPr>
        <w:spacing w:line="480" w:lineRule="auto"/>
        <w:rPr>
          <w:rFonts w:ascii="Times New Roman" w:hAnsi="Times New Roman" w:cs="Times New Roman"/>
          <w:i/>
          <w:iCs/>
          <w:sz w:val="24"/>
          <w:szCs w:val="24"/>
        </w:rPr>
      </w:pPr>
    </w:p>
    <w:p w14:paraId="532B2483" w14:textId="3296697F" w:rsidR="007B3D35" w:rsidRPr="007B3D35" w:rsidRDefault="007B3D35" w:rsidP="00C73D41">
      <w:pPr>
        <w:spacing w:line="480" w:lineRule="auto"/>
        <w:rPr>
          <w:rFonts w:ascii="Times New Roman" w:hAnsi="Times New Roman" w:cs="Times New Roman"/>
          <w:i/>
          <w:iCs/>
          <w:sz w:val="24"/>
          <w:szCs w:val="24"/>
        </w:rPr>
      </w:pPr>
      <w:r w:rsidRPr="007B3D35">
        <w:rPr>
          <w:rFonts w:ascii="Times New Roman" w:hAnsi="Times New Roman" w:cs="Times New Roman"/>
          <w:i/>
          <w:iCs/>
          <w:sz w:val="24"/>
          <w:szCs w:val="24"/>
        </w:rPr>
        <w:t xml:space="preserve">3.3 Mobility patterns and </w:t>
      </w:r>
      <w:r w:rsidR="008A0436">
        <w:rPr>
          <w:rFonts w:ascii="Times New Roman" w:hAnsi="Times New Roman" w:cs="Times New Roman"/>
          <w:i/>
          <w:iCs/>
          <w:sz w:val="24"/>
          <w:szCs w:val="24"/>
        </w:rPr>
        <w:t>the environment</w:t>
      </w:r>
    </w:p>
    <w:p w14:paraId="47195AAA" w14:textId="54A03F12" w:rsidR="0005588C" w:rsidRDefault="003510FC"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Human activity varied considerably by ELC class. </w:t>
      </w:r>
      <w:r w:rsidR="004F20E2">
        <w:rPr>
          <w:rFonts w:ascii="Times New Roman" w:hAnsi="Times New Roman" w:cs="Times New Roman"/>
          <w:sz w:val="24"/>
          <w:szCs w:val="24"/>
        </w:rPr>
        <w:t>Forest and cultural we</w:t>
      </w:r>
      <w:r w:rsidR="00FF18CD">
        <w:rPr>
          <w:rFonts w:ascii="Times New Roman" w:hAnsi="Times New Roman" w:cs="Times New Roman"/>
          <w:sz w:val="24"/>
          <w:szCs w:val="24"/>
        </w:rPr>
        <w:t xml:space="preserve">re the land classes </w:t>
      </w:r>
      <w:r w:rsidR="00F44A2C">
        <w:rPr>
          <w:rFonts w:ascii="Times New Roman" w:hAnsi="Times New Roman" w:cs="Times New Roman"/>
          <w:sz w:val="24"/>
          <w:szCs w:val="24"/>
        </w:rPr>
        <w:t>where most of the mobility data occurred, followed by talus and cliff (Figure 4A). However, relative to the abundance of the land classes in each property, rock formations were disproportionately visited relative to other land types, including talus, cliff, crevice and cave, and bluff</w:t>
      </w:r>
      <w:r w:rsidR="00875258">
        <w:rPr>
          <w:rFonts w:ascii="Times New Roman" w:hAnsi="Times New Roman" w:cs="Times New Roman"/>
          <w:sz w:val="24"/>
          <w:szCs w:val="24"/>
        </w:rPr>
        <w:t xml:space="preserve"> (Figure 4B)</w:t>
      </w:r>
      <w:r w:rsidR="00F44A2C">
        <w:rPr>
          <w:rFonts w:ascii="Times New Roman" w:hAnsi="Times New Roman" w:cs="Times New Roman"/>
          <w:sz w:val="24"/>
          <w:szCs w:val="24"/>
        </w:rPr>
        <w:t xml:space="preserve">. </w:t>
      </w:r>
      <w:r w:rsidR="00875258">
        <w:rPr>
          <w:rFonts w:ascii="Times New Roman" w:hAnsi="Times New Roman" w:cs="Times New Roman"/>
          <w:sz w:val="24"/>
          <w:szCs w:val="24"/>
        </w:rPr>
        <w:t>By contrast, forests and cultural</w:t>
      </w:r>
      <w:r w:rsidR="00775F53">
        <w:rPr>
          <w:rFonts w:ascii="Times New Roman" w:hAnsi="Times New Roman" w:cs="Times New Roman"/>
          <w:sz w:val="24"/>
          <w:szCs w:val="24"/>
        </w:rPr>
        <w:t xml:space="preserve"> (i.e., recreational)</w:t>
      </w:r>
      <w:r w:rsidR="00875258">
        <w:rPr>
          <w:rFonts w:ascii="Times New Roman" w:hAnsi="Times New Roman" w:cs="Times New Roman"/>
          <w:sz w:val="24"/>
          <w:szCs w:val="24"/>
        </w:rPr>
        <w:t xml:space="preserve"> were used relatively infrequently in proportion to their abundance among </w:t>
      </w:r>
      <w:r w:rsidR="009274C5">
        <w:rPr>
          <w:rFonts w:ascii="Times New Roman" w:hAnsi="Times New Roman" w:cs="Times New Roman"/>
          <w:sz w:val="24"/>
          <w:szCs w:val="24"/>
        </w:rPr>
        <w:t>green spaces</w:t>
      </w:r>
      <w:r w:rsidR="00875258">
        <w:rPr>
          <w:rFonts w:ascii="Times New Roman" w:hAnsi="Times New Roman" w:cs="Times New Roman"/>
          <w:sz w:val="24"/>
          <w:szCs w:val="24"/>
        </w:rPr>
        <w:t xml:space="preserve">. </w:t>
      </w:r>
      <w:r w:rsidR="004F20E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2A0858F" w14:textId="40C23C0F" w:rsidR="00876646" w:rsidRDefault="00876646"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found that our measures of human activity were significantly related to patterns of tree composition across the eleven green space properties </w:t>
      </w:r>
      <w:r>
        <w:rPr>
          <w:rFonts w:ascii="Times New Roman" w:hAnsi="Times New Roman" w:cs="Times New Roman"/>
          <w:sz w:val="24"/>
          <w:szCs w:val="24"/>
        </w:rPr>
        <w:t>(F</w:t>
      </w:r>
      <w:r>
        <w:rPr>
          <w:rFonts w:ascii="Times New Roman" w:hAnsi="Times New Roman" w:cs="Times New Roman"/>
          <w:sz w:val="24"/>
          <w:szCs w:val="24"/>
          <w:vertAlign w:val="subscript"/>
        </w:rPr>
        <w:t>15</w:t>
      </w:r>
      <w:r>
        <w:rPr>
          <w:rFonts w:ascii="Times New Roman" w:hAnsi="Times New Roman" w:cs="Times New Roman"/>
          <w:sz w:val="24"/>
          <w:szCs w:val="24"/>
        </w:rPr>
        <w:t xml:space="preserve"> = 2.74, p = 0.001</w:t>
      </w:r>
      <w:r>
        <w:rPr>
          <w:rFonts w:ascii="Times New Roman" w:hAnsi="Times New Roman" w:cs="Times New Roman"/>
          <w:sz w:val="24"/>
          <w:szCs w:val="24"/>
        </w:rPr>
        <w:t>; Figure 5</w:t>
      </w:r>
      <w:r>
        <w:rPr>
          <w:rFonts w:ascii="Times New Roman" w:hAnsi="Times New Roman" w:cs="Times New Roman"/>
          <w:sz w:val="24"/>
          <w:szCs w:val="24"/>
        </w:rPr>
        <w:t>)</w:t>
      </w:r>
      <w:r>
        <w:rPr>
          <w:rFonts w:ascii="Times New Roman" w:hAnsi="Times New Roman" w:cs="Times New Roman"/>
          <w:sz w:val="24"/>
          <w:szCs w:val="24"/>
        </w:rPr>
        <w:t>, explaining 25% of the variation in species. Although few species were unique identified to correlate with human activity, there were some correlations observed. For instance, Sassafras species (</w:t>
      </w:r>
      <w:r w:rsidRPr="00876646">
        <w:rPr>
          <w:rFonts w:ascii="Times New Roman" w:hAnsi="Times New Roman" w:cs="Times New Roman"/>
          <w:sz w:val="24"/>
          <w:szCs w:val="24"/>
        </w:rPr>
        <w:t>Lauraceae</w:t>
      </w:r>
      <w:r>
        <w:rPr>
          <w:rFonts w:ascii="Times New Roman" w:hAnsi="Times New Roman" w:cs="Times New Roman"/>
          <w:sz w:val="24"/>
          <w:szCs w:val="24"/>
        </w:rPr>
        <w:t xml:space="preserve">: </w:t>
      </w:r>
      <w:r w:rsidRPr="00876646">
        <w:rPr>
          <w:rFonts w:ascii="Times New Roman" w:hAnsi="Times New Roman" w:cs="Times New Roman"/>
          <w:i/>
          <w:iCs/>
          <w:sz w:val="24"/>
          <w:szCs w:val="24"/>
        </w:rPr>
        <w:t>Sassafras spp.</w:t>
      </w:r>
      <w:r w:rsidRPr="00876646">
        <w:rPr>
          <w:rFonts w:ascii="Times New Roman" w:hAnsi="Times New Roman" w:cs="Times New Roman"/>
          <w:sz w:val="24"/>
          <w:szCs w:val="24"/>
        </w:rPr>
        <w:t>)</w:t>
      </w:r>
      <w:r>
        <w:rPr>
          <w:rFonts w:ascii="Times New Roman" w:hAnsi="Times New Roman" w:cs="Times New Roman"/>
          <w:sz w:val="24"/>
          <w:szCs w:val="24"/>
        </w:rPr>
        <w:t xml:space="preserve"> were found to closely associated with green spaces that have a larger human footprint, i.e</w:t>
      </w:r>
      <w:r w:rsidR="00A46A43">
        <w:rPr>
          <w:rFonts w:ascii="Times New Roman" w:hAnsi="Times New Roman" w:cs="Times New Roman"/>
          <w:sz w:val="24"/>
          <w:szCs w:val="24"/>
        </w:rPr>
        <w:t>.</w:t>
      </w:r>
      <w:r>
        <w:rPr>
          <w:rFonts w:ascii="Times New Roman" w:hAnsi="Times New Roman" w:cs="Times New Roman"/>
          <w:sz w:val="24"/>
          <w:szCs w:val="24"/>
        </w:rPr>
        <w:t xml:space="preserve">, areas with greater human coverage (Figure 5). </w:t>
      </w:r>
      <w:r w:rsidR="00A46A43">
        <w:rPr>
          <w:rFonts w:ascii="Times New Roman" w:hAnsi="Times New Roman" w:cs="Times New Roman"/>
          <w:sz w:val="24"/>
          <w:szCs w:val="24"/>
        </w:rPr>
        <w:t xml:space="preserve">Yellow </w:t>
      </w:r>
      <w:r w:rsidR="00AC2DF1">
        <w:rPr>
          <w:rFonts w:ascii="Times New Roman" w:hAnsi="Times New Roman" w:cs="Times New Roman"/>
          <w:sz w:val="24"/>
          <w:szCs w:val="24"/>
        </w:rPr>
        <w:t>b</w:t>
      </w:r>
      <w:r w:rsidR="00A46A43">
        <w:rPr>
          <w:rFonts w:ascii="Times New Roman" w:hAnsi="Times New Roman" w:cs="Times New Roman"/>
          <w:sz w:val="24"/>
          <w:szCs w:val="24"/>
        </w:rPr>
        <w:t>irch</w:t>
      </w:r>
      <w:r w:rsidR="00460F1C">
        <w:rPr>
          <w:rFonts w:ascii="Times New Roman" w:hAnsi="Times New Roman" w:cs="Times New Roman"/>
          <w:sz w:val="24"/>
          <w:szCs w:val="24"/>
        </w:rPr>
        <w:t xml:space="preserve"> (</w:t>
      </w:r>
      <w:r w:rsidR="00460F1C" w:rsidRPr="00460F1C">
        <w:rPr>
          <w:rFonts w:ascii="Times New Roman" w:hAnsi="Times New Roman" w:cs="Times New Roman"/>
          <w:sz w:val="24"/>
          <w:szCs w:val="24"/>
        </w:rPr>
        <w:t>Betulaceae</w:t>
      </w:r>
      <w:r w:rsidR="00460F1C">
        <w:rPr>
          <w:rFonts w:ascii="Times New Roman" w:hAnsi="Times New Roman" w:cs="Times New Roman"/>
          <w:sz w:val="24"/>
          <w:szCs w:val="24"/>
        </w:rPr>
        <w:t>:</w:t>
      </w:r>
      <w:r w:rsidR="00460F1C" w:rsidRPr="00460F1C">
        <w:rPr>
          <w:rFonts w:ascii="Times New Roman" w:hAnsi="Times New Roman" w:cs="Times New Roman"/>
          <w:sz w:val="24"/>
          <w:szCs w:val="24"/>
        </w:rPr>
        <w:t xml:space="preserve"> </w:t>
      </w:r>
      <w:r w:rsidR="00460F1C" w:rsidRPr="00460F1C">
        <w:rPr>
          <w:rFonts w:ascii="Times New Roman" w:hAnsi="Times New Roman" w:cs="Times New Roman"/>
          <w:i/>
          <w:iCs/>
          <w:sz w:val="24"/>
          <w:szCs w:val="24"/>
        </w:rPr>
        <w:t>B</w:t>
      </w:r>
      <w:r w:rsidR="00460F1C" w:rsidRPr="00460F1C">
        <w:rPr>
          <w:rFonts w:ascii="Times New Roman" w:hAnsi="Times New Roman" w:cs="Times New Roman"/>
          <w:i/>
          <w:iCs/>
          <w:sz w:val="24"/>
          <w:szCs w:val="24"/>
        </w:rPr>
        <w:t>etula</w:t>
      </w:r>
      <w:r w:rsidR="00460F1C" w:rsidRPr="00460F1C">
        <w:rPr>
          <w:rFonts w:ascii="Times New Roman" w:hAnsi="Times New Roman" w:cs="Times New Roman"/>
          <w:i/>
          <w:iCs/>
          <w:sz w:val="24"/>
          <w:szCs w:val="24"/>
        </w:rPr>
        <w:t xml:space="preserve"> alleghaniensis</w:t>
      </w:r>
      <w:r w:rsidR="00460F1C">
        <w:rPr>
          <w:rFonts w:ascii="Times New Roman" w:hAnsi="Times New Roman" w:cs="Times New Roman"/>
          <w:sz w:val="24"/>
          <w:szCs w:val="24"/>
        </w:rPr>
        <w:t>)</w:t>
      </w:r>
      <w:r w:rsidR="00A46A43">
        <w:rPr>
          <w:rFonts w:ascii="Times New Roman" w:hAnsi="Times New Roman" w:cs="Times New Roman"/>
          <w:sz w:val="24"/>
          <w:szCs w:val="24"/>
        </w:rPr>
        <w:t xml:space="preserve"> and </w:t>
      </w:r>
      <w:r w:rsidR="00AC2DF1">
        <w:rPr>
          <w:rFonts w:ascii="Times New Roman" w:hAnsi="Times New Roman" w:cs="Times New Roman"/>
          <w:sz w:val="24"/>
          <w:szCs w:val="24"/>
        </w:rPr>
        <w:t>b</w:t>
      </w:r>
      <w:r w:rsidR="00A46A43">
        <w:rPr>
          <w:rFonts w:ascii="Times New Roman" w:hAnsi="Times New Roman" w:cs="Times New Roman"/>
          <w:sz w:val="24"/>
          <w:szCs w:val="24"/>
        </w:rPr>
        <w:t xml:space="preserve">lack </w:t>
      </w:r>
      <w:r w:rsidR="00AC2DF1">
        <w:rPr>
          <w:rFonts w:ascii="Times New Roman" w:hAnsi="Times New Roman" w:cs="Times New Roman"/>
          <w:sz w:val="24"/>
          <w:szCs w:val="24"/>
        </w:rPr>
        <w:t>a</w:t>
      </w:r>
      <w:r w:rsidR="00A46A43">
        <w:rPr>
          <w:rFonts w:ascii="Times New Roman" w:hAnsi="Times New Roman" w:cs="Times New Roman"/>
          <w:sz w:val="24"/>
          <w:szCs w:val="24"/>
        </w:rPr>
        <w:t>sh</w:t>
      </w:r>
      <w:r w:rsidR="00460F1C">
        <w:rPr>
          <w:rFonts w:ascii="Times New Roman" w:hAnsi="Times New Roman" w:cs="Times New Roman"/>
          <w:sz w:val="24"/>
          <w:szCs w:val="24"/>
        </w:rPr>
        <w:t xml:space="preserve"> (</w:t>
      </w:r>
      <w:r w:rsidR="00460F1C" w:rsidRPr="00460F1C">
        <w:rPr>
          <w:rFonts w:ascii="Times New Roman" w:hAnsi="Times New Roman" w:cs="Times New Roman"/>
          <w:sz w:val="24"/>
          <w:szCs w:val="24"/>
        </w:rPr>
        <w:t>Oleaceae</w:t>
      </w:r>
      <w:r w:rsidR="00460F1C">
        <w:rPr>
          <w:rFonts w:ascii="Times New Roman" w:hAnsi="Times New Roman" w:cs="Times New Roman"/>
          <w:sz w:val="24"/>
          <w:szCs w:val="24"/>
        </w:rPr>
        <w:t xml:space="preserve">: </w:t>
      </w:r>
      <w:r w:rsidR="00460F1C" w:rsidRPr="00460F1C">
        <w:rPr>
          <w:rFonts w:ascii="Times New Roman" w:hAnsi="Times New Roman" w:cs="Times New Roman"/>
          <w:i/>
          <w:iCs/>
          <w:sz w:val="24"/>
          <w:szCs w:val="24"/>
        </w:rPr>
        <w:t>Fraxinus nigra</w:t>
      </w:r>
      <w:r w:rsidR="00460F1C">
        <w:rPr>
          <w:rFonts w:ascii="Times New Roman" w:hAnsi="Times New Roman" w:cs="Times New Roman"/>
          <w:sz w:val="24"/>
          <w:szCs w:val="24"/>
        </w:rPr>
        <w:t>)</w:t>
      </w:r>
      <w:r w:rsidR="00A46A43">
        <w:rPr>
          <w:rFonts w:ascii="Times New Roman" w:hAnsi="Times New Roman" w:cs="Times New Roman"/>
          <w:sz w:val="24"/>
          <w:szCs w:val="24"/>
        </w:rPr>
        <w:t xml:space="preserve"> were both found to correlate with </w:t>
      </w:r>
      <w:r w:rsidR="00460F1C">
        <w:rPr>
          <w:rFonts w:ascii="Times New Roman" w:hAnsi="Times New Roman" w:cs="Times New Roman"/>
          <w:sz w:val="24"/>
          <w:szCs w:val="24"/>
        </w:rPr>
        <w:t xml:space="preserve">total human activity and proportion of weekend activity (Figure 5). Some species appear to be negatively associated with human activity including </w:t>
      </w:r>
      <w:r w:rsidR="00AC2DF1">
        <w:rPr>
          <w:rFonts w:ascii="Times New Roman" w:hAnsi="Times New Roman" w:cs="Times New Roman"/>
          <w:sz w:val="24"/>
          <w:szCs w:val="24"/>
        </w:rPr>
        <w:t>b</w:t>
      </w:r>
      <w:r w:rsidR="00460F1C">
        <w:rPr>
          <w:rFonts w:ascii="Times New Roman" w:hAnsi="Times New Roman" w:cs="Times New Roman"/>
          <w:sz w:val="24"/>
          <w:szCs w:val="24"/>
        </w:rPr>
        <w:t xml:space="preserve">itternut </w:t>
      </w:r>
      <w:r w:rsidR="00AC2DF1">
        <w:rPr>
          <w:rFonts w:ascii="Times New Roman" w:hAnsi="Times New Roman" w:cs="Times New Roman"/>
          <w:sz w:val="24"/>
          <w:szCs w:val="24"/>
        </w:rPr>
        <w:t>h</w:t>
      </w:r>
      <w:r w:rsidR="00460F1C">
        <w:rPr>
          <w:rFonts w:ascii="Times New Roman" w:hAnsi="Times New Roman" w:cs="Times New Roman"/>
          <w:sz w:val="24"/>
          <w:szCs w:val="24"/>
        </w:rPr>
        <w:t>ickory</w:t>
      </w:r>
      <w:r w:rsidR="00E52C0F">
        <w:rPr>
          <w:rFonts w:ascii="Times New Roman" w:hAnsi="Times New Roman" w:cs="Times New Roman"/>
          <w:sz w:val="24"/>
          <w:szCs w:val="24"/>
        </w:rPr>
        <w:t xml:space="preserve"> (Juglandaceae: </w:t>
      </w:r>
      <w:r w:rsidR="00E52C0F" w:rsidRPr="00E52C0F">
        <w:rPr>
          <w:rFonts w:ascii="Times New Roman" w:hAnsi="Times New Roman" w:cs="Times New Roman"/>
          <w:i/>
          <w:iCs/>
          <w:sz w:val="24"/>
          <w:szCs w:val="24"/>
        </w:rPr>
        <w:t>Carya cordiformis</w:t>
      </w:r>
      <w:r w:rsidR="00E52C0F">
        <w:rPr>
          <w:rFonts w:ascii="Times New Roman" w:hAnsi="Times New Roman" w:cs="Times New Roman"/>
          <w:sz w:val="24"/>
          <w:szCs w:val="24"/>
        </w:rPr>
        <w:t>)</w:t>
      </w:r>
      <w:r w:rsidR="00460F1C">
        <w:rPr>
          <w:rFonts w:ascii="Times New Roman" w:hAnsi="Times New Roman" w:cs="Times New Roman"/>
          <w:sz w:val="24"/>
          <w:szCs w:val="24"/>
        </w:rPr>
        <w:t xml:space="preserve">, </w:t>
      </w:r>
      <w:r w:rsidR="00AC2DF1">
        <w:rPr>
          <w:rFonts w:ascii="Times New Roman" w:hAnsi="Times New Roman" w:cs="Times New Roman"/>
          <w:sz w:val="24"/>
          <w:szCs w:val="24"/>
        </w:rPr>
        <w:t>i</w:t>
      </w:r>
      <w:r w:rsidR="00460F1C">
        <w:rPr>
          <w:rFonts w:ascii="Times New Roman" w:hAnsi="Times New Roman" w:cs="Times New Roman"/>
          <w:sz w:val="24"/>
          <w:szCs w:val="24"/>
        </w:rPr>
        <w:t>ronwood</w:t>
      </w:r>
      <w:r w:rsidR="00E52C0F">
        <w:rPr>
          <w:rFonts w:ascii="Times New Roman" w:hAnsi="Times New Roman" w:cs="Times New Roman"/>
          <w:sz w:val="24"/>
          <w:szCs w:val="24"/>
        </w:rPr>
        <w:t xml:space="preserve"> (</w:t>
      </w:r>
      <w:r w:rsidR="00E52C0F" w:rsidRPr="00460F1C">
        <w:rPr>
          <w:rFonts w:ascii="Times New Roman" w:hAnsi="Times New Roman" w:cs="Times New Roman"/>
          <w:sz w:val="24"/>
          <w:szCs w:val="24"/>
        </w:rPr>
        <w:t>Betulaceae</w:t>
      </w:r>
      <w:r w:rsidR="00E52C0F">
        <w:rPr>
          <w:rFonts w:ascii="Times New Roman" w:hAnsi="Times New Roman" w:cs="Times New Roman"/>
          <w:sz w:val="24"/>
          <w:szCs w:val="24"/>
        </w:rPr>
        <w:t xml:space="preserve">: </w:t>
      </w:r>
      <w:r w:rsidR="00E52C0F" w:rsidRPr="00E52C0F">
        <w:rPr>
          <w:rFonts w:ascii="Times New Roman" w:hAnsi="Times New Roman" w:cs="Times New Roman"/>
          <w:i/>
          <w:iCs/>
          <w:sz w:val="24"/>
          <w:szCs w:val="24"/>
        </w:rPr>
        <w:t>Ostrya virginiana</w:t>
      </w:r>
      <w:r w:rsidR="00E52C0F">
        <w:rPr>
          <w:rFonts w:ascii="Times New Roman" w:hAnsi="Times New Roman" w:cs="Times New Roman"/>
          <w:sz w:val="24"/>
          <w:szCs w:val="24"/>
        </w:rPr>
        <w:t>)</w:t>
      </w:r>
      <w:r w:rsidR="00460F1C">
        <w:rPr>
          <w:rFonts w:ascii="Times New Roman" w:hAnsi="Times New Roman" w:cs="Times New Roman"/>
          <w:sz w:val="24"/>
          <w:szCs w:val="24"/>
        </w:rPr>
        <w:t xml:space="preserve">, and American </w:t>
      </w:r>
      <w:r w:rsidR="00AC2DF1">
        <w:rPr>
          <w:rFonts w:ascii="Times New Roman" w:hAnsi="Times New Roman" w:cs="Times New Roman"/>
          <w:sz w:val="24"/>
          <w:szCs w:val="24"/>
        </w:rPr>
        <w:t>e</w:t>
      </w:r>
      <w:r w:rsidR="00460F1C">
        <w:rPr>
          <w:rFonts w:ascii="Times New Roman" w:hAnsi="Times New Roman" w:cs="Times New Roman"/>
          <w:sz w:val="24"/>
          <w:szCs w:val="24"/>
        </w:rPr>
        <w:t>lm</w:t>
      </w:r>
      <w:r w:rsidR="00E52C0F">
        <w:rPr>
          <w:rFonts w:ascii="Times New Roman" w:hAnsi="Times New Roman" w:cs="Times New Roman"/>
          <w:sz w:val="24"/>
          <w:szCs w:val="24"/>
        </w:rPr>
        <w:t xml:space="preserve"> (</w:t>
      </w:r>
      <w:r w:rsidR="00E52C0F" w:rsidRPr="00E52C0F">
        <w:rPr>
          <w:rFonts w:ascii="Times New Roman" w:hAnsi="Times New Roman" w:cs="Times New Roman"/>
          <w:sz w:val="24"/>
          <w:szCs w:val="24"/>
        </w:rPr>
        <w:t>Ulmaceae</w:t>
      </w:r>
      <w:r w:rsidR="00E52C0F">
        <w:rPr>
          <w:rFonts w:ascii="Times New Roman" w:hAnsi="Times New Roman" w:cs="Times New Roman"/>
          <w:sz w:val="24"/>
          <w:szCs w:val="24"/>
        </w:rPr>
        <w:t xml:space="preserve">: </w:t>
      </w:r>
      <w:r w:rsidR="00E52C0F" w:rsidRPr="00E52C0F">
        <w:rPr>
          <w:rFonts w:ascii="Times New Roman" w:hAnsi="Times New Roman" w:cs="Times New Roman"/>
          <w:i/>
          <w:iCs/>
          <w:sz w:val="24"/>
          <w:szCs w:val="24"/>
        </w:rPr>
        <w:t>Ulmus americana</w:t>
      </w:r>
      <w:r w:rsidR="00E52C0F">
        <w:rPr>
          <w:rFonts w:ascii="Times New Roman" w:hAnsi="Times New Roman" w:cs="Times New Roman"/>
          <w:sz w:val="24"/>
          <w:szCs w:val="24"/>
        </w:rPr>
        <w:t>)</w:t>
      </w:r>
      <w:r w:rsidR="00460F1C">
        <w:rPr>
          <w:rFonts w:ascii="Times New Roman" w:hAnsi="Times New Roman" w:cs="Times New Roman"/>
          <w:sz w:val="24"/>
          <w:szCs w:val="24"/>
        </w:rPr>
        <w:t xml:space="preserve">. </w:t>
      </w:r>
    </w:p>
    <w:p w14:paraId="38C4F0E1" w14:textId="77777777" w:rsidR="00EC6FDB" w:rsidRDefault="00EC6FDB" w:rsidP="00C73D41">
      <w:pPr>
        <w:spacing w:line="480" w:lineRule="auto"/>
        <w:rPr>
          <w:rFonts w:ascii="Times New Roman" w:hAnsi="Times New Roman" w:cs="Times New Roman"/>
          <w:sz w:val="24"/>
          <w:szCs w:val="24"/>
        </w:rPr>
      </w:pPr>
    </w:p>
    <w:p w14:paraId="4EAF784B" w14:textId="4493776A" w:rsidR="00C73D41" w:rsidRDefault="0028008E" w:rsidP="00C73D4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4.0 </w:t>
      </w:r>
      <w:r w:rsidR="00C73D41" w:rsidRPr="00C73D41">
        <w:rPr>
          <w:rFonts w:ascii="Times New Roman" w:hAnsi="Times New Roman" w:cs="Times New Roman"/>
          <w:b/>
          <w:bCs/>
          <w:sz w:val="24"/>
          <w:szCs w:val="24"/>
        </w:rPr>
        <w:t>Discussion</w:t>
      </w:r>
    </w:p>
    <w:p w14:paraId="54EC3B41" w14:textId="6F5A6299" w:rsidR="00701789" w:rsidRDefault="00422F56" w:rsidP="00C73D41">
      <w:pPr>
        <w:spacing w:line="480" w:lineRule="auto"/>
        <w:rPr>
          <w:rFonts w:ascii="Times New Roman" w:hAnsi="Times New Roman" w:cs="Times New Roman"/>
          <w:sz w:val="24"/>
          <w:szCs w:val="24"/>
        </w:rPr>
      </w:pPr>
      <w:r>
        <w:rPr>
          <w:rFonts w:ascii="Times New Roman" w:hAnsi="Times New Roman" w:cs="Times New Roman"/>
          <w:b/>
          <w:bCs/>
          <w:sz w:val="24"/>
          <w:szCs w:val="24"/>
        </w:rPr>
        <w:tab/>
      </w:r>
      <w:bookmarkStart w:id="3" w:name="_Hlk95921087"/>
      <w:r w:rsidR="004262FF">
        <w:rPr>
          <w:rFonts w:ascii="Times New Roman" w:hAnsi="Times New Roman" w:cs="Times New Roman"/>
          <w:sz w:val="24"/>
          <w:szCs w:val="24"/>
        </w:rPr>
        <w:t xml:space="preserve">For the first time, we examine </w:t>
      </w:r>
      <w:r>
        <w:rPr>
          <w:rFonts w:ascii="Times New Roman" w:hAnsi="Times New Roman" w:cs="Times New Roman"/>
          <w:sz w:val="24"/>
          <w:szCs w:val="24"/>
        </w:rPr>
        <w:t>relationship</w:t>
      </w:r>
      <w:r w:rsidR="004262FF">
        <w:rPr>
          <w:rFonts w:ascii="Times New Roman" w:hAnsi="Times New Roman" w:cs="Times New Roman"/>
          <w:sz w:val="24"/>
          <w:szCs w:val="24"/>
        </w:rPr>
        <w:t>s</w:t>
      </w:r>
      <w:r>
        <w:rPr>
          <w:rFonts w:ascii="Times New Roman" w:hAnsi="Times New Roman" w:cs="Times New Roman"/>
          <w:sz w:val="24"/>
          <w:szCs w:val="24"/>
        </w:rPr>
        <w:t xml:space="preserve"> </w:t>
      </w:r>
      <w:r w:rsidR="004262FF">
        <w:rPr>
          <w:rFonts w:ascii="Times New Roman" w:hAnsi="Times New Roman" w:cs="Times New Roman"/>
          <w:sz w:val="24"/>
          <w:szCs w:val="24"/>
        </w:rPr>
        <w:t xml:space="preserve">between human activity levels and </w:t>
      </w:r>
      <w:r w:rsidR="009274C5">
        <w:rPr>
          <w:rFonts w:ascii="Times New Roman" w:hAnsi="Times New Roman" w:cs="Times New Roman"/>
          <w:sz w:val="24"/>
          <w:szCs w:val="24"/>
        </w:rPr>
        <w:t>green spaces</w:t>
      </w:r>
      <w:r w:rsidR="004262FF">
        <w:rPr>
          <w:rFonts w:ascii="Times New Roman" w:hAnsi="Times New Roman" w:cs="Times New Roman"/>
          <w:sz w:val="24"/>
          <w:szCs w:val="24"/>
        </w:rPr>
        <w:t xml:space="preserve"> environments using anonymized mobility data. </w:t>
      </w:r>
      <w:r w:rsidR="00CF0634">
        <w:rPr>
          <w:rFonts w:ascii="Times New Roman" w:hAnsi="Times New Roman" w:cs="Times New Roman"/>
          <w:sz w:val="24"/>
          <w:szCs w:val="24"/>
        </w:rPr>
        <w:t>We found a significant correlation between number of visitors and total mobility data (R</w:t>
      </w:r>
      <w:r w:rsidR="00CF0634" w:rsidRPr="00CF0634">
        <w:rPr>
          <w:rFonts w:ascii="Times New Roman" w:hAnsi="Times New Roman" w:cs="Times New Roman"/>
          <w:sz w:val="24"/>
          <w:szCs w:val="24"/>
          <w:vertAlign w:val="superscript"/>
        </w:rPr>
        <w:t>2</w:t>
      </w:r>
      <w:r w:rsidR="00CF0634">
        <w:rPr>
          <w:rFonts w:ascii="Times New Roman" w:hAnsi="Times New Roman" w:cs="Times New Roman"/>
          <w:sz w:val="24"/>
          <w:szCs w:val="24"/>
          <w:vertAlign w:val="superscript"/>
        </w:rPr>
        <w:t xml:space="preserve"> </w:t>
      </w:r>
      <w:r w:rsidR="00CF0634" w:rsidRPr="00CF0634">
        <w:rPr>
          <w:rFonts w:ascii="Times New Roman" w:hAnsi="Times New Roman" w:cs="Times New Roman"/>
          <w:sz w:val="24"/>
          <w:szCs w:val="24"/>
        </w:rPr>
        <w:t>=</w:t>
      </w:r>
      <w:r w:rsidR="00CF0634">
        <w:rPr>
          <w:rFonts w:ascii="Times New Roman" w:hAnsi="Times New Roman" w:cs="Times New Roman"/>
          <w:sz w:val="24"/>
          <w:szCs w:val="24"/>
          <w:vertAlign w:val="superscript"/>
        </w:rPr>
        <w:t xml:space="preserve"> </w:t>
      </w:r>
      <w:r w:rsidR="00CF0634">
        <w:rPr>
          <w:rFonts w:ascii="Times New Roman" w:hAnsi="Times New Roman" w:cs="Times New Roman"/>
          <w:sz w:val="24"/>
          <w:szCs w:val="24"/>
        </w:rPr>
        <w:t>0.97; Figure 2)</w:t>
      </w:r>
      <w:r w:rsidR="004262FF">
        <w:rPr>
          <w:rFonts w:ascii="Times New Roman" w:hAnsi="Times New Roman" w:cs="Times New Roman"/>
          <w:sz w:val="24"/>
          <w:szCs w:val="24"/>
        </w:rPr>
        <w:t xml:space="preserve"> demonstrating that anonymized mobility data effectively captures human activity in </w:t>
      </w:r>
      <w:r w:rsidR="009274C5">
        <w:rPr>
          <w:rFonts w:ascii="Times New Roman" w:hAnsi="Times New Roman" w:cs="Times New Roman"/>
          <w:sz w:val="24"/>
          <w:szCs w:val="24"/>
        </w:rPr>
        <w:t>green spaces</w:t>
      </w:r>
      <w:r w:rsidR="00CF0634">
        <w:rPr>
          <w:rFonts w:ascii="Times New Roman" w:hAnsi="Times New Roman" w:cs="Times New Roman"/>
          <w:sz w:val="24"/>
          <w:szCs w:val="24"/>
        </w:rPr>
        <w:t xml:space="preserve">. However, it is important to note that pre-processing is required to </w:t>
      </w:r>
      <w:r w:rsidR="00334237">
        <w:rPr>
          <w:rFonts w:ascii="Times New Roman" w:hAnsi="Times New Roman" w:cs="Times New Roman"/>
          <w:sz w:val="24"/>
          <w:szCs w:val="24"/>
        </w:rPr>
        <w:t>reflect the activity more accurately</w:t>
      </w:r>
      <w:r w:rsidR="00CF0634">
        <w:rPr>
          <w:rFonts w:ascii="Times New Roman" w:hAnsi="Times New Roman" w:cs="Times New Roman"/>
          <w:sz w:val="24"/>
          <w:szCs w:val="24"/>
        </w:rPr>
        <w:t xml:space="preserve"> in </w:t>
      </w:r>
      <w:r w:rsidR="009274C5">
        <w:rPr>
          <w:rFonts w:ascii="Times New Roman" w:hAnsi="Times New Roman" w:cs="Times New Roman"/>
          <w:sz w:val="24"/>
          <w:szCs w:val="24"/>
        </w:rPr>
        <w:t>green spaces</w:t>
      </w:r>
      <w:r w:rsidR="00CF0634">
        <w:rPr>
          <w:rFonts w:ascii="Times New Roman" w:hAnsi="Times New Roman" w:cs="Times New Roman"/>
          <w:sz w:val="24"/>
          <w:szCs w:val="24"/>
        </w:rPr>
        <w:t xml:space="preserve">. </w:t>
      </w:r>
      <w:r w:rsidR="00334237">
        <w:rPr>
          <w:rFonts w:ascii="Times New Roman" w:hAnsi="Times New Roman" w:cs="Times New Roman"/>
          <w:sz w:val="24"/>
          <w:szCs w:val="24"/>
        </w:rPr>
        <w:t xml:space="preserve">The mobility data proved an effective tool at capturing human activity patterns in </w:t>
      </w:r>
      <w:r w:rsidR="009274C5">
        <w:rPr>
          <w:rFonts w:ascii="Times New Roman" w:hAnsi="Times New Roman" w:cs="Times New Roman"/>
          <w:sz w:val="24"/>
          <w:szCs w:val="24"/>
        </w:rPr>
        <w:t>green spaces</w:t>
      </w:r>
      <w:r w:rsidR="00334237">
        <w:rPr>
          <w:rFonts w:ascii="Times New Roman" w:hAnsi="Times New Roman" w:cs="Times New Roman"/>
          <w:sz w:val="24"/>
          <w:szCs w:val="24"/>
        </w:rPr>
        <w:t xml:space="preserve"> including patterns of trail and land use</w:t>
      </w:r>
      <w:r w:rsidR="004262FF">
        <w:rPr>
          <w:rFonts w:ascii="Times New Roman" w:hAnsi="Times New Roman" w:cs="Times New Roman"/>
          <w:sz w:val="24"/>
          <w:szCs w:val="24"/>
        </w:rPr>
        <w:t xml:space="preserve"> category</w:t>
      </w:r>
      <w:r w:rsidR="0028008E">
        <w:rPr>
          <w:rFonts w:ascii="Times New Roman" w:hAnsi="Times New Roman" w:cs="Times New Roman"/>
          <w:sz w:val="24"/>
          <w:szCs w:val="24"/>
        </w:rPr>
        <w:t xml:space="preserve"> (Figures 3, 4)</w:t>
      </w:r>
      <w:r w:rsidR="00334237">
        <w:rPr>
          <w:rFonts w:ascii="Times New Roman" w:hAnsi="Times New Roman" w:cs="Times New Roman"/>
          <w:sz w:val="24"/>
          <w:szCs w:val="24"/>
        </w:rPr>
        <w:t>.</w:t>
      </w:r>
      <w:r w:rsidR="0028008E">
        <w:rPr>
          <w:rFonts w:ascii="Times New Roman" w:hAnsi="Times New Roman" w:cs="Times New Roman"/>
          <w:sz w:val="24"/>
          <w:szCs w:val="24"/>
        </w:rPr>
        <w:t xml:space="preserve"> For land managers looking to balance human use with biological conservation</w:t>
      </w:r>
      <w:r w:rsidR="004262FF">
        <w:rPr>
          <w:rFonts w:ascii="Times New Roman" w:hAnsi="Times New Roman" w:cs="Times New Roman"/>
          <w:sz w:val="24"/>
          <w:szCs w:val="24"/>
        </w:rPr>
        <w:t xml:space="preserve"> in </w:t>
      </w:r>
      <w:r w:rsidR="009274C5">
        <w:rPr>
          <w:rFonts w:ascii="Times New Roman" w:hAnsi="Times New Roman" w:cs="Times New Roman"/>
          <w:sz w:val="24"/>
          <w:szCs w:val="24"/>
        </w:rPr>
        <w:t>green spaces</w:t>
      </w:r>
      <w:r w:rsidR="0028008E">
        <w:rPr>
          <w:rFonts w:ascii="Times New Roman" w:hAnsi="Times New Roman" w:cs="Times New Roman"/>
          <w:sz w:val="24"/>
          <w:szCs w:val="24"/>
        </w:rPr>
        <w:t xml:space="preserve">, </w:t>
      </w:r>
      <w:r w:rsidR="004262FF">
        <w:rPr>
          <w:rFonts w:ascii="Times New Roman" w:hAnsi="Times New Roman" w:cs="Times New Roman"/>
          <w:sz w:val="24"/>
          <w:szCs w:val="24"/>
        </w:rPr>
        <w:t xml:space="preserve">we illustrate that anonymized </w:t>
      </w:r>
      <w:r w:rsidR="0028008E">
        <w:rPr>
          <w:rFonts w:ascii="Times New Roman" w:hAnsi="Times New Roman" w:cs="Times New Roman"/>
          <w:sz w:val="24"/>
          <w:szCs w:val="24"/>
        </w:rPr>
        <w:t xml:space="preserve">mobility data </w:t>
      </w:r>
      <w:r w:rsidR="004262FF">
        <w:rPr>
          <w:rFonts w:ascii="Times New Roman" w:hAnsi="Times New Roman" w:cs="Times New Roman"/>
          <w:sz w:val="24"/>
          <w:szCs w:val="24"/>
        </w:rPr>
        <w:t xml:space="preserve">is </w:t>
      </w:r>
      <w:r w:rsidR="0028008E">
        <w:rPr>
          <w:rFonts w:ascii="Times New Roman" w:hAnsi="Times New Roman" w:cs="Times New Roman"/>
          <w:sz w:val="24"/>
          <w:szCs w:val="24"/>
        </w:rPr>
        <w:t>a powerful</w:t>
      </w:r>
      <w:r w:rsidR="004262FF">
        <w:rPr>
          <w:rFonts w:ascii="Times New Roman" w:hAnsi="Times New Roman" w:cs="Times New Roman"/>
          <w:sz w:val="24"/>
          <w:szCs w:val="24"/>
        </w:rPr>
        <w:t xml:space="preserve"> and accessible</w:t>
      </w:r>
      <w:r w:rsidR="0028008E">
        <w:rPr>
          <w:rFonts w:ascii="Times New Roman" w:hAnsi="Times New Roman" w:cs="Times New Roman"/>
          <w:sz w:val="24"/>
          <w:szCs w:val="24"/>
        </w:rPr>
        <w:t xml:space="preserve"> tool </w:t>
      </w:r>
      <w:r w:rsidR="004262FF">
        <w:rPr>
          <w:rFonts w:ascii="Times New Roman" w:hAnsi="Times New Roman" w:cs="Times New Roman"/>
          <w:sz w:val="24"/>
          <w:szCs w:val="24"/>
        </w:rPr>
        <w:t xml:space="preserve">for </w:t>
      </w:r>
      <w:r w:rsidR="00996B7B">
        <w:rPr>
          <w:rFonts w:ascii="Times New Roman" w:hAnsi="Times New Roman" w:cs="Times New Roman"/>
          <w:sz w:val="24"/>
          <w:szCs w:val="24"/>
        </w:rPr>
        <w:t xml:space="preserve">pinpointing </w:t>
      </w:r>
      <w:r w:rsidR="0028008E">
        <w:rPr>
          <w:rFonts w:ascii="Times New Roman" w:hAnsi="Times New Roman" w:cs="Times New Roman"/>
          <w:sz w:val="24"/>
          <w:szCs w:val="24"/>
        </w:rPr>
        <w:t xml:space="preserve">hot spots of </w:t>
      </w:r>
      <w:r w:rsidR="004262FF">
        <w:rPr>
          <w:rFonts w:ascii="Times New Roman" w:hAnsi="Times New Roman" w:cs="Times New Roman"/>
          <w:sz w:val="24"/>
          <w:szCs w:val="24"/>
        </w:rPr>
        <w:t xml:space="preserve">human </w:t>
      </w:r>
      <w:r w:rsidR="0028008E">
        <w:rPr>
          <w:rFonts w:ascii="Times New Roman" w:hAnsi="Times New Roman" w:cs="Times New Roman"/>
          <w:sz w:val="24"/>
          <w:szCs w:val="24"/>
        </w:rPr>
        <w:t xml:space="preserve">activity, </w:t>
      </w:r>
      <w:r w:rsidR="004262FF">
        <w:rPr>
          <w:rFonts w:ascii="Times New Roman" w:hAnsi="Times New Roman" w:cs="Times New Roman"/>
          <w:sz w:val="24"/>
          <w:szCs w:val="24"/>
        </w:rPr>
        <w:t xml:space="preserve">prospective </w:t>
      </w:r>
      <w:r w:rsidR="0028008E">
        <w:rPr>
          <w:rFonts w:ascii="Times New Roman" w:hAnsi="Times New Roman" w:cs="Times New Roman"/>
          <w:sz w:val="24"/>
          <w:szCs w:val="24"/>
        </w:rPr>
        <w:t>ecological refugia</w:t>
      </w:r>
      <w:r w:rsidR="004262FF">
        <w:rPr>
          <w:rFonts w:ascii="Times New Roman" w:hAnsi="Times New Roman" w:cs="Times New Roman"/>
          <w:sz w:val="24"/>
          <w:szCs w:val="24"/>
        </w:rPr>
        <w:t xml:space="preserve"> (i.e., cold spots where human activity is low)</w:t>
      </w:r>
      <w:r w:rsidR="0028008E">
        <w:rPr>
          <w:rFonts w:ascii="Times New Roman" w:hAnsi="Times New Roman" w:cs="Times New Roman"/>
          <w:sz w:val="24"/>
          <w:szCs w:val="24"/>
        </w:rPr>
        <w:t>,</w:t>
      </w:r>
      <w:r w:rsidR="00F8330E">
        <w:rPr>
          <w:rFonts w:ascii="Times New Roman" w:hAnsi="Times New Roman" w:cs="Times New Roman"/>
          <w:sz w:val="24"/>
          <w:szCs w:val="24"/>
        </w:rPr>
        <w:t xml:space="preserve"> and</w:t>
      </w:r>
      <w:r w:rsidR="0028008E">
        <w:rPr>
          <w:rFonts w:ascii="Times New Roman" w:hAnsi="Times New Roman" w:cs="Times New Roman"/>
          <w:sz w:val="24"/>
          <w:szCs w:val="24"/>
        </w:rPr>
        <w:t xml:space="preserve"> encroach</w:t>
      </w:r>
      <w:r w:rsidR="00BD64E2">
        <w:rPr>
          <w:rFonts w:ascii="Times New Roman" w:hAnsi="Times New Roman" w:cs="Times New Roman"/>
          <w:sz w:val="24"/>
          <w:szCs w:val="24"/>
        </w:rPr>
        <w:t>ment of</w:t>
      </w:r>
      <w:r w:rsidR="0028008E">
        <w:rPr>
          <w:rFonts w:ascii="Times New Roman" w:hAnsi="Times New Roman" w:cs="Times New Roman"/>
          <w:sz w:val="24"/>
          <w:szCs w:val="24"/>
        </w:rPr>
        <w:t xml:space="preserve"> activity on restricted areas</w:t>
      </w:r>
      <w:r w:rsidR="00F8330E">
        <w:rPr>
          <w:rFonts w:ascii="Times New Roman" w:hAnsi="Times New Roman" w:cs="Times New Roman"/>
          <w:sz w:val="24"/>
          <w:szCs w:val="24"/>
        </w:rPr>
        <w:t>. This information can be used to</w:t>
      </w:r>
      <w:r w:rsidR="00BD64E2">
        <w:rPr>
          <w:rFonts w:ascii="Times New Roman" w:hAnsi="Times New Roman" w:cs="Times New Roman"/>
          <w:sz w:val="24"/>
          <w:szCs w:val="24"/>
        </w:rPr>
        <w:t xml:space="preserve"> </w:t>
      </w:r>
      <w:r w:rsidR="00BD64E2">
        <w:rPr>
          <w:rFonts w:ascii="Times New Roman" w:hAnsi="Times New Roman" w:cs="Times New Roman"/>
          <w:i/>
          <w:iCs/>
          <w:sz w:val="24"/>
          <w:szCs w:val="24"/>
        </w:rPr>
        <w:t>a</w:t>
      </w:r>
      <w:r w:rsidR="00401969">
        <w:rPr>
          <w:rFonts w:ascii="Times New Roman" w:hAnsi="Times New Roman" w:cs="Times New Roman"/>
          <w:i/>
          <w:iCs/>
          <w:sz w:val="24"/>
          <w:szCs w:val="24"/>
        </w:rPr>
        <w:t xml:space="preserve"> </w:t>
      </w:r>
      <w:r w:rsidR="00BD64E2">
        <w:rPr>
          <w:rFonts w:ascii="Times New Roman" w:hAnsi="Times New Roman" w:cs="Times New Roman"/>
          <w:i/>
          <w:iCs/>
          <w:sz w:val="24"/>
          <w:szCs w:val="24"/>
        </w:rPr>
        <w:t>priori</w:t>
      </w:r>
      <w:r w:rsidR="00996B7B">
        <w:rPr>
          <w:rFonts w:ascii="Times New Roman" w:hAnsi="Times New Roman" w:cs="Times New Roman"/>
          <w:sz w:val="24"/>
          <w:szCs w:val="24"/>
        </w:rPr>
        <w:t xml:space="preserve"> plan biomonitoring to capture impacts along a gradient of human activity level.</w:t>
      </w:r>
    </w:p>
    <w:p w14:paraId="79857EA4" w14:textId="77777777" w:rsidR="00775F53" w:rsidRPr="00CF0634" w:rsidRDefault="00775F53" w:rsidP="00C73D41">
      <w:pPr>
        <w:spacing w:line="480" w:lineRule="auto"/>
        <w:rPr>
          <w:rFonts w:ascii="Times New Roman" w:hAnsi="Times New Roman" w:cs="Times New Roman"/>
          <w:sz w:val="24"/>
          <w:szCs w:val="24"/>
          <w:vertAlign w:val="superscript"/>
        </w:rPr>
      </w:pPr>
    </w:p>
    <w:p w14:paraId="5C6C0744" w14:textId="6BE0ACD6" w:rsidR="007B6F9A" w:rsidRDefault="00A3196A" w:rsidP="00C73D41">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4.1 </w:t>
      </w:r>
      <w:r w:rsidR="002F367F" w:rsidRPr="0028008E">
        <w:rPr>
          <w:rFonts w:ascii="Times New Roman" w:hAnsi="Times New Roman" w:cs="Times New Roman"/>
          <w:i/>
          <w:iCs/>
          <w:sz w:val="24"/>
          <w:szCs w:val="24"/>
        </w:rPr>
        <w:t>Description of observed patterns and interpretation</w:t>
      </w:r>
    </w:p>
    <w:p w14:paraId="7893DE0D" w14:textId="2FA2B648" w:rsidR="002F367F" w:rsidRDefault="00701789" w:rsidP="00A7401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Activity patterns varied considerably, but predictably among </w:t>
      </w:r>
      <w:r w:rsidR="009274C5">
        <w:rPr>
          <w:rFonts w:ascii="Times New Roman" w:hAnsi="Times New Roman" w:cs="Times New Roman"/>
          <w:sz w:val="24"/>
          <w:szCs w:val="24"/>
        </w:rPr>
        <w:t>green spaces</w:t>
      </w:r>
      <w:r>
        <w:rPr>
          <w:rFonts w:ascii="Times New Roman" w:hAnsi="Times New Roman" w:cs="Times New Roman"/>
          <w:sz w:val="24"/>
          <w:szCs w:val="24"/>
        </w:rPr>
        <w:t xml:space="preserve">. </w:t>
      </w:r>
      <w:r w:rsidR="004B720E">
        <w:rPr>
          <w:rFonts w:ascii="Times New Roman" w:hAnsi="Times New Roman" w:cs="Times New Roman"/>
          <w:sz w:val="24"/>
          <w:szCs w:val="24"/>
        </w:rPr>
        <w:t xml:space="preserve">Off-trail use is a significant problem in conserving biodiversity, causing disturbance, trampling, and introduction of </w:t>
      </w:r>
      <w:r w:rsidR="00401969">
        <w:rPr>
          <w:rFonts w:ascii="Times New Roman" w:hAnsi="Times New Roman" w:cs="Times New Roman"/>
          <w:sz w:val="24"/>
          <w:szCs w:val="24"/>
        </w:rPr>
        <w:t>non-native species</w:t>
      </w:r>
      <w:r w:rsidR="003D58EB">
        <w:rPr>
          <w:rFonts w:ascii="Times New Roman" w:hAnsi="Times New Roman" w:cs="Times New Roman"/>
          <w:sz w:val="24"/>
          <w:szCs w:val="24"/>
        </w:rPr>
        <w:t xml:space="preserve"> </w:t>
      </w:r>
      <w:r w:rsidR="003D58EB">
        <w:rPr>
          <w:rFonts w:ascii="Times New Roman" w:hAnsi="Times New Roman" w:cs="Times New Roman"/>
          <w:sz w:val="24"/>
          <w:szCs w:val="24"/>
        </w:rPr>
        <w:fldChar w:fldCharType="begin" w:fldLock="1"/>
      </w:r>
      <w:r w:rsidR="009E61C8">
        <w:rPr>
          <w:rFonts w:ascii="Times New Roman" w:hAnsi="Times New Roman" w:cs="Times New Roman"/>
          <w:sz w:val="24"/>
          <w:szCs w:val="24"/>
        </w:rPr>
        <w:instrText>ADDIN CSL_CITATION {"citationItems":[{"id":"ITEM-1","itemData":{"DOI":"https://doi.org/10.1016/j.jenvman.2005.12.016","ISSN":"0301-4797","abstract":"Vegetation conditions, i.e., plant cover, species richness, and the presence of exotic species, are compared along a high-use trail (Berg Lake Trail—BLT) and a low use trail (Mt. Fitzwilliam Trail—FWT) in Canada's Mt. Robson Provincial Park. We established 71 paired quadrats (1m×1m), and assessed the amount of vegetation cover and species richness by four main lifeforms, i.e., woody species, herbaceous species, ferns, and moss, lichen and fungi. The following hypotheses were tested: (1) differences exist between control and trailside quadrats in vegetation cover, species richness and floristic diversity, and (2) differences exist between the high and low-use trails in the above-mentioned three parameters. Results show that for the majority of variables the differences between the control and trailside quadrats are statistically not significant. Variables showing significant differences are relative vegetation cover (for BLT only), exposed soil (BLT and FWT), herbaceous cover (FWT), moss, lichen and fungi cover (BLT), overall species richness (BLT), and herbaceous species richness (BLT). Ruderal and exotic species are present but only on trailside quadrats of the high-use trail. Results indicate that the Park administration's strategy to disperse use in the Mt. Robson Provincial Park should be examined critically, and some guidelines for acceptability of changes should be developed.","author":[{"dropping-particle":"","family":"Nepal","given":"Sanjay K","non-dropping-particle":"","parse-names":false,"suffix":""},{"dropping-particle":"","family":"Way","given":"Paul","non-dropping-particle":"","parse-names":false,"suffix":""}],"container-title":"Journal of Environmental Management","id":"ITEM-1","issue":"2","issued":{"date-parts":[["2007"]]},"page":"240-249","title":"Comparison of vegetation conditions along two backcountry trails in Mount Robson Provincial Park, British Columbia (Canada)","type":"article-journal","volume":"82"},"uris":["http://www.mendeley.com/documents/?uuid=08321d47-b86d-43dc-b8b5-fdcaa8ff1727"]},{"id":"ITEM-2","itemData":{"DOI":"10.1007/s10531-015-0957-x","ISSN":"1572-9710","abstract":"Recreational trampling damage of natural vegetation is an increasing problem in the global context and has the potential to impact on vegetation communities that are of high ecological and socio-economic interest. Wildflower tourism in the national parks of southwest Australia, a global biodiversity hotspot, has the potential to damage the flora on which it depends through trampling. Little research has been previously undertaken in these largely shrub-dominated communities to identify and quantify such impacts. This study is the first to do so, using observational studies of tourists, a descriptive study, and trampling experiments. The behaviours of independent tourists and tour groups were observed. Of the 213 independent visitors observed 41 visitors left trails to view flowers and in the process trampled vegetation. Vegetation height and cover were measured at three sites frequented by wildflower tourists. Vegetation height and cover declined in response to use by tourists. Trampling experiments, which relied on trampling treatments of 0, 30, 100, 200, 300/500 passes, where 0 passes represents the control, were applied at four sites. Trampling led to a significant reduction in vegetation height immediately post-treatment, for all treatments, with a non-significant recovery over time. Trampling also significantly reduced vegetation cover, with the resistance indices for these experimental sites ranging from 30 to 300 passes. Collectively these results illustrate the low resilience and resistance of these valued communities and the possible impacts of wildflower and other nature based tourism, through trampling. The paper concludes with suggested management strategies, which strongly emphasise the importance of education for the tourism industry and provide for international comparisons in regard to recreational trampling impacts on biodiverse shrub land communities.","author":[{"dropping-particle":"","family":"Mason","given":"S","non-dropping-particle":"","parse-names":false,"suffix":""},{"dropping-particle":"","family":"Newsome","given":"D","non-dropping-particle":"","parse-names":false,"suffix":""},{"dropping-particle":"","family":"Moore","given":"S","non-dropping-particle":"","parse-names":false,"suffix":""},{"dropping-particle":"","family":"Admiraal","given":"R","non-dropping-particle":"","parse-names":false,"suffix":""}],"container-title":"Biodiversity and Conservation","id":"ITEM-2","issue":"11","issued":{"date-parts":[["2015"]]},"page":"2685-2707","title":"Recreational trampling negatively impacts vegetation structure of an Australian biodiversity hotspot","type":"article-journal","volume":"24"},"uris":["http://www.mendeley.com/documents/?uuid=e60887f6-8db5-4e47-8029-a58595b41b28"]},{"id":"ITEM-3","itemData":{"DOI":"https://doi.org/10.1016/j.jenvman.2020.110546","ISSN":"0301-4797","abstract":"Mountain protected areas provide a range of ecosystem services including conserving biodiversity, while often providing recreation and tourism opportunities. Unfortunately, tourists and pack animals used to transport equipment can damage sensitive alpine vegetation particularly when they leave trails. This study assessed the impacts of disturbance from off trail use on alpine vegetation in a popular park in the Andes. The effect of different levels of disturbance as well as abiotic factors on alpine steppe vegetation was assessed using generalized linear models and ordinations in 91 plots (20 m2) in the popular Horcones Valley that is used to access remote areas in Aconcagua Provincial Park in Argentina. Disturbance off trails resulted in declines in the cover of native plants, including the endemic shrub Adesmia aegiceras but increases in the cover of herbs including the non-native Convolvulus arvensis. Increased disturbance was associated with shifts from stress tolerant species to ruderal plants characterized by more acquisitive traits, including shorter plants with greater Specific Leaf Area. The research demonstrates the severity of impacts from off trail trampling including how trampling favours some species with specific traits over others and why it is important to limit off track use in areas of high conservation value.","author":[{"dropping-particle":"","family":"Barros","given":"Agustina","non-dropping-particle":"","parse-names":false,"suffix":""},{"dropping-particle":"","family":"Aschero","given":"Valeria","non-dropping-particle":"","parse-names":false,"suffix":""},{"dropping-particle":"","family":"Mazzolari","given":"Ana","non-dropping-particle":"","parse-names":false,"suffix":""},{"dropping-particle":"","family":"Cavieres","given":"Lohengrin A","non-dropping-particle":"","parse-names":false,"suffix":""},{"dropping-particle":"","family":"Pickering","given":"Catherine M","non-dropping-particle":"","parse-names":false,"suffix":""}],"container-title":"Journal of Environmental Management","id":"ITEM-3","issued":{"date-parts":[["2020"]]},"page":"110546","title":"Going off trails: How dispersed visitor use affects alpine vegetation","type":"article-journal","volume":"267"},"uris":["http://www.mendeley.com/documents/?uuid=fad83b73-e619-46a9-bdfd-89700fefe96e"]}],"mendeley":{"formattedCitation":"(Nepal &amp; Way, 2007; Mason et al., 2015; Barros, Aschero, Mazzolari, Cavieres, &amp; Pickering, 2020)","plainTextFormattedCitation":"(Nepal &amp; Way, 2007; Mason et al., 2015; Barros, Aschero, Mazzolari, Cavieres, &amp; Pickering, 2020)","previouslyFormattedCitation":"(Nepal &amp; Way, 2007; Mason et al., 2015; Barros, Aschero, Mazzolari, Cavieres, &amp; Pickering, 2020)"},"properties":{"noteIndex":0},"schema":"https://github.com/citation-style-language/schema/raw/master/csl-citation.json"}</w:instrText>
      </w:r>
      <w:r w:rsidR="003D58EB">
        <w:rPr>
          <w:rFonts w:ascii="Times New Roman" w:hAnsi="Times New Roman" w:cs="Times New Roman"/>
          <w:sz w:val="24"/>
          <w:szCs w:val="24"/>
        </w:rPr>
        <w:fldChar w:fldCharType="separate"/>
      </w:r>
      <w:r w:rsidR="009E61C8" w:rsidRPr="009E61C8">
        <w:rPr>
          <w:rFonts w:ascii="Times New Roman" w:hAnsi="Times New Roman" w:cs="Times New Roman"/>
          <w:noProof/>
          <w:sz w:val="24"/>
          <w:szCs w:val="24"/>
        </w:rPr>
        <w:t>(Nepal &amp; Way, 2007; Mason et al., 2015; Barros, Aschero, Mazzolari, Cavieres, &amp; Pickering, 2020)</w:t>
      </w:r>
      <w:r w:rsidR="003D58EB">
        <w:rPr>
          <w:rFonts w:ascii="Times New Roman" w:hAnsi="Times New Roman" w:cs="Times New Roman"/>
          <w:sz w:val="24"/>
          <w:szCs w:val="24"/>
        </w:rPr>
        <w:fldChar w:fldCharType="end"/>
      </w:r>
      <w:r w:rsidR="004B720E">
        <w:rPr>
          <w:rFonts w:ascii="Times New Roman" w:hAnsi="Times New Roman" w:cs="Times New Roman"/>
          <w:sz w:val="24"/>
          <w:szCs w:val="24"/>
        </w:rPr>
        <w:t xml:space="preserve">. </w:t>
      </w:r>
      <w:r w:rsidR="00DC3017">
        <w:rPr>
          <w:rFonts w:ascii="Times New Roman" w:hAnsi="Times New Roman" w:cs="Times New Roman"/>
          <w:sz w:val="24"/>
          <w:szCs w:val="24"/>
        </w:rPr>
        <w:t xml:space="preserve">In </w:t>
      </w:r>
      <w:r w:rsidR="00401969">
        <w:rPr>
          <w:rFonts w:ascii="Times New Roman" w:hAnsi="Times New Roman" w:cs="Times New Roman"/>
          <w:sz w:val="24"/>
          <w:szCs w:val="24"/>
        </w:rPr>
        <w:t xml:space="preserve">the </w:t>
      </w:r>
      <w:r w:rsidR="009274C5">
        <w:rPr>
          <w:rFonts w:ascii="Times New Roman" w:hAnsi="Times New Roman" w:cs="Times New Roman"/>
          <w:sz w:val="24"/>
          <w:szCs w:val="24"/>
        </w:rPr>
        <w:t>green spaces</w:t>
      </w:r>
      <w:r w:rsidR="00401969">
        <w:rPr>
          <w:rFonts w:ascii="Times New Roman" w:hAnsi="Times New Roman" w:cs="Times New Roman"/>
          <w:sz w:val="24"/>
          <w:szCs w:val="24"/>
        </w:rPr>
        <w:t xml:space="preserve"> evaluated</w:t>
      </w:r>
      <w:r w:rsidR="00660714">
        <w:rPr>
          <w:rFonts w:ascii="Times New Roman" w:hAnsi="Times New Roman" w:cs="Times New Roman"/>
          <w:sz w:val="24"/>
          <w:szCs w:val="24"/>
        </w:rPr>
        <w:t>,</w:t>
      </w:r>
      <w:r w:rsidR="00401969">
        <w:rPr>
          <w:rFonts w:ascii="Times New Roman" w:hAnsi="Times New Roman" w:cs="Times New Roman"/>
          <w:sz w:val="24"/>
          <w:szCs w:val="24"/>
        </w:rPr>
        <w:t xml:space="preserve"> we found that</w:t>
      </w:r>
      <w:r w:rsidR="00660714">
        <w:rPr>
          <w:rFonts w:ascii="Times New Roman" w:hAnsi="Times New Roman" w:cs="Times New Roman"/>
          <w:sz w:val="24"/>
          <w:szCs w:val="24"/>
        </w:rPr>
        <w:t xml:space="preserve"> m</w:t>
      </w:r>
      <w:r w:rsidR="00DC3017">
        <w:rPr>
          <w:rFonts w:ascii="Times New Roman" w:hAnsi="Times New Roman" w:cs="Times New Roman"/>
          <w:sz w:val="24"/>
          <w:szCs w:val="24"/>
        </w:rPr>
        <w:t xml:space="preserve">ost visitors appear to remain </w:t>
      </w:r>
      <w:r w:rsidR="00401969">
        <w:rPr>
          <w:rFonts w:ascii="Times New Roman" w:hAnsi="Times New Roman" w:cs="Times New Roman"/>
          <w:sz w:val="24"/>
          <w:szCs w:val="24"/>
        </w:rPr>
        <w:t xml:space="preserve">within the </w:t>
      </w:r>
      <w:r w:rsidR="00DC3017">
        <w:rPr>
          <w:rFonts w:ascii="Times New Roman" w:hAnsi="Times New Roman" w:cs="Times New Roman"/>
          <w:sz w:val="24"/>
          <w:szCs w:val="24"/>
        </w:rPr>
        <w:t>designated</w:t>
      </w:r>
      <w:r w:rsidR="00401969">
        <w:rPr>
          <w:rFonts w:ascii="Times New Roman" w:hAnsi="Times New Roman" w:cs="Times New Roman"/>
          <w:sz w:val="24"/>
          <w:szCs w:val="24"/>
        </w:rPr>
        <w:t xml:space="preserve"> use</w:t>
      </w:r>
      <w:r w:rsidR="00DC3017">
        <w:rPr>
          <w:rFonts w:ascii="Times New Roman" w:hAnsi="Times New Roman" w:cs="Times New Roman"/>
          <w:sz w:val="24"/>
          <w:szCs w:val="24"/>
        </w:rPr>
        <w:t xml:space="preserve"> areas</w:t>
      </w:r>
      <w:r w:rsidR="00660714">
        <w:rPr>
          <w:rFonts w:ascii="Times New Roman" w:hAnsi="Times New Roman" w:cs="Times New Roman"/>
          <w:sz w:val="24"/>
          <w:szCs w:val="24"/>
        </w:rPr>
        <w:t xml:space="preserve">, </w:t>
      </w:r>
      <w:r w:rsidR="00401969">
        <w:rPr>
          <w:rFonts w:ascii="Times New Roman" w:hAnsi="Times New Roman" w:cs="Times New Roman"/>
          <w:sz w:val="24"/>
          <w:szCs w:val="24"/>
        </w:rPr>
        <w:t xml:space="preserve">and highest </w:t>
      </w:r>
      <w:r w:rsidR="00660714">
        <w:rPr>
          <w:rFonts w:ascii="Times New Roman" w:hAnsi="Times New Roman" w:cs="Times New Roman"/>
          <w:sz w:val="24"/>
          <w:szCs w:val="24"/>
        </w:rPr>
        <w:t>activity observed along trails (Figure 1) or in recreation</w:t>
      </w:r>
      <w:r w:rsidR="00A7401E">
        <w:rPr>
          <w:rFonts w:ascii="Times New Roman" w:hAnsi="Times New Roman" w:cs="Times New Roman"/>
          <w:sz w:val="24"/>
          <w:szCs w:val="24"/>
        </w:rPr>
        <w:t xml:space="preserve">al </w:t>
      </w:r>
      <w:r w:rsidR="00401969">
        <w:rPr>
          <w:rFonts w:ascii="Times New Roman" w:hAnsi="Times New Roman" w:cs="Times New Roman"/>
          <w:sz w:val="24"/>
          <w:szCs w:val="24"/>
        </w:rPr>
        <w:t xml:space="preserve">spaces (e.g., picnicking areas) </w:t>
      </w:r>
      <w:r w:rsidR="00660714">
        <w:rPr>
          <w:rFonts w:ascii="Times New Roman" w:hAnsi="Times New Roman" w:cs="Times New Roman"/>
          <w:sz w:val="24"/>
          <w:szCs w:val="24"/>
        </w:rPr>
        <w:t>(Figure 4).</w:t>
      </w:r>
      <w:r w:rsidR="00DC3017">
        <w:rPr>
          <w:rFonts w:ascii="Times New Roman" w:hAnsi="Times New Roman" w:cs="Times New Roman"/>
          <w:sz w:val="24"/>
          <w:szCs w:val="24"/>
        </w:rPr>
        <w:t xml:space="preserve"> </w:t>
      </w:r>
      <w:r w:rsidR="00660714">
        <w:rPr>
          <w:rFonts w:ascii="Times New Roman" w:hAnsi="Times New Roman" w:cs="Times New Roman"/>
          <w:sz w:val="24"/>
          <w:szCs w:val="24"/>
        </w:rPr>
        <w:t>Still, the activity outside of designated</w:t>
      </w:r>
      <w:r w:rsidR="00401969">
        <w:rPr>
          <w:rFonts w:ascii="Times New Roman" w:hAnsi="Times New Roman" w:cs="Times New Roman"/>
          <w:sz w:val="24"/>
          <w:szCs w:val="24"/>
        </w:rPr>
        <w:t xml:space="preserve"> use</w:t>
      </w:r>
      <w:r w:rsidR="00660714">
        <w:rPr>
          <w:rFonts w:ascii="Times New Roman" w:hAnsi="Times New Roman" w:cs="Times New Roman"/>
          <w:sz w:val="24"/>
          <w:szCs w:val="24"/>
        </w:rPr>
        <w:t xml:space="preserve"> areas persisted across </w:t>
      </w:r>
      <w:r w:rsidR="009274C5">
        <w:rPr>
          <w:rFonts w:ascii="Times New Roman" w:hAnsi="Times New Roman" w:cs="Times New Roman"/>
          <w:sz w:val="24"/>
          <w:szCs w:val="24"/>
        </w:rPr>
        <w:t>green spaces</w:t>
      </w:r>
      <w:r w:rsidR="00401969">
        <w:rPr>
          <w:rFonts w:ascii="Times New Roman" w:hAnsi="Times New Roman" w:cs="Times New Roman"/>
          <w:sz w:val="24"/>
          <w:szCs w:val="24"/>
        </w:rPr>
        <w:t xml:space="preserve"> </w:t>
      </w:r>
      <w:r w:rsidR="00660714">
        <w:rPr>
          <w:rFonts w:ascii="Times New Roman" w:hAnsi="Times New Roman" w:cs="Times New Roman"/>
          <w:sz w:val="24"/>
          <w:szCs w:val="24"/>
        </w:rPr>
        <w:t xml:space="preserve">with the percent of activity on-trails </w:t>
      </w:r>
      <w:r w:rsidR="00401969">
        <w:rPr>
          <w:rFonts w:ascii="Times New Roman" w:hAnsi="Times New Roman" w:cs="Times New Roman"/>
          <w:sz w:val="24"/>
          <w:szCs w:val="24"/>
        </w:rPr>
        <w:lastRenderedPageBreak/>
        <w:t xml:space="preserve">dropping below </w:t>
      </w:r>
      <w:r w:rsidR="00660714">
        <w:rPr>
          <w:rFonts w:ascii="Times New Roman" w:hAnsi="Times New Roman" w:cs="Times New Roman"/>
          <w:sz w:val="24"/>
          <w:szCs w:val="24"/>
        </w:rPr>
        <w:t>5%</w:t>
      </w:r>
      <w:r w:rsidR="00401969">
        <w:rPr>
          <w:rFonts w:ascii="Times New Roman" w:hAnsi="Times New Roman" w:cs="Times New Roman"/>
          <w:sz w:val="24"/>
          <w:szCs w:val="24"/>
        </w:rPr>
        <w:t xml:space="preserve"> of total activity</w:t>
      </w:r>
      <w:r w:rsidR="00660714">
        <w:rPr>
          <w:rFonts w:ascii="Times New Roman" w:hAnsi="Times New Roman" w:cs="Times New Roman"/>
          <w:sz w:val="24"/>
          <w:szCs w:val="24"/>
        </w:rPr>
        <w:t xml:space="preserve"> (e.g., Kilbride). Some of these </w:t>
      </w:r>
      <w:r w:rsidR="009274C5">
        <w:rPr>
          <w:rFonts w:ascii="Times New Roman" w:hAnsi="Times New Roman" w:cs="Times New Roman"/>
          <w:sz w:val="24"/>
          <w:szCs w:val="24"/>
        </w:rPr>
        <w:t>green spaces</w:t>
      </w:r>
      <w:r w:rsidR="00113EC5">
        <w:rPr>
          <w:rFonts w:ascii="Times New Roman" w:hAnsi="Times New Roman" w:cs="Times New Roman"/>
          <w:sz w:val="24"/>
          <w:szCs w:val="24"/>
        </w:rPr>
        <w:t xml:space="preserve"> </w:t>
      </w:r>
      <w:r w:rsidR="00660714">
        <w:rPr>
          <w:rFonts w:ascii="Times New Roman" w:hAnsi="Times New Roman" w:cs="Times New Roman"/>
          <w:sz w:val="24"/>
          <w:szCs w:val="24"/>
        </w:rPr>
        <w:t xml:space="preserve">have unofficial trails that are managed by non-profits or local communities. For example, the Bruce Trail Conservancy manages a 904 km trail that intersects some of these </w:t>
      </w:r>
      <w:r w:rsidR="009274C5">
        <w:rPr>
          <w:rFonts w:ascii="Times New Roman" w:hAnsi="Times New Roman" w:cs="Times New Roman"/>
          <w:sz w:val="24"/>
          <w:szCs w:val="24"/>
        </w:rPr>
        <w:t>green spaces</w:t>
      </w:r>
      <w:r w:rsidR="00113EC5">
        <w:rPr>
          <w:rFonts w:ascii="Times New Roman" w:hAnsi="Times New Roman" w:cs="Times New Roman"/>
          <w:sz w:val="24"/>
          <w:szCs w:val="24"/>
        </w:rPr>
        <w:t xml:space="preserve"> </w:t>
      </w:r>
      <w:r w:rsidR="00660714">
        <w:rPr>
          <w:rFonts w:ascii="Times New Roman" w:hAnsi="Times New Roman" w:cs="Times New Roman"/>
          <w:sz w:val="24"/>
          <w:szCs w:val="24"/>
        </w:rPr>
        <w:t>but that is independent o</w:t>
      </w:r>
      <w:r w:rsidR="00113EC5">
        <w:rPr>
          <w:rFonts w:ascii="Times New Roman" w:hAnsi="Times New Roman" w:cs="Times New Roman"/>
          <w:sz w:val="24"/>
          <w:szCs w:val="24"/>
        </w:rPr>
        <w:t>f</w:t>
      </w:r>
      <w:r w:rsidR="00660714">
        <w:rPr>
          <w:rFonts w:ascii="Times New Roman" w:hAnsi="Times New Roman" w:cs="Times New Roman"/>
          <w:sz w:val="24"/>
          <w:szCs w:val="24"/>
        </w:rPr>
        <w:t xml:space="preserve"> Conservation Halton (</w:t>
      </w:r>
      <w:hyperlink r:id="rId17" w:history="1">
        <w:r w:rsidR="00F8330E" w:rsidRPr="00F8330E">
          <w:rPr>
            <w:rStyle w:val="Hyperlink"/>
            <w:rFonts w:ascii="Times New Roman" w:hAnsi="Times New Roman" w:cs="Times New Roman"/>
            <w:sz w:val="24"/>
            <w:szCs w:val="24"/>
          </w:rPr>
          <w:t>www.brucetrail.org/</w:t>
        </w:r>
      </w:hyperlink>
      <w:r w:rsidR="00660714">
        <w:rPr>
          <w:rFonts w:ascii="Times New Roman" w:hAnsi="Times New Roman" w:cs="Times New Roman"/>
          <w:sz w:val="24"/>
          <w:szCs w:val="24"/>
        </w:rPr>
        <w:t>).</w:t>
      </w:r>
      <w:r w:rsidR="00760BD5">
        <w:rPr>
          <w:rFonts w:ascii="Times New Roman" w:hAnsi="Times New Roman" w:cs="Times New Roman"/>
          <w:sz w:val="24"/>
          <w:szCs w:val="24"/>
        </w:rPr>
        <w:t xml:space="preserve"> </w:t>
      </w:r>
      <w:r w:rsidR="00A70D3D">
        <w:rPr>
          <w:rFonts w:ascii="Times New Roman" w:hAnsi="Times New Roman" w:cs="Times New Roman"/>
          <w:sz w:val="24"/>
          <w:szCs w:val="24"/>
        </w:rPr>
        <w:t xml:space="preserve">Future land managers interested in </w:t>
      </w:r>
      <w:r w:rsidR="00083279">
        <w:rPr>
          <w:rFonts w:ascii="Times New Roman" w:hAnsi="Times New Roman" w:cs="Times New Roman"/>
          <w:sz w:val="24"/>
          <w:szCs w:val="24"/>
        </w:rPr>
        <w:t xml:space="preserve">relating </w:t>
      </w:r>
      <w:r w:rsidR="00A70D3D">
        <w:rPr>
          <w:rFonts w:ascii="Times New Roman" w:hAnsi="Times New Roman" w:cs="Times New Roman"/>
          <w:sz w:val="24"/>
          <w:szCs w:val="24"/>
        </w:rPr>
        <w:t>trail networks</w:t>
      </w:r>
      <w:r w:rsidR="00083279">
        <w:rPr>
          <w:rFonts w:ascii="Times New Roman" w:hAnsi="Times New Roman" w:cs="Times New Roman"/>
          <w:sz w:val="24"/>
          <w:szCs w:val="24"/>
        </w:rPr>
        <w:t xml:space="preserve"> to human activity</w:t>
      </w:r>
      <w:r w:rsidR="00A70D3D">
        <w:rPr>
          <w:rFonts w:ascii="Times New Roman" w:hAnsi="Times New Roman" w:cs="Times New Roman"/>
          <w:sz w:val="24"/>
          <w:szCs w:val="24"/>
        </w:rPr>
        <w:t xml:space="preserve"> may need to aggregate </w:t>
      </w:r>
      <w:r w:rsidR="00083279">
        <w:rPr>
          <w:rFonts w:ascii="Times New Roman" w:hAnsi="Times New Roman" w:cs="Times New Roman"/>
          <w:sz w:val="24"/>
          <w:szCs w:val="24"/>
        </w:rPr>
        <w:t>trail locations from multiple data sources, such as AllTrails (</w:t>
      </w:r>
      <w:hyperlink r:id="rId18" w:history="1">
        <w:r w:rsidR="000943D9" w:rsidRPr="000943D9">
          <w:rPr>
            <w:rStyle w:val="Hyperlink"/>
            <w:rFonts w:ascii="Times New Roman" w:hAnsi="Times New Roman" w:cs="Times New Roman"/>
            <w:sz w:val="24"/>
            <w:szCs w:val="24"/>
          </w:rPr>
          <w:t>www.alltrails.com/</w:t>
        </w:r>
      </w:hyperlink>
      <w:r w:rsidR="00083279">
        <w:rPr>
          <w:rFonts w:ascii="Times New Roman" w:hAnsi="Times New Roman" w:cs="Times New Roman"/>
          <w:sz w:val="24"/>
          <w:szCs w:val="24"/>
        </w:rPr>
        <w:t xml:space="preserve">). </w:t>
      </w:r>
      <w:r w:rsidR="00A7401E">
        <w:rPr>
          <w:rFonts w:ascii="Times New Roman" w:hAnsi="Times New Roman" w:cs="Times New Roman"/>
          <w:sz w:val="24"/>
          <w:szCs w:val="24"/>
        </w:rPr>
        <w:t xml:space="preserve">The mobility data used here can also </w:t>
      </w:r>
      <w:r w:rsidR="00113EC5">
        <w:rPr>
          <w:rFonts w:ascii="Times New Roman" w:hAnsi="Times New Roman" w:cs="Times New Roman"/>
          <w:sz w:val="24"/>
          <w:szCs w:val="24"/>
        </w:rPr>
        <w:t xml:space="preserve">guide managers to </w:t>
      </w:r>
      <w:r w:rsidR="00A7401E">
        <w:rPr>
          <w:rFonts w:ascii="Times New Roman" w:hAnsi="Times New Roman" w:cs="Times New Roman"/>
          <w:sz w:val="24"/>
          <w:szCs w:val="24"/>
        </w:rPr>
        <w:t>areas of frequent</w:t>
      </w:r>
      <w:r w:rsidR="00113EC5">
        <w:rPr>
          <w:rFonts w:ascii="Times New Roman" w:hAnsi="Times New Roman" w:cs="Times New Roman"/>
          <w:sz w:val="24"/>
          <w:szCs w:val="24"/>
        </w:rPr>
        <w:t xml:space="preserve"> or abundant human activity, but where no trails exist, to determine where off-trail</w:t>
      </w:r>
      <w:r w:rsidR="00A7401E">
        <w:rPr>
          <w:rFonts w:ascii="Times New Roman" w:hAnsi="Times New Roman" w:cs="Times New Roman"/>
          <w:sz w:val="24"/>
          <w:szCs w:val="24"/>
        </w:rPr>
        <w:t xml:space="preserve"> incursion</w:t>
      </w:r>
      <w:r w:rsidR="00113EC5">
        <w:rPr>
          <w:rFonts w:ascii="Times New Roman" w:hAnsi="Times New Roman" w:cs="Times New Roman"/>
          <w:sz w:val="24"/>
          <w:szCs w:val="24"/>
        </w:rPr>
        <w:t>s are most common.</w:t>
      </w:r>
      <w:r w:rsidR="00A7401E">
        <w:rPr>
          <w:rFonts w:ascii="Times New Roman" w:hAnsi="Times New Roman" w:cs="Times New Roman"/>
          <w:sz w:val="24"/>
          <w:szCs w:val="24"/>
        </w:rPr>
        <w:t xml:space="preserve"> For </w:t>
      </w:r>
      <w:r w:rsidR="009274C5">
        <w:rPr>
          <w:rFonts w:ascii="Times New Roman" w:hAnsi="Times New Roman" w:cs="Times New Roman"/>
          <w:sz w:val="24"/>
          <w:szCs w:val="24"/>
        </w:rPr>
        <w:t>green spaces</w:t>
      </w:r>
      <w:r w:rsidR="00113EC5">
        <w:rPr>
          <w:rFonts w:ascii="Times New Roman" w:hAnsi="Times New Roman" w:cs="Times New Roman"/>
          <w:sz w:val="24"/>
          <w:szCs w:val="24"/>
        </w:rPr>
        <w:t xml:space="preserve"> </w:t>
      </w:r>
      <w:r w:rsidR="00A7401E">
        <w:rPr>
          <w:rFonts w:ascii="Times New Roman" w:hAnsi="Times New Roman" w:cs="Times New Roman"/>
          <w:sz w:val="24"/>
          <w:szCs w:val="24"/>
        </w:rPr>
        <w:t>in Conservation Halton, highest activity of off-trail use appeared near the entrances or in between adjacent trails</w:t>
      </w:r>
      <w:r w:rsidR="00EE35D1">
        <w:rPr>
          <w:rFonts w:ascii="Times New Roman" w:hAnsi="Times New Roman" w:cs="Times New Roman"/>
          <w:sz w:val="24"/>
          <w:szCs w:val="24"/>
        </w:rPr>
        <w:t xml:space="preserve"> (e.g., Figure 1)</w:t>
      </w:r>
      <w:r w:rsidR="00A7401E">
        <w:rPr>
          <w:rFonts w:ascii="Times New Roman" w:hAnsi="Times New Roman" w:cs="Times New Roman"/>
          <w:sz w:val="24"/>
          <w:szCs w:val="24"/>
        </w:rPr>
        <w:t xml:space="preserve">. </w:t>
      </w:r>
      <w:r w:rsidR="000943D9">
        <w:rPr>
          <w:rFonts w:ascii="Times New Roman" w:hAnsi="Times New Roman" w:cs="Times New Roman"/>
          <w:sz w:val="24"/>
          <w:szCs w:val="24"/>
        </w:rPr>
        <w:t xml:space="preserve">These perceived negative impacts to </w:t>
      </w:r>
      <w:r w:rsidR="009274C5">
        <w:rPr>
          <w:rFonts w:ascii="Times New Roman" w:hAnsi="Times New Roman" w:cs="Times New Roman"/>
          <w:sz w:val="24"/>
          <w:szCs w:val="24"/>
        </w:rPr>
        <w:t>green spaces</w:t>
      </w:r>
      <w:r w:rsidR="000943D9">
        <w:rPr>
          <w:rFonts w:ascii="Times New Roman" w:hAnsi="Times New Roman" w:cs="Times New Roman"/>
          <w:sz w:val="24"/>
          <w:szCs w:val="24"/>
        </w:rPr>
        <w:t xml:space="preserve"> could be flipped to a positive, if human behaviour (i.e., where people go off-trail the most) is useful for guiding future trails and accessibility. However, b</w:t>
      </w:r>
      <w:r w:rsidR="00A7401E">
        <w:rPr>
          <w:rFonts w:ascii="Times New Roman" w:hAnsi="Times New Roman" w:cs="Times New Roman"/>
          <w:sz w:val="24"/>
          <w:szCs w:val="24"/>
        </w:rPr>
        <w:t xml:space="preserve">iodiversity in these areas </w:t>
      </w:r>
      <w:r w:rsidR="000943D9">
        <w:rPr>
          <w:rFonts w:ascii="Times New Roman" w:hAnsi="Times New Roman" w:cs="Times New Roman"/>
          <w:sz w:val="24"/>
          <w:szCs w:val="24"/>
        </w:rPr>
        <w:t xml:space="preserve">will be </w:t>
      </w:r>
      <w:r w:rsidR="00A7401E">
        <w:rPr>
          <w:rFonts w:ascii="Times New Roman" w:hAnsi="Times New Roman" w:cs="Times New Roman"/>
          <w:sz w:val="24"/>
          <w:szCs w:val="24"/>
        </w:rPr>
        <w:t>more susceptible to disturbance and</w:t>
      </w:r>
      <w:r w:rsidR="000943D9">
        <w:rPr>
          <w:rFonts w:ascii="Times New Roman" w:hAnsi="Times New Roman" w:cs="Times New Roman"/>
          <w:sz w:val="24"/>
          <w:szCs w:val="24"/>
        </w:rPr>
        <w:t xml:space="preserve"> if off-trail activity </w:t>
      </w:r>
      <w:r w:rsidR="009274C5">
        <w:rPr>
          <w:rFonts w:ascii="Times New Roman" w:hAnsi="Times New Roman" w:cs="Times New Roman"/>
          <w:sz w:val="24"/>
          <w:szCs w:val="24"/>
        </w:rPr>
        <w:t>occurs</w:t>
      </w:r>
      <w:r w:rsidR="000943D9">
        <w:rPr>
          <w:rFonts w:ascii="Times New Roman" w:hAnsi="Times New Roman" w:cs="Times New Roman"/>
          <w:sz w:val="24"/>
          <w:szCs w:val="24"/>
        </w:rPr>
        <w:t xml:space="preserve"> in sensitive habitats, this human activity</w:t>
      </w:r>
      <w:r w:rsidR="00A7401E">
        <w:rPr>
          <w:rFonts w:ascii="Times New Roman" w:hAnsi="Times New Roman" w:cs="Times New Roman"/>
          <w:sz w:val="24"/>
          <w:szCs w:val="24"/>
        </w:rPr>
        <w:t xml:space="preserve"> should be monitored</w:t>
      </w:r>
      <w:r w:rsidR="000943D9">
        <w:rPr>
          <w:rFonts w:ascii="Times New Roman" w:hAnsi="Times New Roman" w:cs="Times New Roman"/>
          <w:sz w:val="24"/>
          <w:szCs w:val="24"/>
        </w:rPr>
        <w:t xml:space="preserve"> and modified</w:t>
      </w:r>
      <w:r w:rsidR="00A7401E">
        <w:rPr>
          <w:rFonts w:ascii="Times New Roman" w:hAnsi="Times New Roman" w:cs="Times New Roman"/>
          <w:sz w:val="24"/>
          <w:szCs w:val="24"/>
        </w:rPr>
        <w:t xml:space="preserve">. </w:t>
      </w:r>
      <w:r w:rsidR="00942229">
        <w:rPr>
          <w:rFonts w:ascii="Times New Roman" w:hAnsi="Times New Roman" w:cs="Times New Roman"/>
          <w:sz w:val="24"/>
          <w:szCs w:val="24"/>
        </w:rPr>
        <w:t>Additionally, while trails are typically managed mitigate impacts to the landscape, many are still constructed in ecologically sensitive areas</w:t>
      </w:r>
      <w:r w:rsidR="009E61C8">
        <w:rPr>
          <w:rFonts w:ascii="Times New Roman" w:hAnsi="Times New Roman" w:cs="Times New Roman"/>
          <w:sz w:val="24"/>
          <w:szCs w:val="24"/>
        </w:rPr>
        <w:t xml:space="preserve"> </w:t>
      </w:r>
      <w:r w:rsidR="009E61C8">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{"citationItems":[{"id":"ITEM-1","itemData":{"DOI":"https://doi.org/10.1016/j.apgeog.2010.07.006","ISSN":"0143-6228","abstract":"Protected natural areas are often subjected to severe human impacts including recreational-related impacts. Walking, hiking, horse riding, bicycling and backpacking are the most popular outdoor recreational activities in many protected areas. Trampling of vegetation and soil erosion are two main indicators of trail impact. Understanding and modelling factors related to trail and forest road degradation are crucial to park managers, who are responsible for the preservation of natural conditions and the maintenance of recreational opportunities. It is usually impossible to make direct measurements of all the factors that determine the trail impact. Hence, the use of GIS modelling to assess environmental sensitivity is encouraged. In this study, two variables have been used (1 – vulnerability of plant communities to trampling; 2 – vulnerability of soil to erosion processes) to assess the spatial distribution of areas with diversified degrees of environmental sensitivity to trail impact. These variables can be relatively easily collected and spatially modelled using GIS. The model presented in the study is simple and can be easily calculated with limited data. Although 50% of the area of the Gorce National Park has potentially medium or low environmental sensitivity to trail impact, over 36% of its recreational trails and forest roads are constructed in sensitive areas. These roads are highly susceptible to gully erosion. One result of the model used in this study is the qualitative assessment of environmental sensitivity. Although it does not provide quantitative results (e.g. a maximum allowed number of tourists per day), it allows to study the spatial distribution of environmental vulnerability and to compare selected areas. For example, results provided by the proposed methodology can be used to determine which areas are resilient and therefore are predisposed to recreational use, and which are vulnerable and should be protected from severe human impact.","author":[{"dropping-particle":"","family":"Tomczyk","given":"Aleksandra M","non-dropping-particle":"","parse-names":false,"suffix":""}],"container-title":"Applied Geography","id":"ITEM-1","issue":"1","issued":{"date-parts":[["2011"]]},"page":"339-351","title":"A GIS assessment and modelling of environmental sensitivity of recreational trails: The case of Gorce National Park, Poland","type":"article-journal","volume":"31"},"prefix":"e.g., ","uris":["http://www.mendeley.com/documents/?uuid=28204e0f-a0f9-467a-b8cf-27e6e34c8284"]}],"mendeley":{"formattedCitation":"(e.g., Tomczyk, 2011)","plainTextFormattedCitation":"(e.g., Tomczyk, 2011)","previouslyFormattedCitation":"(e.g., Tomczyk, 2011)"},"properties":{"noteIndex":0},"schema":"https://github.com/citation-style-language/schema/raw/master/csl-citation.json"}</w:instrText>
      </w:r>
      <w:r w:rsidR="009E61C8">
        <w:rPr>
          <w:rFonts w:ascii="Times New Roman" w:hAnsi="Times New Roman" w:cs="Times New Roman"/>
          <w:sz w:val="24"/>
          <w:szCs w:val="24"/>
        </w:rPr>
        <w:fldChar w:fldCharType="separate"/>
      </w:r>
      <w:r w:rsidR="009E61C8" w:rsidRPr="009E61C8">
        <w:rPr>
          <w:rFonts w:ascii="Times New Roman" w:hAnsi="Times New Roman" w:cs="Times New Roman"/>
          <w:noProof/>
          <w:sz w:val="24"/>
          <w:szCs w:val="24"/>
        </w:rPr>
        <w:t>(e.g., Tomczyk, 2011)</w:t>
      </w:r>
      <w:r w:rsidR="009E61C8">
        <w:rPr>
          <w:rFonts w:ascii="Times New Roman" w:hAnsi="Times New Roman" w:cs="Times New Roman"/>
          <w:sz w:val="24"/>
          <w:szCs w:val="24"/>
        </w:rPr>
        <w:fldChar w:fldCharType="end"/>
      </w:r>
      <w:r w:rsidR="00942229">
        <w:rPr>
          <w:rFonts w:ascii="Times New Roman" w:hAnsi="Times New Roman" w:cs="Times New Roman"/>
          <w:sz w:val="24"/>
          <w:szCs w:val="24"/>
        </w:rPr>
        <w:t xml:space="preserve">. Thus, high activity on-trails </w:t>
      </w:r>
      <w:r w:rsidR="00EF5B08">
        <w:rPr>
          <w:rFonts w:ascii="Times New Roman" w:hAnsi="Times New Roman" w:cs="Times New Roman"/>
          <w:sz w:val="24"/>
          <w:szCs w:val="24"/>
        </w:rPr>
        <w:t>are</w:t>
      </w:r>
      <w:r w:rsidR="00942229">
        <w:rPr>
          <w:rFonts w:ascii="Times New Roman" w:hAnsi="Times New Roman" w:cs="Times New Roman"/>
          <w:sz w:val="24"/>
          <w:szCs w:val="24"/>
        </w:rPr>
        <w:t xml:space="preserve"> not enough information alone to determine effective management. </w:t>
      </w:r>
    </w:p>
    <w:p w14:paraId="0F22996B" w14:textId="77777777" w:rsidR="00B2590B" w:rsidRPr="002F367F" w:rsidRDefault="00B2590B" w:rsidP="00A7401E">
      <w:pPr>
        <w:spacing w:line="480" w:lineRule="auto"/>
        <w:rPr>
          <w:rFonts w:ascii="Times New Roman" w:hAnsi="Times New Roman" w:cs="Times New Roman"/>
          <w:sz w:val="24"/>
          <w:szCs w:val="24"/>
        </w:rPr>
      </w:pPr>
    </w:p>
    <w:p w14:paraId="38F9CECD" w14:textId="484D8F58" w:rsidR="002F367F" w:rsidRDefault="00775F53" w:rsidP="00C73D41">
      <w:pPr>
        <w:spacing w:line="480" w:lineRule="auto"/>
        <w:rPr>
          <w:rFonts w:ascii="Times New Roman" w:hAnsi="Times New Roman" w:cs="Times New Roman"/>
          <w:i/>
          <w:iCs/>
          <w:sz w:val="24"/>
          <w:szCs w:val="24"/>
        </w:rPr>
      </w:pPr>
      <w:r w:rsidRPr="00775F53">
        <w:rPr>
          <w:rFonts w:ascii="Times New Roman" w:hAnsi="Times New Roman" w:cs="Times New Roman"/>
          <w:i/>
          <w:iCs/>
          <w:sz w:val="24"/>
          <w:szCs w:val="24"/>
        </w:rPr>
        <w:t xml:space="preserve">4.2 Human activity and the </w:t>
      </w:r>
      <w:r>
        <w:rPr>
          <w:rFonts w:ascii="Times New Roman" w:hAnsi="Times New Roman" w:cs="Times New Roman"/>
          <w:i/>
          <w:iCs/>
          <w:sz w:val="24"/>
          <w:szCs w:val="24"/>
        </w:rPr>
        <w:t>environment</w:t>
      </w:r>
    </w:p>
    <w:p w14:paraId="59B271DC" w14:textId="32ADDD60" w:rsidR="00775F53" w:rsidRPr="00B2590B" w:rsidRDefault="00B2590B" w:rsidP="00C73D41">
      <w:pPr>
        <w:spacing w:line="48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Certain land covers had higher activity relative to others. Forests were the most visited land cover, but also represented the largest area of the green spaces, particularly surrounding the trail network (Figure 4). Cliff and rock formations were visited disproportionately high relative to their cover, likely because these</w:t>
      </w:r>
      <w:r w:rsidR="00A14D45">
        <w:rPr>
          <w:rFonts w:ascii="Times New Roman" w:hAnsi="Times New Roman" w:cs="Times New Roman"/>
          <w:sz w:val="24"/>
          <w:szCs w:val="24"/>
        </w:rPr>
        <w:t xml:space="preserve"> areas are</w:t>
      </w:r>
      <w:r>
        <w:rPr>
          <w:rFonts w:ascii="Times New Roman" w:hAnsi="Times New Roman" w:cs="Times New Roman"/>
          <w:sz w:val="24"/>
          <w:szCs w:val="24"/>
        </w:rPr>
        <w:t xml:space="preserve"> scenic points</w:t>
      </w:r>
      <w:r w:rsidR="00A14D45">
        <w:rPr>
          <w:rFonts w:ascii="Times New Roman" w:hAnsi="Times New Roman" w:cs="Times New Roman"/>
          <w:sz w:val="24"/>
          <w:szCs w:val="24"/>
        </w:rPr>
        <w:t xml:space="preserve"> of interest</w:t>
      </w:r>
      <w:r>
        <w:rPr>
          <w:rFonts w:ascii="Times New Roman" w:hAnsi="Times New Roman" w:cs="Times New Roman"/>
          <w:sz w:val="24"/>
          <w:szCs w:val="24"/>
        </w:rPr>
        <w:t>. Rock formations are consistently popular attractions in green spaces</w:t>
      </w:r>
      <w:r w:rsidR="005C772E">
        <w:rPr>
          <w:rFonts w:ascii="Times New Roman" w:hAnsi="Times New Roman" w:cs="Times New Roman"/>
          <w:sz w:val="24"/>
          <w:szCs w:val="24"/>
        </w:rPr>
        <w:t xml:space="preserve">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{"citationItems":[{"id":"ITEM-1","itemData":{"DOI":"https://doi.org/10.1016/j.jenvman.2020.110418","ISSN":"0301-4797","abstract":"Social media data are increasingly utilised as a low-cost alternative to visitor surveys in characterising nature-based recreation. However, the information available on individual users is limited and typically does not include provenance, restricting the potential applications and impact of the data. Here we investigate a methodology to estimate social media visitors' home locations at various spatial scales and apply it to the entire network of national parks in Germany. We compare predicted visitor provenance to representative onsite survey data and explore group-specific spatial and temporal patterns of recreation as characterised by users’ geotagged photographs. Results show that photograph metadata can be used to assign home locations with accuracies between 62 and 89% depending on spatial scale implemented. Said social media-based predictions are reasonably well representative of the surveyed visitor structure in German national parks with Flickr visitor-days composed of 19% local, 62% non-local German and 19% international visits.","author":[{"dropping-particle":"","family":"Sinclair","given":"Michael","non-dropping-particle":"","parse-names":false,"suffix":""},{"dropping-particle":"","family":"Mayer","given":"Marius","non-dropping-particle":"","parse-names":false,"suffix":""},{"dropping-particle":"","family":"Woltering","given":"Manuel","non-dropping-particle":"","parse-names":false,"suffix":""},{"dropping-particle":"","family":"Ghermandi","given":"Andrea","non-dropping-particle":"","parse-names":false,"suffix":""}],"container-title":"Journal of Environmental Management","id":"ITEM-1","issued":{"date-parts":[["2020"]]},"page":"110418","title":"Using social media to estimate visitor provenance and patterns of recreation in Germany's national parks","type":"article-journal","volume":"263"},"prefix":"e.g., ","uris":["http://www.mendeley.com/documents/?uuid=3ff7c7ea-6953-4206-9765-474e2aab420e"]}],"mendeley":{"formattedCitation":"(e.g., Sinclair, Mayer, Woltering, &amp; Ghermandi, 2020)","plainTextFormattedCitation":"(e.g., Sinclair, Mayer, Woltering, &amp; Ghermandi, 2020)","previouslyFormattedCitation":"(e.g., Sinclair, Mayer, Woltering, &amp; Ghermandi, 2020)"},"properties":{"noteIndex":0},"schema":"https://github.com/citation-style-language/schema/raw/master/csl-citation.json"}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 xml:space="preserve">(e.g., Sinclair, Mayer, Woltering, &amp; Ghermandi, </w:t>
      </w:r>
      <w:r w:rsidR="005C772E" w:rsidRPr="005C772E">
        <w:rPr>
          <w:rFonts w:ascii="Times New Roman" w:hAnsi="Times New Roman" w:cs="Times New Roman"/>
          <w:noProof/>
          <w:sz w:val="24"/>
          <w:szCs w:val="24"/>
        </w:rPr>
        <w:lastRenderedPageBreak/>
        <w:t>2020)</w:t>
      </w:r>
      <w:r w:rsidR="005C772E">
        <w:rPr>
          <w:rFonts w:ascii="Times New Roman" w:hAnsi="Times New Roman" w:cs="Times New Roman"/>
          <w:sz w:val="24"/>
          <w:szCs w:val="24"/>
        </w:rPr>
        <w:fldChar w:fldCharType="end"/>
      </w:r>
      <w:r>
        <w:rPr>
          <w:rFonts w:ascii="Times New Roman" w:hAnsi="Times New Roman" w:cs="Times New Roman"/>
          <w:sz w:val="24"/>
          <w:szCs w:val="24"/>
        </w:rPr>
        <w:t xml:space="preserve">, but can pose a hazard </w:t>
      </w:r>
      <w:r w:rsidR="008C6E3C">
        <w:rPr>
          <w:rFonts w:ascii="Times New Roman" w:hAnsi="Times New Roman" w:cs="Times New Roman"/>
          <w:sz w:val="24"/>
          <w:szCs w:val="24"/>
        </w:rPr>
        <w:t>both to human health from climbing accidents and to local biodiversity from trampling</w:t>
      </w:r>
      <w:r w:rsidR="005C772E">
        <w:rPr>
          <w:rFonts w:ascii="Times New Roman" w:hAnsi="Times New Roman" w:cs="Times New Roman"/>
          <w:sz w:val="24"/>
          <w:szCs w:val="24"/>
        </w:rPr>
        <w:t xml:space="preserve">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{"citationItems":[{"id":"ITEM-1","itemData":{"DOI":"https://doi.org/10.1016/j.tmp.2011.12.009","ISSN":"2211-9736","abstract":"Regional and global geopark networks are rapidly expanding internationally. A key impetus for their establishment is local community development through geotourism, or tourism that is based on sites of geological interest. Geotourism can be a powerful tool for sustainable development but, if not managed effectively, can constitute a direct threat to geoheritage resources. This paper articulates the characteristics and challenges of geotourism by examining two iconic geosites in Taiwan and Australia. Management challenges of Yehliu Geopark (Taiwan) are many, the most prominent ones being congestion, depreciative visitor behaviour and excessive management footprint. Depreciative behaviour is also a significant challenge to Pinnacles Desert (Australia), though congestion is not yet an imminent problem. These two cases illustrate that achieving sustainable visitor use at iconic geosites can be challenging despite the presence of infrastructure, site hardening and interpretation. The importance of visitor management at geoparks and implications for geotourism are discussed.","author":[{"dropping-particle":"","family":"Newsome","given":"David","non-dropping-particle":"","parse-names":false,"suffix":""},{"dropping-particle":"","family":"Dowling","given":"Ross","non-dropping-particle":"","parse-names":false,"suffix":""},{"dropping-particle":"","family":"Leung","given":"Yu-Fai","non-dropping-particle":"","parse-names":false,"suffix":""}],"container-title":"Tourism Management Perspectives","id":"ITEM-1","issued":{"date-parts":[["2012"]]},"page":"19-27","title":"The nature and management of geotourism: A case study of two established iconic geotourism destinations","type":"article-journal","volume":"2-3"},"uris":["http://www.mendeley.com/documents/?uuid=fefac0b9-38a3-44d0-bfa1-a094e0e5d026"]},{"id":"ITEM-2","itemData":{"DOI":"https://doi.org/10.1016/j.jort.2018.04.002","ISSN":"2213-0780","abstract":"A large number of visitor injuries and fatalities are recorded in protected areas around the world each year. With the goal of reducing future accidents, it is critical for managing agencies to learn from past events by identifying why and under which circumstances visitor incidents occurred. This paper presents a retrospective analysis of visitor incident data recorded in Western Australian lands and waters managed by public agencies between July 2011 and June 2017. The aim of the study was to explore trends and patterns of incident occurrence, and by so doing, to examine whether current incident reporting practices in Western Australia are adequate to comprehensively understand incident occurrence in different park contexts. Using Karijini National Park and Ningaloo Coast World Heritage Area as case examples, different ways are presented how incident data collected can be utilised in relation to different park contexts. However, our study shows that incident monitoring in Western Australia is characterised by fragmentary recording of information, leading to difficulties in clearly understanding why and under which circumstances incidents occur. For example, whilst visitor risk levels across various times during the year were quantified in Karijini, illustrating that certain months are related to a greater risk of injury per park visit, insufficient data provision on weather conditions and visitor behaviour meant that no clear conclusions could be drawn on the causes of this trend. Similarly, whilst the data pointed towards a specific visitor group at high risk of harm in Ningaloo (i.e. unguided international visitors), a comparison to overall visitor data was not possible, which prevents making inferences about the extent of the potential issue identified. Management implications The study illustrates that more comprehensive incident monitoring practices can help to better understand incident occurrence in protected areas, can improve awareness of the hazard situation relative to situational visitor characteristics, and can further refine visitor risk assessment and management processes. The paper also illustrates the importance of including potential contributing factors such as prevailing environmental conditions as well as visitor behaviour in incident reports for a more meaningful incident data analysis. Whilst this study provides some recommendations on the type of information that should be included in visitor incident reports, more work is need…","author":[{"dropping-particle":"","family":"Gstaettner","given":"Anna M","non-dropping-particle":"","parse-names":false,"suffix":""},{"dropping-particle":"","family":"Kobryn","given":"Halina T","non-dropping-particle":"","parse-names":false,"suffix":""},{"dropping-particle":"","family":"Rodger","given":"Kate","non-dropping-particle":"","parse-names":false,"suffix":""},{"dropping-particle":"","family":"Phillips","given":"Michael","non-dropping-particle":"","parse-names":false,"suffix":""},{"dropping-particle":"","family":"Lee","given":"Diane","non-dropping-particle":"","parse-names":false,"suffix":""}],"container-title":"Journal of Outdoor Recreation and Tourism","id":"ITEM-2","issued":{"date-parts":[["2019"]]},"page":"143-157","title":"Monitoring visitor injury in protected areas - analysis of incident reporting in two Western Australian parks","type":"article-journal","volume":"25"},"uris":["http://www.mendeley.com/documents/?uuid=77eb923f-5540-491e-a2c1-0514e23fa4ee"]}],"mendeley":{"formattedCitation":"(Newsome, Dowling, &amp; Leung, 2012; Gstaettner, Kobryn, Rodger, Phillips, &amp; Lee, 2019)","plainTextFormattedCitation":"(Newsome, Dowling, &amp; Leung, 2012; Gstaettner, Kobryn, Rodger, Phillips, &amp; Lee, 2019)","previouslyFormattedCitation":"(Newsome, Dowling, &amp; Leung, 2012; Gstaettner, Kobryn, Rodger, Phillips, &amp; Lee, 2019)"},"properties":{"noteIndex":0},"schema":"https://github.com/citation-style-language/schema/raw/master/csl-citation.json"}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(Newsome, Dowling, &amp; Leung, 2012; Gstaettner, Kobryn, Rodger, Phillips, &amp; Lee, 2019)</w:t>
      </w:r>
      <w:r w:rsidR="005C772E">
        <w:rPr>
          <w:rFonts w:ascii="Times New Roman" w:hAnsi="Times New Roman" w:cs="Times New Roman"/>
          <w:sz w:val="24"/>
          <w:szCs w:val="24"/>
        </w:rPr>
        <w:fldChar w:fldCharType="end"/>
      </w:r>
      <w:r w:rsidR="008C6E3C">
        <w:rPr>
          <w:rFonts w:ascii="Times New Roman" w:hAnsi="Times New Roman" w:cs="Times New Roman"/>
          <w:sz w:val="24"/>
          <w:szCs w:val="24"/>
        </w:rPr>
        <w:t xml:space="preserve">. </w:t>
      </w:r>
      <w:r w:rsidR="00513FCB">
        <w:rPr>
          <w:rFonts w:ascii="Times New Roman" w:hAnsi="Times New Roman" w:cs="Times New Roman"/>
          <w:sz w:val="24"/>
          <w:szCs w:val="24"/>
        </w:rPr>
        <w:t xml:space="preserve">There is certainly a delicate balancing act between restricting access to preserve biodiversity and facilitating recreation by the public. </w:t>
      </w:r>
      <w:r w:rsidR="005C772E">
        <w:rPr>
          <w:rFonts w:ascii="Times New Roman" w:hAnsi="Times New Roman" w:cs="Times New Roman"/>
          <w:sz w:val="24"/>
          <w:szCs w:val="24"/>
        </w:rPr>
        <w:t>Many g</w:t>
      </w:r>
      <w:r w:rsidR="00513FCB">
        <w:rPr>
          <w:rFonts w:ascii="Times New Roman" w:hAnsi="Times New Roman" w:cs="Times New Roman"/>
          <w:sz w:val="24"/>
          <w:szCs w:val="24"/>
        </w:rPr>
        <w:t>reen spaces visitors are often seeking quiet, uncongested areas</w:t>
      </w:r>
      <w:r w:rsidR="005C772E">
        <w:rPr>
          <w:rFonts w:ascii="Times New Roman" w:hAnsi="Times New Roman" w:cs="Times New Roman"/>
          <w:sz w:val="24"/>
          <w:szCs w:val="24"/>
        </w:rPr>
        <w:t xml:space="preserve">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author":[{"dropping-particle":"","family":"Home","given":"Robert","non-dropping-particle":"","parse-names":false,"suffix":""},{"dropping-particle":"","family":"Hunziker","given":"Marcel","non-dropping-particle":"","parse-names":false,"suffix":""},{"dropping-particle":"","family":"Bauer","given":"Nicole","non-dropping-particle":"","parse-names":false,"suffix":""}],"container-title":"Leisure Sciences","id":"ITEM-1","issue":"4","issued":{"date-parts":[["2012"]]},"page":"350-365","publisher":"Taylor \\&amp; Francis","title":"Psychosocial outcomes as motivations for visiting nearby urban green spaces","type":"article-journal","volume":"34"},"uris":["http://www.mendeley.com/documents/?uuid=cc9e3ad0-9365-4c3a-bc11-098d8551ac3e"]},{"id":"ITEM-2","itemData":{"author":[{"dropping-particle":"","family":"Frick","given":"Jacqueline","non-dropping-particle":"","parse-names":false,"suffix":""},{"dropping-particle":"","family":"Degenhardt","given":"Barbara","non-dropping-particle":"","parse-names":false,"suffix":""},{"dropping-particle":"","family":"Buchecker","given":"Matthias","non-dropping-particle":"","parse-names":false,"suffix":""},{"dropping-particle":"","family":"others","given":"","non-dropping-particle":"","parse-names":false,"suffix":""}],"container-title":"Forest Snow and Landscape Research","id":"ITEM-2","issue":"1-2","issued":{"date-parts":[["2007"]]},"page":"31-41","publisher":"Paul Haupt Verlag","title":"Predicting local residents’ use of nearby outdoor recreation areas through quality perceptions and recreational expectations","type":"article-journal","volume":"81"},"uris":["http://www.mendeley.com/documents/?uuid=d2bebf10-7ee8-4428-9096-c266390904c3"]}],"mendeley":{"formattedCitation":"(Frick, Degenhardt, Buchecker, &amp; others, 2007; Home, Hunziker, &amp; Bauer, 2012)","plainTextFormattedCitation":"(Frick, Degenhardt, Buchecker, &amp; others, 2007; Home, Hunziker, &amp; Bauer, 2012)","previouslyFormattedCitation":"(Frick, Degenhardt, Buchecker, &amp; others, 2007; Home, Hunziker, &amp; Bauer, 2012)"},"properties":{"noteIndex":0},"schema":"https://github.com/citation-style-language/schema/raw/master/csl-citation.json"}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(Frick, Degenhardt, Buchecker, &amp; others, 2007; Home, Hunziker, &amp; Bauer, 2012)</w:t>
      </w:r>
      <w:r w:rsidR="005C772E">
        <w:rPr>
          <w:rFonts w:ascii="Times New Roman" w:hAnsi="Times New Roman" w:cs="Times New Roman"/>
          <w:sz w:val="24"/>
          <w:szCs w:val="24"/>
        </w:rPr>
        <w:fldChar w:fldCharType="end"/>
      </w:r>
      <w:r w:rsidR="00513FCB">
        <w:rPr>
          <w:rFonts w:ascii="Times New Roman" w:hAnsi="Times New Roman" w:cs="Times New Roman"/>
          <w:sz w:val="24"/>
          <w:szCs w:val="24"/>
        </w:rPr>
        <w:t xml:space="preserve"> and overcrowding can cause negative interactions among users, which decreases support for conservation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{"citationItems":[{"id":"ITEM-1","itemData":{"DOI":"https://doi.org/10.1016/j.geoforum.2015.09.009","ISSN":"0016-7185","abstract":"People’s reasons for visiting national parks have been well researched. So too have their park activities and how diverse activities potentially affect visitors’ park experiences (e.g. perceptions of overcrowding). Far less research has examined how park users’ environmental values might affect their perceptions of other users and the appropriateness of different activities – a potential source of conflict. Relationships between personal environmental values and environmental and social perceptions are complex and interactive in the context of park visitation. Visitors’ encounters with other users can powerfully affect their experience and enjoyment of parks, in turn reflecting such factors as values-related expectations and judgments in the context of national parks. Personal and social values may also play an important role in influencing whether different activities are perceived as ‘out of place’ in the context of national park place meaning, yet the conceptualization of values within geographic literature on parks remains comparatively weak. This paper utilizes a definition of values, derived from a concise review of the geography and social psychology literatures, to explain the results of survey research we undertook within national parks in Queensland, Australia. We use a ‘values-behavior hierarchy’ conceptual framework to consider how the personal environmental values of a sample of park visitors (n=404) potentially affected patterns of park visitation, user activities, and user conflicts. Findings suggest that visitors’ environmental values shaped how they perceived other park users and the appropriateness of their activities. This has international implications for geographic research and other disciplines and professions involved in national park visitation, park use, and human impacts, on and of these powerful places.","author":[{"dropping-particle":"","family":"Rossi","given":"Sebastian Dario","non-dropping-particle":"","parse-names":false,"suffix":""},{"dropping-particle":"","family":"Byrne","given":"Jason A","non-dropping-particle":"","parse-names":false,"suffix":""},{"dropping-particle":"","family":"Pickering","given":"Catherine M","non-dropping-particle":"","parse-names":false,"suffix":""},{"dropping-particle":"","family":"Reser","given":"Joseph","non-dropping-particle":"","parse-names":false,"suffix":""}],"container-title":"Geoforum","id":"ITEM-1","issued":{"date-parts":[["2015"]]},"page":"41-52","title":"‘Seeing red’ in national parks: How visitors’ values affect perceptions and park experiences","type":"article-journal","volume":"66"},"uris":["http://www.mendeley.com/documents/?uuid=f723632e-44bd-44c1-aef2-80275407e5e5"]}],"mendeley":{"formattedCitation":"(Rossi, Byrne, Pickering, &amp; Reser, 2015)","plainTextFormattedCitation":"(Rossi, Byrne, Pickering, &amp; Reser, 2015)","previouslyFormattedCitation":"(Rossi, Byrne, Pickering, &amp; Reser, 2015)"},"properties":{"noteIndex":0},"schema":"https://github.com/citation-style-language/schema/raw/master/csl-citation.json"}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(Rossi, Byrne, Pickering, &amp; Reser, 2015)</w:t>
      </w:r>
      <w:r w:rsidR="005C772E">
        <w:rPr>
          <w:rFonts w:ascii="Times New Roman" w:hAnsi="Times New Roman" w:cs="Times New Roman"/>
          <w:sz w:val="24"/>
          <w:szCs w:val="24"/>
        </w:rPr>
        <w:fldChar w:fldCharType="end"/>
      </w:r>
      <w:r w:rsidR="00513FCB">
        <w:rPr>
          <w:rFonts w:ascii="Times New Roman" w:hAnsi="Times New Roman" w:cs="Times New Roman"/>
          <w:sz w:val="24"/>
          <w:szCs w:val="24"/>
        </w:rPr>
        <w:t xml:space="preserve">. </w:t>
      </w:r>
      <w:r w:rsidR="00A14D45">
        <w:rPr>
          <w:rFonts w:ascii="Times New Roman" w:hAnsi="Times New Roman" w:cs="Times New Roman"/>
          <w:sz w:val="24"/>
          <w:szCs w:val="24"/>
        </w:rPr>
        <w:t>Yet, some areas in green spaces will inherently by more sensitive than others. Knowledge about preferred land cover types can inform land managers to either prioritize conservation potential in areas with low human activity (e.g., swamps, marshes, or grasslands) or implement measures (e.g., fencing) to mitigate impacts to high activity areas.</w:t>
      </w:r>
    </w:p>
    <w:p w14:paraId="345B1CC4" w14:textId="77777777" w:rsidR="00775F53" w:rsidRPr="00775F53" w:rsidRDefault="00775F53" w:rsidP="00C73D41">
      <w:pPr>
        <w:spacing w:line="480" w:lineRule="auto"/>
        <w:rPr>
          <w:rFonts w:ascii="Times New Roman" w:hAnsi="Times New Roman" w:cs="Times New Roman"/>
          <w:i/>
          <w:iCs/>
          <w:sz w:val="24"/>
          <w:szCs w:val="24"/>
        </w:rPr>
      </w:pPr>
    </w:p>
    <w:p w14:paraId="3DC7E78D" w14:textId="1D2C09A1" w:rsidR="007B6F9A" w:rsidRDefault="00A3196A" w:rsidP="00C73D41">
      <w:pPr>
        <w:spacing w:line="480" w:lineRule="auto"/>
        <w:rPr>
          <w:rFonts w:ascii="Times New Roman" w:hAnsi="Times New Roman" w:cs="Times New Roman"/>
          <w:i/>
          <w:iCs/>
          <w:sz w:val="24"/>
          <w:szCs w:val="24"/>
        </w:rPr>
      </w:pPr>
      <w:r w:rsidRPr="00A3196A">
        <w:rPr>
          <w:rFonts w:ascii="Times New Roman" w:hAnsi="Times New Roman" w:cs="Times New Roman"/>
          <w:i/>
          <w:iCs/>
          <w:sz w:val="24"/>
          <w:szCs w:val="24"/>
        </w:rPr>
        <w:t>4.</w:t>
      </w:r>
      <w:r w:rsidR="00775F53">
        <w:rPr>
          <w:rFonts w:ascii="Times New Roman" w:hAnsi="Times New Roman" w:cs="Times New Roman"/>
          <w:i/>
          <w:iCs/>
          <w:sz w:val="24"/>
          <w:szCs w:val="24"/>
        </w:rPr>
        <w:t>3</w:t>
      </w:r>
      <w:r w:rsidRPr="00A3196A">
        <w:rPr>
          <w:rFonts w:ascii="Times New Roman" w:hAnsi="Times New Roman" w:cs="Times New Roman"/>
          <w:i/>
          <w:iCs/>
          <w:sz w:val="24"/>
          <w:szCs w:val="24"/>
        </w:rPr>
        <w:t xml:space="preserve"> </w:t>
      </w:r>
      <w:r>
        <w:rPr>
          <w:rFonts w:ascii="Times New Roman" w:hAnsi="Times New Roman" w:cs="Times New Roman"/>
          <w:i/>
          <w:iCs/>
          <w:sz w:val="24"/>
          <w:szCs w:val="24"/>
        </w:rPr>
        <w:t>Limitations</w:t>
      </w:r>
      <w:r w:rsidR="007B6F9A" w:rsidRPr="00A3196A">
        <w:rPr>
          <w:rFonts w:ascii="Times New Roman" w:hAnsi="Times New Roman" w:cs="Times New Roman"/>
          <w:i/>
          <w:iCs/>
          <w:sz w:val="24"/>
          <w:szCs w:val="24"/>
        </w:rPr>
        <w:t xml:space="preserve"> of location data</w:t>
      </w:r>
    </w:p>
    <w:p w14:paraId="2A29C151" w14:textId="0A078023" w:rsidR="00A3196A" w:rsidRDefault="00A3196A" w:rsidP="00C73D41">
      <w:pPr>
        <w:spacing w:line="480" w:lineRule="auto"/>
        <w:rPr>
          <w:rFonts w:ascii="Times New Roman" w:hAnsi="Times New Roman" w:cs="Times New Roman"/>
          <w:sz w:val="24"/>
          <w:szCs w:val="24"/>
        </w:rPr>
      </w:pPr>
      <w:r>
        <w:rPr>
          <w:rFonts w:ascii="Times New Roman" w:hAnsi="Times New Roman" w:cs="Times New Roman"/>
          <w:sz w:val="24"/>
          <w:szCs w:val="24"/>
        </w:rPr>
        <w:tab/>
      </w:r>
      <w:r w:rsidR="009274C5">
        <w:rPr>
          <w:rFonts w:ascii="Times New Roman" w:hAnsi="Times New Roman" w:cs="Times New Roman"/>
          <w:sz w:val="24"/>
          <w:szCs w:val="24"/>
        </w:rPr>
        <w:t xml:space="preserve">Anonymized mobility data </w:t>
      </w:r>
      <w:r w:rsidR="00F8330E">
        <w:rPr>
          <w:rFonts w:ascii="Times New Roman" w:hAnsi="Times New Roman" w:cs="Times New Roman"/>
          <w:sz w:val="24"/>
          <w:szCs w:val="24"/>
        </w:rPr>
        <w:t xml:space="preserve">is </w:t>
      </w:r>
      <w:r>
        <w:rPr>
          <w:rFonts w:ascii="Times New Roman" w:hAnsi="Times New Roman" w:cs="Times New Roman"/>
          <w:sz w:val="24"/>
          <w:szCs w:val="24"/>
        </w:rPr>
        <w:t>a powerful tool with broad spatial and temporal resolution</w:t>
      </w:r>
      <w:r w:rsidR="00587B4C">
        <w:rPr>
          <w:rFonts w:ascii="Times New Roman" w:hAnsi="Times New Roman" w:cs="Times New Roman"/>
          <w:sz w:val="24"/>
          <w:szCs w:val="24"/>
        </w:rPr>
        <w:t xml:space="preserve">, but there are </w:t>
      </w:r>
      <w:r w:rsidR="00F8330E">
        <w:rPr>
          <w:rFonts w:ascii="Times New Roman" w:hAnsi="Times New Roman" w:cs="Times New Roman"/>
          <w:sz w:val="24"/>
          <w:szCs w:val="24"/>
        </w:rPr>
        <w:t>biases and considerations</w:t>
      </w:r>
      <w:r w:rsidR="00587B4C">
        <w:rPr>
          <w:rFonts w:ascii="Times New Roman" w:hAnsi="Times New Roman" w:cs="Times New Roman"/>
          <w:sz w:val="24"/>
          <w:szCs w:val="24"/>
        </w:rPr>
        <w:t xml:space="preserve"> in</w:t>
      </w:r>
      <w:r w:rsidR="009274C5">
        <w:rPr>
          <w:rFonts w:ascii="Times New Roman" w:hAnsi="Times New Roman" w:cs="Times New Roman"/>
          <w:sz w:val="24"/>
          <w:szCs w:val="24"/>
        </w:rPr>
        <w:t xml:space="preserve"> its</w:t>
      </w:r>
      <w:r w:rsidR="00587B4C">
        <w:rPr>
          <w:rFonts w:ascii="Times New Roman" w:hAnsi="Times New Roman" w:cs="Times New Roman"/>
          <w:sz w:val="24"/>
          <w:szCs w:val="24"/>
        </w:rPr>
        <w:t xml:space="preserve"> use</w:t>
      </w:r>
      <w:r w:rsidR="00F8330E">
        <w:rPr>
          <w:rFonts w:ascii="Times New Roman" w:hAnsi="Times New Roman" w:cs="Times New Roman"/>
          <w:sz w:val="24"/>
          <w:szCs w:val="24"/>
        </w:rPr>
        <w:t xml:space="preserve"> (Table 1)</w:t>
      </w:r>
      <w:r w:rsidR="00587B4C">
        <w:rPr>
          <w:rFonts w:ascii="Times New Roman" w:hAnsi="Times New Roman" w:cs="Times New Roman"/>
          <w:sz w:val="24"/>
          <w:szCs w:val="24"/>
        </w:rPr>
        <w:t>. Although mobile device use has expanded rapidly across the globe</w:t>
      </w:r>
      <w:r w:rsidR="0047139F">
        <w:rPr>
          <w:rFonts w:ascii="Times New Roman" w:hAnsi="Times New Roman" w:cs="Times New Roman"/>
          <w:sz w:val="24"/>
          <w:szCs w:val="24"/>
        </w:rPr>
        <w:t xml:space="preserve"> </w:t>
      </w:r>
      <w:r w:rsidR="0047139F">
        <w:rPr>
          <w:rFonts w:ascii="Times New Roman" w:hAnsi="Times New Roman" w:cs="Times New Roman"/>
          <w:sz w:val="24"/>
          <w:szCs w:val="24"/>
        </w:rPr>
        <w:fldChar w:fldCharType="begin" w:fldLock="1"/>
      </w:r>
      <w:r w:rsidR="0047139F">
        <w:rPr>
          <w:rFonts w:ascii="Times New Roman" w:hAnsi="Times New Roman" w:cs="Times New Roman"/>
          <w:sz w:val="24"/>
          <w:szCs w:val="24"/>
        </w:rPr>
        <w:instrText>ADDIN CSL_CITATION {"citationItems":[{"id":"ITEM-1","itemData":{"author":[{"dropping-particle":"","family":"Obile","given":"W","non-dropping-particle":"","parse-names":false,"suffix":""}],"container-title":"Nov","id":"ITEM-1","issued":{"date-parts":[["2016"]]},"title":"Ericsson mobility report","type":"article-journal"},"uris":["http://www.mendeley.com/documents/?uuid=7a48a224-4f55-494d-854e-0937a88d6444"]}],"mendeley":{"formattedCitation":"(Obile, 2016)","plainTextFormattedCitation":"(Obile, 2016)","previouslyFormattedCitation":"(Obile, 2016)"},"properties":{"noteIndex":0},"schema":"https://github.com/citation-style-language/schema/raw/master/csl-citation.json"}</w:instrText>
      </w:r>
      <w:r w:rsidR="0047139F">
        <w:rPr>
          <w:rFonts w:ascii="Times New Roman" w:hAnsi="Times New Roman" w:cs="Times New Roman"/>
          <w:sz w:val="24"/>
          <w:szCs w:val="24"/>
        </w:rPr>
        <w:fldChar w:fldCharType="separate"/>
      </w:r>
      <w:r w:rsidR="0047139F" w:rsidRPr="0047139F">
        <w:rPr>
          <w:rFonts w:ascii="Times New Roman" w:hAnsi="Times New Roman" w:cs="Times New Roman"/>
          <w:noProof/>
          <w:sz w:val="24"/>
          <w:szCs w:val="24"/>
        </w:rPr>
        <w:t>(Obile, 2016)</w:t>
      </w:r>
      <w:r w:rsidR="0047139F">
        <w:rPr>
          <w:rFonts w:ascii="Times New Roman" w:hAnsi="Times New Roman" w:cs="Times New Roman"/>
          <w:sz w:val="24"/>
          <w:szCs w:val="24"/>
        </w:rPr>
        <w:fldChar w:fldCharType="end"/>
      </w:r>
      <w:r w:rsidR="00587B4C">
        <w:rPr>
          <w:rFonts w:ascii="Times New Roman" w:hAnsi="Times New Roman" w:cs="Times New Roman"/>
          <w:sz w:val="24"/>
          <w:szCs w:val="24"/>
        </w:rPr>
        <w:t xml:space="preserve">, there remain large differences among </w:t>
      </w:r>
      <w:r w:rsidR="0047139F">
        <w:rPr>
          <w:rFonts w:ascii="Times New Roman" w:hAnsi="Times New Roman" w:cs="Times New Roman"/>
          <w:sz w:val="24"/>
          <w:szCs w:val="24"/>
        </w:rPr>
        <w:t>regions and demographics</w:t>
      </w:r>
      <w:r w:rsidR="00587B4C">
        <w:rPr>
          <w:rFonts w:ascii="Times New Roman" w:hAnsi="Times New Roman" w:cs="Times New Roman"/>
          <w:sz w:val="24"/>
          <w:szCs w:val="24"/>
        </w:rPr>
        <w:t xml:space="preserve"> </w:t>
      </w:r>
      <w:r w:rsidR="0047139F">
        <w:rPr>
          <w:rFonts w:ascii="Times New Roman" w:hAnsi="Times New Roman" w:cs="Times New Roman"/>
          <w:sz w:val="24"/>
          <w:szCs w:val="24"/>
        </w:rPr>
        <w:fldChar w:fldCharType="begin" w:fldLock="1"/>
      </w:r>
      <w:r w:rsidR="001A6359">
        <w:rPr>
          <w:rFonts w:ascii="Times New Roman" w:hAnsi="Times New Roman" w:cs="Times New Roman"/>
          <w:sz w:val="24"/>
          <w:szCs w:val="24"/>
        </w:rPr>
        <w:instrText>ADDIN CSL_CITATION {"citationItems":[{"id":"ITEM-1","itemData":{"DOI":"10.1145/1292491.1292509","ISBN":"9781595937759","abstract":"Technology adoption models specify a pathway of technology acceptance from external variables to beliefs, intentions, adoption and actual usage. Mobile phone adoption has been studied from a variety of perspectives, including sociology, computer-supported cooperative work and human-computer interaction. What is lacking is a model integrating all these factors influencing mobile phone adoption. This paper investigates technology adoption models as a strategy to match mobile phone design to user's technological needs and expectations. Based on the literature study we integrate three existing technology adoption models and then evaluate the proposed model with interviews and a survey. The contribution of this paper is a model for representing the factors that influence mobile phone adoption.","author":[{"dropping-particle":"","family":"Biljon","given":"Judy","non-dropping-particle":"van","parse-names":false,"suffix":""},{"dropping-particle":"","family":"Kotzé","given":"Paula","non-dropping-particle":"","parse-names":false,"suffix":""}],"collection-title":"SAICSIT '07","container-title":"Proceedings of the 2007 Annual Research Conference of the South African Institute of Computer Scientists and Information Technologists on IT Research in Developing Countries","id":"ITEM-1","issued":{"date-parts":[["2007"]]},"page":"152–161","publisher":"Association for Computing Machinery","publisher-place":"New York, NY, USA","title":"Modelling the Factors That Influence Mobile Phone Adoption","type":"paper-conference"},"prefix":"e.g., ","uris":["http://www.mendeley.com/documents/?uuid=310c6400-d9a0-434b-b672-627381a941a9"]},{"id":"ITEM-2","itemData":{"DOI":"10.1177/0972150919856961","ISSN":"0972-1509","abstract":"The usage of smartphones is increasing with each passing day. The growth of wireless subscription in India in the last 5 years is very high. However, the penetration rate of smartphones among low-income people is significantly low. Looking at the near saturation and high competition of markets at the higher side of the economic pyramid, companies are trying to explore the segment of low-income people termed ?Bottom of the Pyramid? (BOP). In order to explore the BOP market for smartphones, one needs to realize the factors influencing the adoption of smartphones at the BOP. Our study explores these factors with reference to the existing literature of technology adoption. A theoretical framework is proposed and tested with 266 valid data points. Structural equation modelling (SEM) is used to test the proposed framework. The empirical analysis revealed that ?performance expectancy?, ?effort expectancy? and ?perceived monetary value? have a positive impact on the ?behavioural intention? of using smartphones at BOP. ?Smartphone anxiety? and ?smartphone self-efficacy? are found to have an impact on ?effort expectancy?.","author":[{"dropping-particle":"","family":"Baishya","given":"Kuldeep","non-dropping-particle":"","parse-names":false,"suffix":""},{"dropping-particle":"","family":"Samalia","given":"Harsh Vardhan","non-dropping-particle":"","parse-names":false,"suffix":""}],"container-title":"Global Business Review","id":"ITEM-2","issue":"6","issued":{"date-parts":[["2019","8","5"]]},"note":"doi: 10.1177/0972150919856961","page":"1387-1405","publisher":"SAGE Publications India","title":"Factors Influencing Smartphone Adoption: A Study in the Indian Bottom of the Pyramid Context","type":"article-journal","volume":"21"},"uris":["http://www.mendeley.com/documents/?uuid=d56360df-a112-4353-bb55-0f2ee41e5edb"]}],"mendeley":{"formattedCitation":"(e.g., van Biljon &amp; Kotzé, 2007; Baishya &amp; Samalia, 2019)","plainTextFormattedCitation":"(e.g., van Biljon &amp; Kotzé, 2007; Baishya &amp; Samalia, 2019)","previouslyFormattedCitation":"(e.g., van Biljon &amp; Kotzé, 2007; Baishya &amp; Samalia, 2019)"},"properties":{"noteIndex":0},"schema":"https://github.com/citation-style-language/schema/raw/master/csl-citation.json"}</w:instrText>
      </w:r>
      <w:r w:rsidR="0047139F">
        <w:rPr>
          <w:rFonts w:ascii="Times New Roman" w:hAnsi="Times New Roman" w:cs="Times New Roman"/>
          <w:sz w:val="24"/>
          <w:szCs w:val="24"/>
        </w:rPr>
        <w:fldChar w:fldCharType="separate"/>
      </w:r>
      <w:r w:rsidR="0047139F" w:rsidRPr="0047139F">
        <w:rPr>
          <w:rFonts w:ascii="Times New Roman" w:hAnsi="Times New Roman" w:cs="Times New Roman"/>
          <w:noProof/>
          <w:sz w:val="24"/>
          <w:szCs w:val="24"/>
        </w:rPr>
        <w:t>(e.g., van Biljon &amp; Kotzé, 2007; Baishya &amp; Samalia, 2019)</w:t>
      </w:r>
      <w:r w:rsidR="0047139F">
        <w:rPr>
          <w:rFonts w:ascii="Times New Roman" w:hAnsi="Times New Roman" w:cs="Times New Roman"/>
          <w:sz w:val="24"/>
          <w:szCs w:val="24"/>
        </w:rPr>
        <w:fldChar w:fldCharType="end"/>
      </w:r>
      <w:r w:rsidR="0047139F">
        <w:rPr>
          <w:rFonts w:ascii="Times New Roman" w:hAnsi="Times New Roman" w:cs="Times New Roman"/>
          <w:sz w:val="24"/>
          <w:szCs w:val="24"/>
        </w:rPr>
        <w:t>.</w:t>
      </w:r>
      <w:r w:rsidR="00587B4C">
        <w:rPr>
          <w:rFonts w:ascii="Times New Roman" w:hAnsi="Times New Roman" w:cs="Times New Roman"/>
          <w:sz w:val="24"/>
          <w:szCs w:val="24"/>
        </w:rPr>
        <w:t xml:space="preserve"> In </w:t>
      </w:r>
      <w:r w:rsidR="0047139F">
        <w:rPr>
          <w:rFonts w:ascii="Times New Roman" w:hAnsi="Times New Roman" w:cs="Times New Roman"/>
          <w:sz w:val="24"/>
          <w:szCs w:val="24"/>
        </w:rPr>
        <w:t>areas</w:t>
      </w:r>
      <w:r w:rsidR="00587B4C">
        <w:rPr>
          <w:rFonts w:ascii="Times New Roman" w:hAnsi="Times New Roman" w:cs="Times New Roman"/>
          <w:sz w:val="24"/>
          <w:szCs w:val="24"/>
        </w:rPr>
        <w:t xml:space="preserve"> where mobile device adoption is high</w:t>
      </w:r>
      <w:r w:rsidR="0047139F">
        <w:rPr>
          <w:rFonts w:ascii="Times New Roman" w:hAnsi="Times New Roman" w:cs="Times New Roman"/>
          <w:sz w:val="24"/>
          <w:szCs w:val="24"/>
        </w:rPr>
        <w:t>,</w:t>
      </w:r>
      <w:r w:rsidR="00CA4D79">
        <w:rPr>
          <w:rFonts w:ascii="Times New Roman" w:hAnsi="Times New Roman" w:cs="Times New Roman"/>
          <w:sz w:val="24"/>
          <w:szCs w:val="24"/>
        </w:rPr>
        <w:t xml:space="preserve"> </w:t>
      </w:r>
      <w:r w:rsidR="00587B4C">
        <w:rPr>
          <w:rFonts w:ascii="Times New Roman" w:hAnsi="Times New Roman" w:cs="Times New Roman"/>
          <w:sz w:val="24"/>
          <w:szCs w:val="24"/>
        </w:rPr>
        <w:t>mobility data may more accurately reflect human activity relative to others</w:t>
      </w:r>
      <w:r w:rsidR="006F4A27">
        <w:rPr>
          <w:rFonts w:ascii="Times New Roman" w:hAnsi="Times New Roman" w:cs="Times New Roman"/>
          <w:sz w:val="24"/>
          <w:szCs w:val="24"/>
        </w:rPr>
        <w:t xml:space="preserve"> location-based data (e.g., social media, geotagged photos, iNaturalist)</w:t>
      </w:r>
      <w:r w:rsidR="00587B4C">
        <w:rPr>
          <w:rFonts w:ascii="Times New Roman" w:hAnsi="Times New Roman" w:cs="Times New Roman"/>
          <w:sz w:val="24"/>
          <w:szCs w:val="24"/>
        </w:rPr>
        <w:t>.</w:t>
      </w:r>
      <w:r w:rsidR="00CA4D79">
        <w:rPr>
          <w:rFonts w:ascii="Times New Roman" w:hAnsi="Times New Roman" w:cs="Times New Roman"/>
          <w:sz w:val="24"/>
          <w:szCs w:val="24"/>
        </w:rPr>
        <w:t xml:space="preserve"> Our study took place in Canada where LTE mobile networks cover 99% of the population </w:t>
      </w:r>
      <w:r w:rsidR="005C772E">
        <w:rPr>
          <w:rFonts w:ascii="Times New Roman" w:hAnsi="Times New Roman" w:cs="Times New Roman"/>
          <w:sz w:val="24"/>
          <w:szCs w:val="24"/>
        </w:rPr>
        <w:fldChar w:fldCharType="begin" w:fldLock="1"/>
      </w:r>
      <w:r w:rsidR="005C772E">
        <w:rPr>
          <w:rFonts w:ascii="Times New Roman" w:hAnsi="Times New Roman" w:cs="Times New Roman"/>
          <w:sz w:val="24"/>
          <w:szCs w:val="24"/>
        </w:rPr>
        <w:instrText>ADDIN CSL_CITATION {"citationItems":[{"id":"ITEM-1","itemData":{"author":[{"dropping-particle":"","family":"CRTR","given":"Canadian Radio-television and Telecommunications Commission","non-dropping-particle":"","parse-names":false,"suffix":""}],"id":"ITEM-1","issued":{"date-parts":[["2018"]]},"number-of-pages":"1-270","publisher-place":"Ottawa, Canada","title":"Communications Monitoring Report","type":"report"},"uris":["http://www.mendeley.com/documents/?uuid=7c8c44b1-97bf-42d1-96f3-5d6a766b4407"]}],"mendeley":{"formattedCitation":"(CRTR, 2018)","plainTextFormattedCitation":"(CRTR, 2018)","previouslyFormattedCitation":"(CRTR, 2018)"},"properties":{"noteIndex":0},"schema":"https://github.com/citation-style-language/schema/raw/master/csl-citation.json"}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(CRTR, 2018)</w:t>
      </w:r>
      <w:r w:rsidR="005C772E">
        <w:rPr>
          <w:rFonts w:ascii="Times New Roman" w:hAnsi="Times New Roman" w:cs="Times New Roman"/>
          <w:sz w:val="24"/>
          <w:szCs w:val="24"/>
        </w:rPr>
        <w:fldChar w:fldCharType="end"/>
      </w:r>
      <w:r w:rsidR="00CA4D79">
        <w:rPr>
          <w:rFonts w:ascii="Times New Roman" w:hAnsi="Times New Roman" w:cs="Times New Roman"/>
          <w:sz w:val="24"/>
          <w:szCs w:val="24"/>
        </w:rPr>
        <w:t xml:space="preserve"> and 80% of Canadians report having a mobile data plan for personal use (</w:t>
      </w:r>
      <w:hyperlink r:id="rId19" w:history="1">
        <w:r w:rsidR="009761E3" w:rsidRPr="005C772E">
          <w:rPr>
            <w:rStyle w:val="Hyperlink"/>
            <w:rFonts w:ascii="Times New Roman" w:hAnsi="Times New Roman" w:cs="Times New Roman"/>
            <w:sz w:val="24"/>
            <w:szCs w:val="24"/>
          </w:rPr>
          <w:t>www150.statcan.gc.ca</w:t>
        </w:r>
      </w:hyperlink>
      <w:r w:rsidR="00CA4D79">
        <w:rPr>
          <w:rFonts w:ascii="Times New Roman" w:hAnsi="Times New Roman" w:cs="Times New Roman"/>
          <w:sz w:val="24"/>
          <w:szCs w:val="24"/>
        </w:rPr>
        <w:t xml:space="preserve">). </w:t>
      </w:r>
      <w:r w:rsidR="00587B4C">
        <w:rPr>
          <w:rFonts w:ascii="Times New Roman" w:hAnsi="Times New Roman" w:cs="Times New Roman"/>
          <w:sz w:val="24"/>
          <w:szCs w:val="24"/>
        </w:rPr>
        <w:t xml:space="preserve"> However, even within countries there are differences in mobile device use between rural, sub-urban, and urban communities. In the United States, rural Americans have </w:t>
      </w:r>
      <w:r w:rsidR="00587B4C">
        <w:rPr>
          <w:rFonts w:ascii="Times New Roman" w:hAnsi="Times New Roman" w:cs="Times New Roman"/>
          <w:sz w:val="24"/>
          <w:szCs w:val="24"/>
        </w:rPr>
        <w:lastRenderedPageBreak/>
        <w:t xml:space="preserve">consistently few mobile devices relative to urban or sub-urban areas </w:t>
      </w:r>
      <w:r w:rsidR="005C772E">
        <w:rPr>
          <w:rFonts w:ascii="Times New Roman" w:hAnsi="Times New Roman" w:cs="Times New Roman"/>
          <w:sz w:val="24"/>
          <w:szCs w:val="24"/>
        </w:rPr>
        <w:fldChar w:fldCharType="begin" w:fldLock="1"/>
      </w:r>
      <w:r w:rsidR="00F8770C">
        <w:rPr>
          <w:rFonts w:ascii="Times New Roman" w:hAnsi="Times New Roman" w:cs="Times New Roman"/>
          <w:sz w:val="24"/>
          <w:szCs w:val="24"/>
        </w:rPr>
        <w:instrText>ADDIN CSL_CITATION {"citationItems":[{"id":"ITEM-1","itemData":{"author":[{"dropping-particle":"","family":"Vogels","given":"Emily A","non-dropping-particle":"","parse-names":false,"suffix":""}],"container-title":"Pew Research Center, August","id":"ITEM-1","issued":{"date-parts":[["2021"]]},"title":"Some digital divides persist between rural, urban and suburban America","type":"article-journal","volume":"19"},"uris":["http://www.mendeley.com/documents/?uuid=e6e62421-d7f3-4bb3-91cb-591f582d2052"]}],"mendeley":{"formattedCitation":"(Vogels, 2021)","plainTextFormattedCitation":"(Vogels, 2021)","previouslyFormattedCitation":"(Vogels, 2021)"},"properties":{"noteIndex":0},"schema":"https://github.com/citation-style-language/schema/raw/master/csl-citation.json"}</w:instrText>
      </w:r>
      <w:r w:rsidR="005C772E">
        <w:rPr>
          <w:rFonts w:ascii="Times New Roman" w:hAnsi="Times New Roman" w:cs="Times New Roman"/>
          <w:sz w:val="24"/>
          <w:szCs w:val="24"/>
        </w:rPr>
        <w:fldChar w:fldCharType="separate"/>
      </w:r>
      <w:r w:rsidR="005C772E" w:rsidRPr="005C772E">
        <w:rPr>
          <w:rFonts w:ascii="Times New Roman" w:hAnsi="Times New Roman" w:cs="Times New Roman"/>
          <w:noProof/>
          <w:sz w:val="24"/>
          <w:szCs w:val="24"/>
        </w:rPr>
        <w:t>(Vogels, 2021)</w:t>
      </w:r>
      <w:r w:rsidR="005C772E">
        <w:rPr>
          <w:rFonts w:ascii="Times New Roman" w:hAnsi="Times New Roman" w:cs="Times New Roman"/>
          <w:sz w:val="24"/>
          <w:szCs w:val="24"/>
        </w:rPr>
        <w:fldChar w:fldCharType="end"/>
      </w:r>
      <w:r w:rsidR="007B233B">
        <w:rPr>
          <w:rFonts w:ascii="Times New Roman" w:hAnsi="Times New Roman" w:cs="Times New Roman"/>
          <w:sz w:val="24"/>
          <w:szCs w:val="24"/>
        </w:rPr>
        <w:t xml:space="preserve"> and in Canada 81% living within a city metropolitan area (CMA) had mobile data plans compared to 73% in non-CMA areas (</w:t>
      </w:r>
      <w:hyperlink r:id="rId20" w:history="1">
        <w:r w:rsidR="005C772E" w:rsidRPr="005C772E">
          <w:rPr>
            <w:rStyle w:val="Hyperlink"/>
            <w:rFonts w:ascii="Times New Roman" w:hAnsi="Times New Roman" w:cs="Times New Roman"/>
            <w:sz w:val="24"/>
            <w:szCs w:val="24"/>
          </w:rPr>
          <w:t>www150.statcan.gc.ca</w:t>
        </w:r>
      </w:hyperlink>
      <w:r w:rsidR="007B233B">
        <w:rPr>
          <w:rFonts w:ascii="Times New Roman" w:hAnsi="Times New Roman" w:cs="Times New Roman"/>
          <w:sz w:val="24"/>
          <w:szCs w:val="24"/>
        </w:rPr>
        <w:t>)</w:t>
      </w:r>
      <w:r w:rsidR="00587B4C">
        <w:rPr>
          <w:rFonts w:ascii="Times New Roman" w:hAnsi="Times New Roman" w:cs="Times New Roman"/>
          <w:sz w:val="24"/>
          <w:szCs w:val="24"/>
        </w:rPr>
        <w:t xml:space="preserve">. </w:t>
      </w:r>
      <w:r w:rsidR="00D00D16">
        <w:rPr>
          <w:rFonts w:ascii="Times New Roman" w:hAnsi="Times New Roman" w:cs="Times New Roman"/>
          <w:sz w:val="24"/>
          <w:szCs w:val="24"/>
        </w:rPr>
        <w:t xml:space="preserve">The devices and the </w:t>
      </w:r>
      <w:r w:rsidR="00E51413">
        <w:rPr>
          <w:rFonts w:ascii="Times New Roman" w:hAnsi="Times New Roman" w:cs="Times New Roman"/>
          <w:sz w:val="24"/>
          <w:szCs w:val="24"/>
        </w:rPr>
        <w:t>software applications used will</w:t>
      </w:r>
      <w:r w:rsidR="00D00D16">
        <w:rPr>
          <w:rFonts w:ascii="Times New Roman" w:hAnsi="Times New Roman" w:cs="Times New Roman"/>
          <w:sz w:val="24"/>
          <w:szCs w:val="24"/>
        </w:rPr>
        <w:t xml:space="preserve"> also</w:t>
      </w:r>
      <w:r w:rsidR="00E51413">
        <w:rPr>
          <w:rFonts w:ascii="Times New Roman" w:hAnsi="Times New Roman" w:cs="Times New Roman"/>
          <w:sz w:val="24"/>
          <w:szCs w:val="24"/>
        </w:rPr>
        <w:t xml:space="preserve"> be</w:t>
      </w:r>
      <w:r w:rsidR="00D00D16">
        <w:rPr>
          <w:rFonts w:ascii="Times New Roman" w:hAnsi="Times New Roman" w:cs="Times New Roman"/>
          <w:sz w:val="24"/>
          <w:szCs w:val="24"/>
        </w:rPr>
        <w:t xml:space="preserve"> prone to biases</w:t>
      </w:r>
      <w:r w:rsidR="00E51413">
        <w:rPr>
          <w:rFonts w:ascii="Times New Roman" w:hAnsi="Times New Roman" w:cs="Times New Roman"/>
          <w:sz w:val="24"/>
          <w:szCs w:val="24"/>
        </w:rPr>
        <w:t xml:space="preserve"> (Table 1)</w:t>
      </w:r>
      <w:r w:rsidR="00D00D16">
        <w:rPr>
          <w:rFonts w:ascii="Times New Roman" w:hAnsi="Times New Roman" w:cs="Times New Roman"/>
          <w:sz w:val="24"/>
          <w:szCs w:val="24"/>
        </w:rPr>
        <w:t>. There can be noise in quantifying activity caused different accuracies among devices</w:t>
      </w:r>
      <w:r w:rsidR="00F8770C">
        <w:rPr>
          <w:rFonts w:ascii="Times New Roman" w:hAnsi="Times New Roman" w:cs="Times New Roman"/>
          <w:sz w:val="24"/>
          <w:szCs w:val="24"/>
        </w:rPr>
        <w:t xml:space="preserve">, </w:t>
      </w:r>
      <w:r w:rsidR="00D00D16">
        <w:rPr>
          <w:rFonts w:ascii="Times New Roman" w:hAnsi="Times New Roman" w:cs="Times New Roman"/>
          <w:sz w:val="24"/>
          <w:szCs w:val="24"/>
        </w:rPr>
        <w:t>operating system</w:t>
      </w:r>
      <w:r w:rsidR="00F8770C">
        <w:rPr>
          <w:rFonts w:ascii="Times New Roman" w:hAnsi="Times New Roman" w:cs="Times New Roman"/>
          <w:sz w:val="24"/>
          <w:szCs w:val="24"/>
        </w:rPr>
        <w:t xml:space="preserve">, software, and location </w:t>
      </w:r>
      <w:r w:rsidR="00F8770C">
        <w:rPr>
          <w:rFonts w:ascii="Times New Roman" w:hAnsi="Times New Roman" w:cs="Times New Roman"/>
          <w:sz w:val="24"/>
          <w:szCs w:val="24"/>
        </w:rPr>
        <w:fldChar w:fldCharType="begin" w:fldLock="1"/>
      </w:r>
      <w:r w:rsidR="00F8770C">
        <w:rPr>
          <w:rFonts w:ascii="Times New Roman" w:hAnsi="Times New Roman" w:cs="Times New Roman"/>
          <w:sz w:val="24"/>
          <w:szCs w:val="24"/>
        </w:rPr>
        <w:instrText>ADDIN CSL_CITATION {"citationItems":[{"id":"ITEM-1","itemData":{"author":[{"dropping-particle":"","family":"Lin","given":"Kaisen","non-dropping-particle":"","parse-names":false,"suffix":""},{"dropping-particle":"","family":"Kansal","given":"Aman","non-dropping-particle":"","parse-names":false,"suffix":""},{"dropping-particle":"","family":"Lymberopoulos","given":"Dimitrios","non-dropping-particle":"","parse-names":false,"suffix":""},{"dropping-particle":"","family":"Zhao","given":"Feng","non-dropping-particle":"","parse-names":false,"suffix":""}],"container-title":"Proceedings of 8th International Conference on Mobile Systems, Applications, and Services (MobiSys’ 10)","id":"ITEM-1","issued":{"date-parts":[["2010"]]},"title":"Energy-accuracy aware localization for mobile devices","type":"paper-conference"},"uris":["http://www.mendeley.com/documents/?uuid=ce6bbcdf-7757-41eb-b082-1dd8c1597d92"]}],"mendeley":{"formattedCitation":"(Lin, Kansal, Lymberopoulos, &amp; Zhao, 2010)","plainTextFormattedCitation":"(Lin, Kansal, Lymberopoulos, &amp; Zhao, 2010)","previouslyFormattedCitation":"(Lin, Kansal, Lymberopoulos, &amp; Zhao, 2010)"},"properties":{"noteIndex":0},"schema":"https://github.com/citation-style-language/schema/raw/master/csl-citation.json"}</w:instrText>
      </w:r>
      <w:r w:rsidR="00F8770C">
        <w:rPr>
          <w:rFonts w:ascii="Times New Roman" w:hAnsi="Times New Roman" w:cs="Times New Roman"/>
          <w:sz w:val="24"/>
          <w:szCs w:val="24"/>
        </w:rPr>
        <w:fldChar w:fldCharType="separate"/>
      </w:r>
      <w:r w:rsidR="00F8770C" w:rsidRPr="00F8770C">
        <w:rPr>
          <w:rFonts w:ascii="Times New Roman" w:hAnsi="Times New Roman" w:cs="Times New Roman"/>
          <w:noProof/>
          <w:sz w:val="24"/>
          <w:szCs w:val="24"/>
        </w:rPr>
        <w:t>(Lin, Kansal, Lymberopoulos, &amp; Zhao, 2010)</w:t>
      </w:r>
      <w:r w:rsidR="00F8770C">
        <w:rPr>
          <w:rFonts w:ascii="Times New Roman" w:hAnsi="Times New Roman" w:cs="Times New Roman"/>
          <w:sz w:val="24"/>
          <w:szCs w:val="24"/>
        </w:rPr>
        <w:fldChar w:fldCharType="end"/>
      </w:r>
      <w:r w:rsidR="00D00D16">
        <w:rPr>
          <w:rFonts w:ascii="Times New Roman" w:hAnsi="Times New Roman" w:cs="Times New Roman"/>
          <w:sz w:val="24"/>
          <w:szCs w:val="24"/>
        </w:rPr>
        <w:t>. The choice of software application by the device user can also determine activity patterns. For example, a person using a ride sharing application is more likely to have location services turned on, whereas a person in a green</w:t>
      </w:r>
      <w:r w:rsidR="006F4A27">
        <w:rPr>
          <w:rFonts w:ascii="Times New Roman" w:hAnsi="Times New Roman" w:cs="Times New Roman"/>
          <w:sz w:val="24"/>
          <w:szCs w:val="24"/>
        </w:rPr>
        <w:t xml:space="preserve"> </w:t>
      </w:r>
      <w:r w:rsidR="00D00D16">
        <w:rPr>
          <w:rFonts w:ascii="Times New Roman" w:hAnsi="Times New Roman" w:cs="Times New Roman"/>
          <w:sz w:val="24"/>
          <w:szCs w:val="24"/>
        </w:rPr>
        <w:t xml:space="preserve">space may not have any application open. As </w:t>
      </w:r>
      <w:r w:rsidR="004B7831">
        <w:rPr>
          <w:rFonts w:ascii="Times New Roman" w:hAnsi="Times New Roman" w:cs="Times New Roman"/>
          <w:sz w:val="24"/>
          <w:szCs w:val="24"/>
        </w:rPr>
        <w:t>green</w:t>
      </w:r>
      <w:r w:rsidR="006F4A27">
        <w:rPr>
          <w:rFonts w:ascii="Times New Roman" w:hAnsi="Times New Roman" w:cs="Times New Roman"/>
          <w:sz w:val="24"/>
          <w:szCs w:val="24"/>
        </w:rPr>
        <w:t xml:space="preserve"> </w:t>
      </w:r>
      <w:r w:rsidR="004B7831">
        <w:rPr>
          <w:rFonts w:ascii="Times New Roman" w:hAnsi="Times New Roman" w:cs="Times New Roman"/>
          <w:sz w:val="24"/>
          <w:szCs w:val="24"/>
        </w:rPr>
        <w:t xml:space="preserve">spaces are often viewed as a place to “disconnect” or be engaged in activities that discourage mobile device use (e.g., swimming, jogging), activity patterns may be less accurate than when compared to roads. </w:t>
      </w:r>
      <w:r w:rsidR="00865D66">
        <w:rPr>
          <w:rFonts w:ascii="Times New Roman" w:hAnsi="Times New Roman" w:cs="Times New Roman"/>
          <w:sz w:val="24"/>
          <w:szCs w:val="24"/>
        </w:rPr>
        <w:t>These biases are important when considering expanding the applicability of mobility data to other</w:t>
      </w:r>
      <w:r w:rsidR="00F8330E">
        <w:rPr>
          <w:rFonts w:ascii="Times New Roman" w:hAnsi="Times New Roman" w:cs="Times New Roman"/>
          <w:sz w:val="24"/>
          <w:szCs w:val="24"/>
        </w:rPr>
        <w:t xml:space="preserve"> demographics</w:t>
      </w:r>
      <w:r w:rsidR="00865D66">
        <w:rPr>
          <w:rFonts w:ascii="Times New Roman" w:hAnsi="Times New Roman" w:cs="Times New Roman"/>
          <w:sz w:val="24"/>
          <w:szCs w:val="24"/>
        </w:rPr>
        <w:t xml:space="preserve"> or regions</w:t>
      </w:r>
      <w:r w:rsidR="00F8330E">
        <w:rPr>
          <w:rFonts w:ascii="Times New Roman" w:hAnsi="Times New Roman" w:cs="Times New Roman"/>
          <w:sz w:val="24"/>
          <w:szCs w:val="24"/>
        </w:rPr>
        <w:t xml:space="preserve"> (Table 1)</w:t>
      </w:r>
      <w:r w:rsidR="00865D66">
        <w:rPr>
          <w:rFonts w:ascii="Times New Roman" w:hAnsi="Times New Roman" w:cs="Times New Roman"/>
          <w:sz w:val="24"/>
          <w:szCs w:val="24"/>
        </w:rPr>
        <w:t xml:space="preserve">.  </w:t>
      </w:r>
    </w:p>
    <w:p w14:paraId="3981C043" w14:textId="01C647AF" w:rsidR="0091189E" w:rsidRDefault="005D6281" w:rsidP="00B2590B">
      <w:pPr>
        <w:spacing w:line="480" w:lineRule="auto"/>
        <w:rPr>
          <w:rFonts w:ascii="Times New Roman" w:hAnsi="Times New Roman" w:cs="Times New Roman"/>
          <w:sz w:val="24"/>
          <w:szCs w:val="24"/>
        </w:rPr>
      </w:pPr>
      <w:r>
        <w:rPr>
          <w:rFonts w:ascii="Times New Roman" w:hAnsi="Times New Roman" w:cs="Times New Roman"/>
          <w:sz w:val="24"/>
          <w:szCs w:val="24"/>
        </w:rPr>
        <w:tab/>
        <w:t>Associating human activity with patterns of biodiversity is inherently challenging. We demonstrated preliminary evidence that human activity interpreted from mobility data is related to patterns of tree composition in green spaces (Figure 5). There may be a few reasons for this observed relationship.</w:t>
      </w:r>
      <w:r w:rsidR="007A2E7C">
        <w:rPr>
          <w:rFonts w:ascii="Times New Roman" w:hAnsi="Times New Roman" w:cs="Times New Roman"/>
          <w:sz w:val="24"/>
          <w:szCs w:val="24"/>
        </w:rPr>
        <w:t xml:space="preserve"> H</w:t>
      </w:r>
      <w:r>
        <w:rPr>
          <w:rFonts w:ascii="Times New Roman" w:hAnsi="Times New Roman" w:cs="Times New Roman"/>
          <w:sz w:val="24"/>
          <w:szCs w:val="24"/>
        </w:rPr>
        <w:t xml:space="preserve">uman visitors may prefer a certain assemblage of tree species or land cover that supports certain species. For instance, we saw a negative relationship between human activity and </w:t>
      </w:r>
      <w:r w:rsidR="007A2E7C">
        <w:rPr>
          <w:rFonts w:ascii="Times New Roman" w:hAnsi="Times New Roman" w:cs="Times New Roman"/>
          <w:sz w:val="24"/>
          <w:szCs w:val="24"/>
        </w:rPr>
        <w:t>i</w:t>
      </w:r>
      <w:r>
        <w:rPr>
          <w:rFonts w:ascii="Times New Roman" w:hAnsi="Times New Roman" w:cs="Times New Roman"/>
          <w:sz w:val="24"/>
          <w:szCs w:val="24"/>
        </w:rPr>
        <w:t xml:space="preserve">ronwood, but </w:t>
      </w:r>
      <w:r w:rsidR="007A2E7C">
        <w:rPr>
          <w:rFonts w:ascii="Times New Roman" w:hAnsi="Times New Roman" w:cs="Times New Roman"/>
          <w:sz w:val="24"/>
          <w:szCs w:val="24"/>
        </w:rPr>
        <w:t>i</w:t>
      </w:r>
      <w:r>
        <w:rPr>
          <w:rFonts w:ascii="Times New Roman" w:hAnsi="Times New Roman" w:cs="Times New Roman"/>
          <w:sz w:val="24"/>
          <w:szCs w:val="24"/>
        </w:rPr>
        <w:t xml:space="preserve">ronwood </w:t>
      </w:r>
      <w:r w:rsidR="008A73E9">
        <w:rPr>
          <w:rFonts w:ascii="Times New Roman" w:hAnsi="Times New Roman" w:cs="Times New Roman"/>
          <w:sz w:val="24"/>
          <w:szCs w:val="24"/>
        </w:rPr>
        <w:t>i</w:t>
      </w:r>
      <w:r>
        <w:rPr>
          <w:rFonts w:ascii="Times New Roman" w:hAnsi="Times New Roman" w:cs="Times New Roman"/>
          <w:sz w:val="24"/>
          <w:szCs w:val="24"/>
        </w:rPr>
        <w:t>s more commonly found in swamp</w:t>
      </w:r>
      <w:r w:rsidR="008A73E9">
        <w:rPr>
          <w:rFonts w:ascii="Times New Roman" w:hAnsi="Times New Roman" w:cs="Times New Roman"/>
          <w:sz w:val="24"/>
          <w:szCs w:val="24"/>
        </w:rPr>
        <w:t xml:space="preserve">s or high-moisture areas </w:t>
      </w:r>
      <w:r w:rsidR="00F8770C">
        <w:rPr>
          <w:rFonts w:ascii="Times New Roman" w:hAnsi="Times New Roman" w:cs="Times New Roman"/>
          <w:sz w:val="24"/>
          <w:szCs w:val="24"/>
        </w:rPr>
        <w:fldChar w:fldCharType="begin" w:fldLock="1"/>
      </w:r>
      <w:r w:rsidR="00F76D71">
        <w:rPr>
          <w:rFonts w:ascii="Times New Roman" w:hAnsi="Times New Roman" w:cs="Times New Roman"/>
          <w:sz w:val="24"/>
          <w:szCs w:val="24"/>
        </w:rPr>
        <w:instrText>ADDIN CSL_CITATION {"citationItems":[{"id":"ITEM-1","itemData":{"author":[{"dropping-particle":"","family":"Metzger","given":"F T","non-dropping-particle":"","parse-names":false,"suffix":""}],"container-title":"RM Burns and B. H. Honkala, technical coordinators. Silvics of North America. USDA Forest Service, Washington, DC, USA","id":"ITEM-1","issued":{"date-parts":[["1990"]]},"page":"490-496","title":"Ostrya virginiana (Mill.) K. Koch: eastern hophornbeam","type":"article-journal"},"uris":["http://www.mendeley.com/documents/?uuid=dcfe13b2-a484-4ceb-adfb-73701273fecc"]}],"mendeley":{"formattedCitation":"(Metzger, 1990)","plainTextFormattedCitation":"(Metzger, 1990)","previouslyFormattedCitation":"(Metzger, 1990)"},"properties":{"noteIndex":0},"schema":"https://github.com/citation-style-language/schema/raw/master/csl-citation.json"}</w:instrText>
      </w:r>
      <w:r w:rsidR="00F8770C">
        <w:rPr>
          <w:rFonts w:ascii="Times New Roman" w:hAnsi="Times New Roman" w:cs="Times New Roman"/>
          <w:sz w:val="24"/>
          <w:szCs w:val="24"/>
        </w:rPr>
        <w:fldChar w:fldCharType="separate"/>
      </w:r>
      <w:r w:rsidR="00F8770C" w:rsidRPr="00F8770C">
        <w:rPr>
          <w:rFonts w:ascii="Times New Roman" w:hAnsi="Times New Roman" w:cs="Times New Roman"/>
          <w:noProof/>
          <w:sz w:val="24"/>
          <w:szCs w:val="24"/>
        </w:rPr>
        <w:t>(Metzger, 1990)</w:t>
      </w:r>
      <w:r w:rsidR="00F8770C">
        <w:rPr>
          <w:rFonts w:ascii="Times New Roman" w:hAnsi="Times New Roman" w:cs="Times New Roman"/>
          <w:sz w:val="24"/>
          <w:szCs w:val="24"/>
        </w:rPr>
        <w:fldChar w:fldCharType="end"/>
      </w:r>
      <w:r w:rsidR="008A73E9">
        <w:rPr>
          <w:rFonts w:ascii="Times New Roman" w:hAnsi="Times New Roman" w:cs="Times New Roman"/>
          <w:sz w:val="24"/>
          <w:szCs w:val="24"/>
        </w:rPr>
        <w:t>, which we saw markedly lower human activity.</w:t>
      </w:r>
      <w:r w:rsidR="007A2E7C">
        <w:rPr>
          <w:rFonts w:ascii="Times New Roman" w:hAnsi="Times New Roman" w:cs="Times New Roman"/>
          <w:sz w:val="24"/>
          <w:szCs w:val="24"/>
        </w:rPr>
        <w:t xml:space="preserve"> Conversely, yellow birch has visually appealing bark and thus may attract greater human activity. In addition to biodiversity patterns driving human activity, there may be an affect of human activity on tree composition. Higher human activity leads to greater disturbance, potentially limiting recruitment or survivability of some tree species. Eastern Hemlock is a relatively </w:t>
      </w:r>
      <w:r w:rsidR="002C6BBE">
        <w:rPr>
          <w:rFonts w:ascii="Times New Roman" w:hAnsi="Times New Roman" w:cs="Times New Roman"/>
          <w:sz w:val="24"/>
          <w:szCs w:val="24"/>
        </w:rPr>
        <w:t xml:space="preserve">tolerant to disturbance </w:t>
      </w:r>
      <w:r w:rsidR="002C6BBE">
        <w:rPr>
          <w:rFonts w:ascii="Times New Roman" w:hAnsi="Times New Roman" w:cs="Times New Roman"/>
          <w:sz w:val="24"/>
          <w:szCs w:val="24"/>
        </w:rPr>
        <w:lastRenderedPageBreak/>
        <w:t xml:space="preserve">compared to other species, and thus may be more likely to associated with higher intensity of human activity </w:t>
      </w:r>
      <w:r w:rsidR="00F76D71">
        <w:rPr>
          <w:rFonts w:ascii="Times New Roman" w:hAnsi="Times New Roman" w:cs="Times New Roman"/>
          <w:sz w:val="24"/>
          <w:szCs w:val="24"/>
        </w:rPr>
        <w:fldChar w:fldCharType="begin" w:fldLock="1"/>
      </w:r>
      <w:r w:rsidR="00F76D71">
        <w:rPr>
          <w:rFonts w:ascii="Times New Roman" w:hAnsi="Times New Roman" w:cs="Times New Roman"/>
          <w:sz w:val="24"/>
          <w:szCs w:val="24"/>
        </w:rPr>
        <w:instrText>ADDIN CSL_CITATION {"citationItems":[{"id":"ITEM-1","itemData":{"author":[{"dropping-particle":"","family":"Frelich","given":"Lee E","non-dropping-particle":"","parse-names":false,"suffix":""},{"dropping-particle":"","family":"Lorimer","given":"Craig G","non-dropping-particle":"","parse-names":false,"suffix":""}],"container-title":"Ecological monographs","id":"ITEM-1","issue":"2","issued":{"date-parts":[["1991"]]},"page":"145-164","publisher":"Wiley Online Library","title":"Natural disturbance regimes in hemlock-hardwood forests of the upper Great Lakes region","type":"article-journal","volume":"61"},"uris":["http://www.mendeley.com/documents/?uuid=1b3240bb-dd7f-42d5-95dc-84274f9728d4"]}],"mendeley":{"formattedCitation":"(Frelich &amp; Lorimer, 1991)","plainTextFormattedCitation":"(Frelich &amp; Lorimer, 1991)","previouslyFormattedCitation":"(Frelich &amp; Lorimer, 1991)"},"properties":{"noteIndex":0},"schema":"https://github.com/citation-style-language/schema/raw/master/csl-citation.json"}</w:instrText>
      </w:r>
      <w:r w:rsidR="00F76D71">
        <w:rPr>
          <w:rFonts w:ascii="Times New Roman" w:hAnsi="Times New Roman" w:cs="Times New Roman"/>
          <w:sz w:val="24"/>
          <w:szCs w:val="24"/>
        </w:rPr>
        <w:fldChar w:fldCharType="separate"/>
      </w:r>
      <w:r w:rsidR="00F76D71" w:rsidRPr="00F76D71">
        <w:rPr>
          <w:rFonts w:ascii="Times New Roman" w:hAnsi="Times New Roman" w:cs="Times New Roman"/>
          <w:noProof/>
          <w:sz w:val="24"/>
          <w:szCs w:val="24"/>
        </w:rPr>
        <w:t>(Frelich &amp; Lorimer, 1991)</w:t>
      </w:r>
      <w:r w:rsidR="00F76D71">
        <w:rPr>
          <w:rFonts w:ascii="Times New Roman" w:hAnsi="Times New Roman" w:cs="Times New Roman"/>
          <w:sz w:val="24"/>
          <w:szCs w:val="24"/>
        </w:rPr>
        <w:fldChar w:fldCharType="end"/>
      </w:r>
      <w:r w:rsidR="002C6BBE">
        <w:rPr>
          <w:rFonts w:ascii="Times New Roman" w:hAnsi="Times New Roman" w:cs="Times New Roman"/>
          <w:sz w:val="24"/>
          <w:szCs w:val="24"/>
        </w:rPr>
        <w:t xml:space="preserve">. There may also be indirect factors driving the observed relationships, such as high deer densities, which have a significant effect on tree composition in Southern Ontario </w:t>
      </w:r>
      <w:r w:rsidR="00F76D71">
        <w:rPr>
          <w:rFonts w:ascii="Times New Roman" w:hAnsi="Times New Roman" w:cs="Times New Roman"/>
          <w:sz w:val="24"/>
          <w:szCs w:val="24"/>
        </w:rPr>
        <w:fldChar w:fldCharType="begin" w:fldLock="1"/>
      </w:r>
      <w:r w:rsidR="00571D7B">
        <w:rPr>
          <w:rFonts w:ascii="Times New Roman" w:hAnsi="Times New Roman" w:cs="Times New Roman"/>
          <w:sz w:val="24"/>
          <w:szCs w:val="24"/>
        </w:rPr>
        <w:instrText>ADDIN CSL_CITATION {"citationItems":[{"id":"ITEM-1","itemData":{"DOI":"https://doi.org/10.1016/j.biocon.2010.09.015","ISSN":"0006-3207","abstract":"High levels of deer browsing can prevent canopy tree regeneration, but little is known about changes to forest size-structure following long-term deer herd reductions. We monitored changes in forest stand structure and composition in southwestern Ontario, Canada, over 28-years using permanent plots. Our study site was the largest remaining tract of Carolinian (deciduous) forest in Canada (11km2), a habitat type that contains up to a fifth of Canada’s species at risk and is under intense anthropogenic pressures. We recorded declines in all tree size classes between 1981 and 1996, during which densities of white-tailed deer (Odocoileus virginianus) reached a peak of 55 deer km−2. Despite significant and sustained deer herd reductions between 1996 and 2009, which reduced deer densities to 7 deer km−2, there was limited recruitment of small trees and declines in basal area of tree species that were sensitive to deer browsing. Our results suggest that recovery from herbivory is a protracted process during which canopy tree regeneration may continue to decline despite a reduction in browsing pressure due to deer culling. Large declines in canopy-tree densities in Carolinian forests may lead to forest size-structures and herbaceous plant communities that resemble rare oak savanna habitat, creating difficult decisions for conservation managers aiming to protect rare and endangered species within native ecosystems. We recommend that managers protect Carolinian forest stands and encourage canopy tree regeneration by increasing seed sources of native trees. While deer control is essential in reducing forest damage, our results highlight the need to explore other forms of active management to expedite otherwise slow increases in tree density.","author":[{"dropping-particle":"","family":"Tanentzap","given":"Andrew J","non-dropping-particle":"","parse-names":false,"suffix":""},{"dropping-particle":"","family":"Bazely","given":"Dawn R","non-dropping-particle":"","parse-names":false,"suffix":""},{"dropping-particle":"","family":"Koh","given":"Saewan","non-dropping-particle":"","parse-names":false,"suffix":""},{"dropping-particle":"","family":"Timciska","given":"Mika","non-dropping-particle":"","parse-names":false,"suffix":""},{"dropping-particle":"","family":"Haggith","given":"Edward G","non-dropping-particle":"","parse-names":false,"suffix":""},{"dropping-particle":"","family":"Carleton","given":"Terry J","non-dropping-particle":"","parse-names":false,"suffix":""},{"dropping-particle":"","family":"Coomes","given":"David A","non-dropping-particle":"","parse-names":false,"suffix":""}],"container-title":"Biological Conservation","id":"ITEM-1","issue":"1","issued":{"date-parts":[["2011"]]},"page":"376-382","title":"Seeing the forest for the deer: Do reductions in deer-disturbance lead to forest recovery?","type":"article-journal","volume":"144"},"uris":["http://www.mendeley.com/documents/?uuid=dee8185d-289b-4c07-ad24-d79b4280ab9a"]},{"id":"ITEM-2","itemData":{"abstract":"Increases in deer densities throughout temperate regions are negatively affecting forest conservation, but approaches for estimating these impacts are labour intensive and thus prohibitive for many managers. Plant indicators provide a rapid and cost-effective approach for measuring the impacts of disturbances on forest communities, and may inform managers both about the need for conservation actions to mitigate deer disturbance and their outcomes. The Floristic Quality Index (FQI) is one metric that assesses plant community composition by assigning coefficients of conservatism ( C) to individual species based on their life history traits, including responses to disturbances. FQI should therefore reflect the community-level impacts of browsing as a disturbance, but little information exists on its use within forests or along browsing gradients. Here, we improved the classical measure of FQI by generating a new Floristic Quality Abundance Index (FQAI) that better captures plant community responses to disturbance. We then tested whether it reflects local densities of white-tailed deer ( Odocoileus virginianus) and their impacts on forest understories using ground cover data from twelve sites across south-eastern Ontario, Canada. By excluding deer at five sites, we found that they preferentially removed plant species with lower C values, thereby explaining positive relationships between deer densities and FQAI across our sites. We propose that FQAI is an assessment tool that may improve the effectiveness of limited conservation resources for monitoring deer impacts. ?? 2013 Elsevier B.V.","author":[{"dropping-particle":"","family":"Filazzola","given":"Alessandro","non-dropping-particle":"","parse-names":false,"suffix":""},{"dropping-particle":"","family":"Tanentzap","given":"Andrew J.","non-dropping-particle":"","parse-names":false,"suffix":""},{"dropping-particle":"","family":"Bazely","given":"Dawn R.","non-dropping-particle":"","parse-names":false,"suffix":""}],"container-title":"Forest Ecology and Management","id":"ITEM-2","issued":{"date-parts":[["2014","2","1"]]},"page":"10-16","publisher":"Elsevier","title":"Estimating the impacts of browsers on forest understories using a modified index of community composition","type":"article-journal","volume":"313"},"uris":["http://www.mendeley.com/documents/?uuid=357d163d-327c-4d8f-a162-13dbe6bbd63f"]}],"mendeley":{"formattedCitation":"(Tanentzap et al., 2011; Filazzola, Tanentzap, &amp; Bazely, 2014)","plainTextFormattedCitation":"(Tanentzap et al., 2011; Filazzola, Tanentzap, &amp; Bazely, 2014)","previouslyFormattedCitation":"(Tanentzap et al., 2011; Filazzola, Tanentzap, &amp; Bazely, 2014)"},"properties":{"noteIndex":0},"schema":"https://github.com/citation-style-language/schema/raw/master/csl-citation.json"}</w:instrText>
      </w:r>
      <w:r w:rsidR="00F76D71">
        <w:rPr>
          <w:rFonts w:ascii="Times New Roman" w:hAnsi="Times New Roman" w:cs="Times New Roman"/>
          <w:sz w:val="24"/>
          <w:szCs w:val="24"/>
        </w:rPr>
        <w:fldChar w:fldCharType="separate"/>
      </w:r>
      <w:r w:rsidR="00F76D71" w:rsidRPr="00F76D71">
        <w:rPr>
          <w:rFonts w:ascii="Times New Roman" w:hAnsi="Times New Roman" w:cs="Times New Roman"/>
          <w:noProof/>
          <w:sz w:val="24"/>
          <w:szCs w:val="24"/>
        </w:rPr>
        <w:t>(Tanentzap et al., 2011; Filazzola, Tanentzap, &amp; Bazely, 2014)</w:t>
      </w:r>
      <w:r w:rsidR="00F76D71">
        <w:rPr>
          <w:rFonts w:ascii="Times New Roman" w:hAnsi="Times New Roman" w:cs="Times New Roman"/>
          <w:sz w:val="24"/>
          <w:szCs w:val="24"/>
        </w:rPr>
        <w:fldChar w:fldCharType="end"/>
      </w:r>
      <w:r w:rsidR="002C6BBE">
        <w:rPr>
          <w:rFonts w:ascii="Times New Roman" w:hAnsi="Times New Roman" w:cs="Times New Roman"/>
          <w:sz w:val="24"/>
          <w:szCs w:val="24"/>
        </w:rPr>
        <w:t xml:space="preserve"> but may also be appealing to visitors</w:t>
      </w:r>
      <w:r w:rsidR="00854FB7">
        <w:rPr>
          <w:rFonts w:ascii="Times New Roman" w:hAnsi="Times New Roman" w:cs="Times New Roman"/>
          <w:sz w:val="24"/>
          <w:szCs w:val="24"/>
        </w:rPr>
        <w:t>. Other types of biodiversity data may be useful for disentangling some of these patterns.</w:t>
      </w:r>
      <w:r w:rsidR="002C6BBE">
        <w:rPr>
          <w:rFonts w:ascii="Times New Roman" w:hAnsi="Times New Roman" w:cs="Times New Roman"/>
          <w:sz w:val="24"/>
          <w:szCs w:val="24"/>
        </w:rPr>
        <w:t xml:space="preserve"> </w:t>
      </w:r>
      <w:r w:rsidR="00854FB7">
        <w:rPr>
          <w:rFonts w:ascii="Times New Roman" w:hAnsi="Times New Roman" w:cs="Times New Roman"/>
          <w:sz w:val="24"/>
          <w:szCs w:val="24"/>
        </w:rPr>
        <w:t xml:space="preserve">We used long-term monitoring data of trees that is relatively robust to survey </w:t>
      </w:r>
      <w:r w:rsidR="0091189E">
        <w:rPr>
          <w:rFonts w:ascii="Times New Roman" w:hAnsi="Times New Roman" w:cs="Times New Roman"/>
          <w:sz w:val="24"/>
          <w:szCs w:val="24"/>
        </w:rPr>
        <w:t>biases but</w:t>
      </w:r>
      <w:r w:rsidR="00854FB7">
        <w:rPr>
          <w:rFonts w:ascii="Times New Roman" w:hAnsi="Times New Roman" w:cs="Times New Roman"/>
          <w:sz w:val="24"/>
          <w:szCs w:val="24"/>
        </w:rPr>
        <w:t xml:space="preserve"> is restricted to select survey locations and certain years. Community science databases (e.g., iNaturalist, eBird) would have larger spatial and temporal coverage allowing for greater overlap with the mobility data. However, many of these data sources will be inherently correlated to mobility data since they have smartphone applications. </w:t>
      </w:r>
      <w:r w:rsidR="0091189E">
        <w:rPr>
          <w:rFonts w:ascii="Times New Roman" w:hAnsi="Times New Roman" w:cs="Times New Roman"/>
          <w:sz w:val="24"/>
          <w:szCs w:val="24"/>
        </w:rPr>
        <w:t xml:space="preserve">Relating patterns of biodiversity to mobility data is thus a promising opportunity that requires careful consideration of data source or experimental design. </w:t>
      </w:r>
      <w:r w:rsidR="002C6BBE">
        <w:rPr>
          <w:rFonts w:ascii="Times New Roman" w:hAnsi="Times New Roman" w:cs="Times New Roman"/>
          <w:sz w:val="24"/>
          <w:szCs w:val="24"/>
        </w:rPr>
        <w:t xml:space="preserve"> </w:t>
      </w:r>
      <w:r w:rsidR="007A2E7C">
        <w:rPr>
          <w:rFonts w:ascii="Times New Roman" w:hAnsi="Times New Roman" w:cs="Times New Roman"/>
          <w:sz w:val="24"/>
          <w:szCs w:val="24"/>
        </w:rPr>
        <w:t xml:space="preserve">  </w:t>
      </w:r>
      <w:r w:rsidR="008A73E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E8A97A" w14:textId="1F23BFCC" w:rsidR="00B2590B" w:rsidRPr="00320341" w:rsidRDefault="00320341" w:rsidP="00B2590B">
      <w:pPr>
        <w:spacing w:line="480" w:lineRule="auto"/>
        <w:rPr>
          <w:rFonts w:ascii="Times New Roman" w:hAnsi="Times New Roman" w:cs="Times New Roman"/>
          <w:i/>
          <w:iCs/>
          <w:sz w:val="24"/>
          <w:szCs w:val="24"/>
        </w:rPr>
      </w:pPr>
      <w:r w:rsidRPr="00320341">
        <w:rPr>
          <w:rFonts w:ascii="Times New Roman" w:hAnsi="Times New Roman" w:cs="Times New Roman"/>
          <w:i/>
          <w:iCs/>
          <w:sz w:val="24"/>
          <w:szCs w:val="24"/>
        </w:rPr>
        <w:t xml:space="preserve">4.4 </w:t>
      </w:r>
      <w:r w:rsidR="002F367F" w:rsidRPr="00320341">
        <w:rPr>
          <w:rFonts w:ascii="Times New Roman" w:hAnsi="Times New Roman" w:cs="Times New Roman"/>
          <w:i/>
          <w:iCs/>
          <w:sz w:val="24"/>
          <w:szCs w:val="24"/>
        </w:rPr>
        <w:t>Management implication</w:t>
      </w:r>
      <w:r w:rsidR="00B2590B" w:rsidRPr="00320341">
        <w:rPr>
          <w:rFonts w:ascii="Times New Roman" w:hAnsi="Times New Roman" w:cs="Times New Roman"/>
          <w:i/>
          <w:iCs/>
          <w:sz w:val="24"/>
          <w:szCs w:val="24"/>
        </w:rPr>
        <w:t>s</w:t>
      </w:r>
    </w:p>
    <w:p w14:paraId="4E1EB16B" w14:textId="739DBB90" w:rsidR="00E14C35" w:rsidRDefault="00AE4E9E" w:rsidP="00B2590B">
      <w:pPr>
        <w:spacing w:line="480" w:lineRule="auto"/>
        <w:ind w:firstLine="720"/>
        <w:rPr>
          <w:rFonts w:ascii="Times New Roman" w:hAnsi="Times New Roman" w:cs="Times New Roman"/>
          <w:sz w:val="24"/>
          <w:szCs w:val="24"/>
        </w:rPr>
      </w:pPr>
      <w:r w:rsidRPr="002F284F">
        <w:rPr>
          <w:rFonts w:ascii="Times New Roman" w:hAnsi="Times New Roman" w:cs="Times New Roman"/>
          <w:sz w:val="24"/>
          <w:szCs w:val="24"/>
        </w:rPr>
        <w:t xml:space="preserve">The prospects of anonymized mobility data for managers of green spaces and more broadly, to determine human impacts on the environment, is exciting. We show it surpasses information available from traditional methods for monitoring visitation by including </w:t>
      </w:r>
      <w:r>
        <w:rPr>
          <w:rFonts w:ascii="Times New Roman" w:hAnsi="Times New Roman" w:cs="Times New Roman"/>
          <w:sz w:val="24"/>
          <w:szCs w:val="24"/>
        </w:rPr>
        <w:t xml:space="preserve">human activity </w:t>
      </w:r>
      <w:r w:rsidRPr="002F284F">
        <w:rPr>
          <w:rFonts w:ascii="Times New Roman" w:hAnsi="Times New Roman" w:cs="Times New Roman"/>
          <w:sz w:val="24"/>
          <w:szCs w:val="24"/>
        </w:rPr>
        <w:t xml:space="preserve">hot spots and cool spots, off-trail movement and human behaviour that could inform future planning </w:t>
      </w:r>
      <w:r>
        <w:rPr>
          <w:rFonts w:ascii="Times New Roman" w:hAnsi="Times New Roman" w:cs="Times New Roman"/>
          <w:sz w:val="24"/>
          <w:szCs w:val="24"/>
        </w:rPr>
        <w:t xml:space="preserve">for accessibility and </w:t>
      </w:r>
      <w:r w:rsidR="00E14C35">
        <w:rPr>
          <w:rFonts w:ascii="Times New Roman" w:hAnsi="Times New Roman" w:cs="Times New Roman"/>
          <w:sz w:val="24"/>
          <w:szCs w:val="24"/>
        </w:rPr>
        <w:t xml:space="preserve">development of </w:t>
      </w:r>
      <w:r w:rsidR="00E14C35" w:rsidRPr="002F284F">
        <w:rPr>
          <w:rFonts w:ascii="Times New Roman" w:hAnsi="Times New Roman" w:cs="Times New Roman"/>
          <w:sz w:val="24"/>
          <w:szCs w:val="24"/>
        </w:rPr>
        <w:t>more parsimonious trail routes that mitigate off-trail activity</w:t>
      </w:r>
      <w:r w:rsidRPr="00E14C35">
        <w:rPr>
          <w:rFonts w:ascii="Times New Roman" w:hAnsi="Times New Roman" w:cs="Times New Roman"/>
          <w:sz w:val="24"/>
          <w:szCs w:val="24"/>
        </w:rPr>
        <w:t xml:space="preserve">. </w:t>
      </w:r>
      <w:r>
        <w:rPr>
          <w:rFonts w:ascii="Times New Roman" w:hAnsi="Times New Roman" w:cs="Times New Roman"/>
          <w:sz w:val="24"/>
          <w:szCs w:val="24"/>
        </w:rPr>
        <w:t>With improved understanding of human ac</w:t>
      </w:r>
      <w:r w:rsidR="00E14C35">
        <w:rPr>
          <w:rFonts w:ascii="Times New Roman" w:hAnsi="Times New Roman" w:cs="Times New Roman"/>
          <w:sz w:val="24"/>
          <w:szCs w:val="24"/>
        </w:rPr>
        <w:t>t</w:t>
      </w:r>
      <w:r>
        <w:rPr>
          <w:rFonts w:ascii="Times New Roman" w:hAnsi="Times New Roman" w:cs="Times New Roman"/>
          <w:sz w:val="24"/>
          <w:szCs w:val="24"/>
        </w:rPr>
        <w:t xml:space="preserve">ivity across green spaces, </w:t>
      </w:r>
      <w:r w:rsidR="00E14C35">
        <w:rPr>
          <w:rFonts w:ascii="Times New Roman" w:hAnsi="Times New Roman" w:cs="Times New Roman"/>
          <w:sz w:val="24"/>
          <w:szCs w:val="24"/>
        </w:rPr>
        <w:t>biomonitoring inventories can be coordinated in ways that capture biodiversity information across gradients of human activity levels. This could be critical to disentangle local disturbance and modification to community composition, loss of sensitive species</w:t>
      </w:r>
      <w:r w:rsidR="00571D7B">
        <w:rPr>
          <w:rFonts w:ascii="Times New Roman" w:hAnsi="Times New Roman" w:cs="Times New Roman"/>
          <w:sz w:val="24"/>
          <w:szCs w:val="24"/>
        </w:rPr>
        <w:t xml:space="preserve">, and </w:t>
      </w:r>
      <w:r w:rsidR="00E14C35">
        <w:rPr>
          <w:rFonts w:ascii="Times New Roman" w:hAnsi="Times New Roman" w:cs="Times New Roman"/>
          <w:sz w:val="24"/>
          <w:szCs w:val="24"/>
        </w:rPr>
        <w:t>manage</w:t>
      </w:r>
      <w:r w:rsidR="00571D7B">
        <w:rPr>
          <w:rFonts w:ascii="Times New Roman" w:hAnsi="Times New Roman" w:cs="Times New Roman"/>
          <w:sz w:val="24"/>
          <w:szCs w:val="24"/>
        </w:rPr>
        <w:t>ment of</w:t>
      </w:r>
      <w:r w:rsidR="00E14C35">
        <w:rPr>
          <w:rFonts w:ascii="Times New Roman" w:hAnsi="Times New Roman" w:cs="Times New Roman"/>
          <w:sz w:val="24"/>
          <w:szCs w:val="24"/>
        </w:rPr>
        <w:t xml:space="preserve"> at-risk species. Since human activity in green spaces is correlated with invasive species propagules </w:t>
      </w:r>
      <w:r w:rsidR="00571D7B">
        <w:rPr>
          <w:rFonts w:ascii="Times New Roman" w:hAnsi="Times New Roman" w:cs="Times New Roman"/>
          <w:sz w:val="24"/>
          <w:szCs w:val="24"/>
        </w:rPr>
        <w:lastRenderedPageBreak/>
        <w:fldChar w:fldCharType="begin" w:fldLock="1"/>
      </w:r>
      <w:r w:rsidR="00F2222C">
        <w:rPr>
          <w:rFonts w:ascii="Times New Roman" w:hAnsi="Times New Roman" w:cs="Times New Roman"/>
          <w:sz w:val="24"/>
          <w:szCs w:val="24"/>
        </w:rPr>
        <w:instrText>ADDIN CSL_CITATION {"citationItems":[{"id":"ITEM-1","itemData":{"DOI":"10.1007/s10530-017-1586-y","ISSN":"1387-3547","author":[{"dropping-particle":"","family":"Cadotte","given":"Marc W.","non-dropping-particle":"","parse-names":false,"suffix":""},{"dropping-particle":"","family":"Yasui","given":"Simone Louise E.","non-dropping-particle":"","parse-names":false,"suffix":""},{"dropping-particle":"","family":"Livingstone","given":"Stuart","non-dropping-particle":"","parse-names":false,"suffix":""},{"dropping-particle":"","family":"MacIvor","given":"J. Scott","non-dropping-particle":"","parse-names":false,"suffix":""}],"container-title":"Biological Invasions","id":"ITEM-1","issue":"12","issued":{"date-parts":[["2017","12","19"]]},"page":"3489-3503","publisher":"Springer International Publishing","title":"Are urban systems beneficial, detrimental, or indifferent for biological invasion?","type":"article-journal","volume":"19"},"uris":["http://www.mendeley.com/documents/?uuid=5385acc7-4395-323e-a61f-e5d404dc80fc"]}],"mendeley":{"formattedCitation":"(Cadotte et al., 2017)","plainTextFormattedCitation":"(Cadotte et al., 2017)","previouslyFormattedCitation":"(Cadotte et al., 2017)"},"properties":{"noteIndex":0},"schema":"https://github.com/citation-style-language/schema/raw/master/csl-citation.json"}</w:instrText>
      </w:r>
      <w:r w:rsidR="00571D7B">
        <w:rPr>
          <w:rFonts w:ascii="Times New Roman" w:hAnsi="Times New Roman" w:cs="Times New Roman"/>
          <w:sz w:val="24"/>
          <w:szCs w:val="24"/>
        </w:rPr>
        <w:fldChar w:fldCharType="separate"/>
      </w:r>
      <w:r w:rsidR="00571D7B" w:rsidRPr="00571D7B">
        <w:rPr>
          <w:rFonts w:ascii="Times New Roman" w:hAnsi="Times New Roman" w:cs="Times New Roman"/>
          <w:noProof/>
          <w:sz w:val="24"/>
          <w:szCs w:val="24"/>
        </w:rPr>
        <w:t>(Cadotte et al., 2017)</w:t>
      </w:r>
      <w:r w:rsidR="00571D7B">
        <w:rPr>
          <w:rFonts w:ascii="Times New Roman" w:hAnsi="Times New Roman" w:cs="Times New Roman"/>
          <w:sz w:val="24"/>
          <w:szCs w:val="24"/>
        </w:rPr>
        <w:fldChar w:fldCharType="end"/>
      </w:r>
      <w:r w:rsidR="00571D7B">
        <w:rPr>
          <w:rFonts w:ascii="Times New Roman" w:hAnsi="Times New Roman" w:cs="Times New Roman"/>
          <w:sz w:val="24"/>
          <w:szCs w:val="24"/>
        </w:rPr>
        <w:t xml:space="preserve">, </w:t>
      </w:r>
      <w:r w:rsidR="00E14C35">
        <w:rPr>
          <w:rFonts w:ascii="Times New Roman" w:hAnsi="Times New Roman" w:cs="Times New Roman"/>
          <w:sz w:val="24"/>
          <w:szCs w:val="24"/>
        </w:rPr>
        <w:t>biomonitoring inventories designed to include sites along human activity gradients may be critical to proactively manage invasive species and mitigate economic costs associated with eliminating established species</w:t>
      </w:r>
      <w:r w:rsidR="00571D7B">
        <w:rPr>
          <w:rFonts w:ascii="Times New Roman" w:hAnsi="Times New Roman" w:cs="Times New Roman"/>
          <w:sz w:val="24"/>
          <w:szCs w:val="24"/>
        </w:rPr>
        <w:t xml:space="preserve">. </w:t>
      </w:r>
      <w:r w:rsidR="0017081B">
        <w:rPr>
          <w:rFonts w:ascii="Times New Roman" w:hAnsi="Times New Roman" w:cs="Times New Roman"/>
          <w:sz w:val="24"/>
          <w:szCs w:val="24"/>
        </w:rPr>
        <w:t xml:space="preserve"> </w:t>
      </w:r>
    </w:p>
    <w:p w14:paraId="77D55178" w14:textId="35162317" w:rsidR="00634587" w:rsidRDefault="00E14C35" w:rsidP="002F284F">
      <w:pPr>
        <w:spacing w:line="480" w:lineRule="auto"/>
        <w:ind w:firstLine="720"/>
        <w:rPr>
          <w:rFonts w:ascii="Times New Roman" w:hAnsi="Times New Roman" w:cs="Times New Roman"/>
          <w:sz w:val="24"/>
          <w:szCs w:val="24"/>
        </w:rPr>
      </w:pPr>
      <w:r w:rsidRPr="00DB0F79">
        <w:rPr>
          <w:rFonts w:ascii="Times New Roman" w:hAnsi="Times New Roman" w:cs="Times New Roman"/>
          <w:sz w:val="24"/>
          <w:szCs w:val="24"/>
        </w:rPr>
        <w:t xml:space="preserve">Anonymized mobility data collected by Mapbox is recorded hourly and so continuous </w:t>
      </w:r>
      <w:r w:rsidR="00634587" w:rsidRPr="002F284F">
        <w:rPr>
          <w:rFonts w:ascii="Times New Roman" w:hAnsi="Times New Roman" w:cs="Times New Roman"/>
          <w:sz w:val="24"/>
          <w:szCs w:val="24"/>
        </w:rPr>
        <w:t xml:space="preserve">monitoring of </w:t>
      </w:r>
      <w:r w:rsidRPr="002F284F">
        <w:rPr>
          <w:rFonts w:ascii="Times New Roman" w:hAnsi="Times New Roman" w:cs="Times New Roman"/>
          <w:sz w:val="24"/>
          <w:szCs w:val="24"/>
        </w:rPr>
        <w:t>green spaces</w:t>
      </w:r>
      <w:r w:rsidR="00634587" w:rsidRPr="002F284F">
        <w:rPr>
          <w:rFonts w:ascii="Times New Roman" w:hAnsi="Times New Roman" w:cs="Times New Roman"/>
          <w:sz w:val="24"/>
          <w:szCs w:val="24"/>
        </w:rPr>
        <w:t xml:space="preserve"> for changes in activity patterns</w:t>
      </w:r>
      <w:r w:rsidRPr="002F284F">
        <w:rPr>
          <w:rFonts w:ascii="Times New Roman" w:hAnsi="Times New Roman" w:cs="Times New Roman"/>
          <w:sz w:val="24"/>
          <w:szCs w:val="24"/>
        </w:rPr>
        <w:t xml:space="preserve"> are possible</w:t>
      </w:r>
      <w:r w:rsidR="00634587" w:rsidRPr="002F284F">
        <w:rPr>
          <w:rFonts w:ascii="Times New Roman" w:hAnsi="Times New Roman" w:cs="Times New Roman"/>
          <w:sz w:val="24"/>
          <w:szCs w:val="24"/>
        </w:rPr>
        <w:t xml:space="preserve">. With </w:t>
      </w:r>
      <w:r w:rsidR="0017081B">
        <w:rPr>
          <w:rFonts w:ascii="Times New Roman" w:hAnsi="Times New Roman" w:cs="Times New Roman"/>
          <w:sz w:val="24"/>
          <w:szCs w:val="24"/>
        </w:rPr>
        <w:t xml:space="preserve">the </w:t>
      </w:r>
      <w:r w:rsidRPr="002F284F">
        <w:rPr>
          <w:rFonts w:ascii="Times New Roman" w:hAnsi="Times New Roman" w:cs="Times New Roman"/>
          <w:sz w:val="24"/>
          <w:szCs w:val="24"/>
        </w:rPr>
        <w:t>C</w:t>
      </w:r>
      <w:r w:rsidR="00634587" w:rsidRPr="002F284F">
        <w:rPr>
          <w:rFonts w:ascii="Times New Roman" w:hAnsi="Times New Roman" w:cs="Times New Roman"/>
          <w:sz w:val="24"/>
          <w:szCs w:val="24"/>
        </w:rPr>
        <w:t>ovid</w:t>
      </w:r>
      <w:r w:rsidRPr="002F284F">
        <w:rPr>
          <w:rFonts w:ascii="Times New Roman" w:hAnsi="Times New Roman" w:cs="Times New Roman"/>
          <w:sz w:val="24"/>
          <w:szCs w:val="24"/>
        </w:rPr>
        <w:t>-19</w:t>
      </w:r>
      <w:r w:rsidR="00634587" w:rsidRPr="002F284F">
        <w:rPr>
          <w:rFonts w:ascii="Times New Roman" w:hAnsi="Times New Roman" w:cs="Times New Roman"/>
          <w:sz w:val="24"/>
          <w:szCs w:val="24"/>
        </w:rPr>
        <w:t xml:space="preserve"> </w:t>
      </w:r>
      <w:r w:rsidR="0017081B">
        <w:rPr>
          <w:rFonts w:ascii="Times New Roman" w:hAnsi="Times New Roman" w:cs="Times New Roman"/>
          <w:sz w:val="24"/>
          <w:szCs w:val="24"/>
        </w:rPr>
        <w:t xml:space="preserve">pandemic, </w:t>
      </w:r>
      <w:r w:rsidR="00A14D45">
        <w:rPr>
          <w:rFonts w:ascii="Times New Roman" w:hAnsi="Times New Roman" w:cs="Times New Roman"/>
          <w:sz w:val="24"/>
          <w:szCs w:val="24"/>
        </w:rPr>
        <w:t>many local parks ha</w:t>
      </w:r>
      <w:r w:rsidR="0017081B">
        <w:rPr>
          <w:rFonts w:ascii="Times New Roman" w:hAnsi="Times New Roman" w:cs="Times New Roman"/>
          <w:sz w:val="24"/>
          <w:szCs w:val="24"/>
        </w:rPr>
        <w:t xml:space="preserve">ve </w:t>
      </w:r>
      <w:r w:rsidR="00634587" w:rsidRPr="002F284F">
        <w:rPr>
          <w:rFonts w:ascii="Times New Roman" w:hAnsi="Times New Roman" w:cs="Times New Roman"/>
          <w:sz w:val="24"/>
          <w:szCs w:val="24"/>
        </w:rPr>
        <w:t xml:space="preserve">seen a </w:t>
      </w:r>
      <w:r w:rsidR="00A14D45">
        <w:rPr>
          <w:rFonts w:ascii="Times New Roman" w:hAnsi="Times New Roman" w:cs="Times New Roman"/>
          <w:sz w:val="24"/>
          <w:szCs w:val="24"/>
        </w:rPr>
        <w:t>significant</w:t>
      </w:r>
      <w:r w:rsidR="00634587" w:rsidRPr="002F284F">
        <w:rPr>
          <w:rFonts w:ascii="Times New Roman" w:hAnsi="Times New Roman" w:cs="Times New Roman"/>
          <w:sz w:val="24"/>
          <w:szCs w:val="24"/>
        </w:rPr>
        <w:t xml:space="preserve"> increase in the number of people visiting, and with this come a wider range of behaviours</w:t>
      </w:r>
      <w:r w:rsidR="00A14D45">
        <w:rPr>
          <w:rFonts w:ascii="Times New Roman" w:hAnsi="Times New Roman" w:cs="Times New Roman"/>
          <w:sz w:val="24"/>
          <w:szCs w:val="24"/>
        </w:rPr>
        <w:t xml:space="preserve"> </w:t>
      </w:r>
      <w:r w:rsidR="00F2222C">
        <w:rPr>
          <w:rFonts w:ascii="Times New Roman" w:hAnsi="Times New Roman" w:cs="Times New Roman"/>
          <w:sz w:val="24"/>
          <w:szCs w:val="24"/>
        </w:rPr>
        <w:fldChar w:fldCharType="begin" w:fldLock="1"/>
      </w:r>
      <w:r w:rsidR="00AC2DF1">
        <w:rPr>
          <w:rFonts w:ascii="Times New Roman" w:hAnsi="Times New Roman" w:cs="Times New Roman"/>
          <w:sz w:val="24"/>
          <w:szCs w:val="24"/>
        </w:rPr>
        <w:instrText>ADDIN CSL_CITATION {"citationItems":[{"id":"ITEM-1","itemData":{"DOI":"10.1093/jue/juaa020","ISSN":"2058-5543","abstract":"The COVID-19 pandemic presents not only a global health crisis but has also disrupted the daily lives of people around the world. From a leisure perspective, urban outdoor enthusiasts are one group particularly impacted by the pandemic and the subsequent institutional response. Stay-at-home orders and physical distancing recommendations serve as potential inhibitors to outdoor recreation activities central to the lifestyles and wellbeing of outdoor enthusiasts. In urban areas, where these orders and recommendations are most restrictive, the potential impacts on recreation behavior are most consequential. This study provides an empirical analysis of the COVID-19 pandemic’s impact on the recreational behaviors of outdoor enthusiasts across urban and rural communities. Results suggest that the frequency of outdoor recreation participation, distance travelled to participate in outdoor recreation and distance travelled beyond roads during outdoor recreation have declined significantly more among outdoor enthusiasts residing in urban areas than urban clusters or rural areas. ","author":[{"dropping-particle":"","family":"Rice","given":"William L","non-dropping-particle":"","parse-names":false,"suffix":""},{"dropping-particle":"","family":"Mateer","given":"Timothy J","non-dropping-particle":"","parse-names":false,"suffix":""},{"dropping-particle":"","family":"Reigner","given":"Nathan","non-dropping-particle":"","parse-names":false,"suffix":""},{"dropping-particle":"","family":"Newman","given":"Peter","non-dropping-particle":"","parse-names":false,"suffix":""},{"dropping-particle":"","family":"Lawhon","given":"Ben","non-dropping-particle":"","parse-names":false,"suffix":""},{"dropping-particle":"","family":"Taff","given":"B Derrick","non-dropping-particle":"","parse-names":false,"suffix":""}],"container-title":"Journal of Urban Ecology","id":"ITEM-1","issue":"1","issued":{"date-parts":[["2020","1","1"]]},"page":"juaa020","title":"Changes in recreational behaviors of outdoor enthusiasts during the COVID-19 pandemic: analysis across urban and rural communities","type":"article-journal","volume":"6"},"uris":["http://www.mendeley.com/documents/?uuid=b1fe6ea6-a897-4d23-ad9f-6195eaaa097a"]},{"id":"ITEM-2","itemData":{"abstract":"Public parks serve an important societal function as recreational spaces for diverse communities of people, with well documented physical and mental health benefits. As such, parks may be crucial for how people have handled effects of the COVID-19 pandemic, particularly the increasingly limited recreational opportunities, widespread financial uncertainty, and consequent heightened anxiety. Despite the documented benefits of parks, however, many states have instituted park shutdown orders due to fears that public parks could facilitate SARS-CoV-2 transmission. Here we use geotagged social media data from state, county, and local parks throughout New Jersey to examine whether park visitation increased when the COVID-19 pandemic began and whether park shutdown orders were effective at deterring park usage. We compare park usage during four discrete stages of spring 2020: (1) before the pandemic began, (2) during the beginning of the pandemic, (3) during the New Jersey governor’s state-wide park shutdown order, and (4) following the lifting of the shutdown. We find that park visitation increased by 63.4% with the onset of the pandemic. The subsequent park shutdown order caused visitation in closed parks to decline by 76.1% while parks that remained open continued to experience elevated visitation levels. Visitation then returned to elevated pre-shutdown levels when closed parks were allowed to reopen. Altogether, our results indicate that parks continue to provide crucial services to society, particularly in stressful times when opportunities for recreation are limited. Furthermore, our results suggest that policies targeting human behavior can be effective and are largely reversible. As such, we should continue to invest in public parks and to explore the role of parks in managing public health and psychological well-being.","author":[{"dropping-particle":"","family":"Volenec","given":"Zoe M","non-dropping-particle":"","parse-names":false,"suffix":""},{"dropping-particle":"","family":"Abraham","given":"Joel O","non-dropping-particle":"","parse-names":false,"suffix":""},{"dropping-particle":"","family":"Becker","given":"Alexander D","non-dropping-particle":"","parse-names":false,"suffix":""},{"dropping-particle":"","family":"Dobson","given":"Andy P","non-dropping-particle":"","parse-names":false,"suffix":""}],"container-title":"PLOS ONE","id":"ITEM-2","issue":"5","issued":{"date-parts":[["2021","5","19"]]},"page":"e0251799","publisher":"Public Library of Science","title":"Public parks and the pandemic: How park usage has been affected by COVID-19 policies","type":"article-journal","volume":"16"},"uris":["http://www.mendeley.com/documents/?uuid=e70a6c26-0c94-4afe-b8df-07fb518f8189"]}],"mendeley":{"formattedCitation":"(Rice et al., 2020; Volenec et al., 2021)","plainTextFormattedCitation":"(Rice et al., 2020; Volenec et al., 2021)","previouslyFormattedCitation":"(Rice et al., 2020; Volenec et al., 2021)"},"properties":{"noteIndex":0},"schema":"https://github.com/citation-style-language/schema/raw/master/csl-citation.json"}</w:instrText>
      </w:r>
      <w:r w:rsidR="00F2222C">
        <w:rPr>
          <w:rFonts w:ascii="Times New Roman" w:hAnsi="Times New Roman" w:cs="Times New Roman"/>
          <w:sz w:val="24"/>
          <w:szCs w:val="24"/>
        </w:rPr>
        <w:fldChar w:fldCharType="separate"/>
      </w:r>
      <w:r w:rsidR="00F2222C" w:rsidRPr="00F2222C">
        <w:rPr>
          <w:rFonts w:ascii="Times New Roman" w:hAnsi="Times New Roman" w:cs="Times New Roman"/>
          <w:noProof/>
          <w:sz w:val="24"/>
          <w:szCs w:val="24"/>
        </w:rPr>
        <w:t>(Rice et al., 2020; Volenec et al., 2021)</w:t>
      </w:r>
      <w:r w:rsidR="00F2222C">
        <w:rPr>
          <w:rFonts w:ascii="Times New Roman" w:hAnsi="Times New Roman" w:cs="Times New Roman"/>
          <w:sz w:val="24"/>
          <w:szCs w:val="24"/>
        </w:rPr>
        <w:fldChar w:fldCharType="end"/>
      </w:r>
      <w:r w:rsidR="00634587" w:rsidRPr="002F284F">
        <w:rPr>
          <w:rFonts w:ascii="Times New Roman" w:hAnsi="Times New Roman" w:cs="Times New Roman"/>
          <w:sz w:val="24"/>
          <w:szCs w:val="24"/>
        </w:rPr>
        <w:t>.</w:t>
      </w:r>
      <w:r w:rsidR="0017081B">
        <w:rPr>
          <w:rFonts w:ascii="Times New Roman" w:hAnsi="Times New Roman" w:cs="Times New Roman"/>
          <w:sz w:val="24"/>
          <w:szCs w:val="24"/>
        </w:rPr>
        <w:t xml:space="preserve"> </w:t>
      </w:r>
      <w:r w:rsidR="00634587" w:rsidRPr="002F284F">
        <w:rPr>
          <w:rFonts w:ascii="Times New Roman" w:hAnsi="Times New Roman" w:cs="Times New Roman"/>
          <w:sz w:val="24"/>
          <w:szCs w:val="24"/>
        </w:rPr>
        <w:t xml:space="preserve"> </w:t>
      </w:r>
      <w:r w:rsidRPr="002F284F">
        <w:rPr>
          <w:rFonts w:ascii="Times New Roman" w:hAnsi="Times New Roman" w:cs="Times New Roman"/>
          <w:sz w:val="24"/>
          <w:szCs w:val="24"/>
        </w:rPr>
        <w:t xml:space="preserve">Knowledge of when green spaces are visited and where in the park visitation is highest, will permit </w:t>
      </w:r>
      <w:r w:rsidR="00DB0F79" w:rsidRPr="002F284F">
        <w:rPr>
          <w:rFonts w:ascii="Times New Roman" w:hAnsi="Times New Roman" w:cs="Times New Roman"/>
          <w:sz w:val="24"/>
          <w:szCs w:val="24"/>
        </w:rPr>
        <w:t xml:space="preserve">significant refinement of both biomonitoring, management, and engagement to more effectively (and economically) link the needs of humans to access nature and recreation opportunities while also conserving biodiversity in green spaces.  </w:t>
      </w:r>
    </w:p>
    <w:bookmarkEnd w:id="3"/>
    <w:p w14:paraId="3B66CAC8" w14:textId="77777777" w:rsidR="00836BE3" w:rsidRDefault="00836BE3">
      <w:pPr>
        <w:rPr>
          <w:rFonts w:ascii="Times New Roman" w:hAnsi="Times New Roman" w:cs="Times New Roman"/>
          <w:sz w:val="24"/>
          <w:szCs w:val="24"/>
        </w:rPr>
      </w:pPr>
    </w:p>
    <w:p w14:paraId="54E41E17" w14:textId="77777777" w:rsidR="00836BE3" w:rsidRPr="005A2ACD" w:rsidRDefault="00836BE3" w:rsidP="00836BE3">
      <w:pPr>
        <w:spacing w:line="480" w:lineRule="auto"/>
        <w:rPr>
          <w:rFonts w:ascii="Times New Roman" w:hAnsi="Times New Roman" w:cs="Times New Roman"/>
          <w:b/>
          <w:bCs/>
          <w:sz w:val="24"/>
          <w:szCs w:val="24"/>
        </w:rPr>
      </w:pPr>
      <w:r w:rsidRPr="005A2ACD">
        <w:rPr>
          <w:rFonts w:ascii="Times New Roman" w:hAnsi="Times New Roman" w:cs="Times New Roman"/>
          <w:b/>
          <w:bCs/>
          <w:sz w:val="24"/>
          <w:szCs w:val="24"/>
        </w:rPr>
        <w:t>Acknowledgments</w:t>
      </w:r>
    </w:p>
    <w:p w14:paraId="7C96202E" w14:textId="0BB32ACA" w:rsidR="00DA77DA" w:rsidRDefault="00836BE3" w:rsidP="00836BE3">
      <w:pPr>
        <w:spacing w:line="480" w:lineRule="auto"/>
        <w:ind w:firstLine="480"/>
        <w:rPr>
          <w:rFonts w:ascii="Times New Roman" w:hAnsi="Times New Roman" w:cs="Times New Roman"/>
          <w:sz w:val="24"/>
          <w:szCs w:val="24"/>
        </w:rPr>
      </w:pPr>
      <w:r>
        <w:rPr>
          <w:rFonts w:ascii="Times New Roman" w:hAnsi="Times New Roman" w:cs="Times New Roman"/>
          <w:sz w:val="24"/>
          <w:szCs w:val="24"/>
        </w:rPr>
        <w:t xml:space="preserve">We thank Mapbox for providing the anonymized mobility data. </w:t>
      </w:r>
      <w:r w:rsidRPr="005A2ACD">
        <w:rPr>
          <w:rFonts w:ascii="Times New Roman" w:hAnsi="Times New Roman" w:cs="Times New Roman"/>
          <w:sz w:val="24"/>
          <w:szCs w:val="24"/>
        </w:rPr>
        <w:t xml:space="preserve">This research was funded by a </w:t>
      </w:r>
      <w:r>
        <w:rPr>
          <w:rFonts w:ascii="Times New Roman" w:hAnsi="Times New Roman" w:cs="Times New Roman"/>
          <w:sz w:val="24"/>
          <w:szCs w:val="24"/>
        </w:rPr>
        <w:t>p</w:t>
      </w:r>
      <w:r w:rsidRPr="005A2ACD">
        <w:rPr>
          <w:rFonts w:ascii="Times New Roman" w:hAnsi="Times New Roman" w:cs="Times New Roman"/>
          <w:sz w:val="24"/>
          <w:szCs w:val="24"/>
        </w:rPr>
        <w:t>ost-</w:t>
      </w:r>
      <w:r>
        <w:rPr>
          <w:rFonts w:ascii="Times New Roman" w:hAnsi="Times New Roman" w:cs="Times New Roman"/>
          <w:sz w:val="24"/>
          <w:szCs w:val="24"/>
        </w:rPr>
        <w:t>d</w:t>
      </w:r>
      <w:r w:rsidRPr="005A2ACD">
        <w:rPr>
          <w:rFonts w:ascii="Times New Roman" w:hAnsi="Times New Roman" w:cs="Times New Roman"/>
          <w:sz w:val="24"/>
          <w:szCs w:val="24"/>
        </w:rPr>
        <w:t xml:space="preserve">octoral </w:t>
      </w:r>
      <w:r>
        <w:rPr>
          <w:rFonts w:ascii="Times New Roman" w:hAnsi="Times New Roman" w:cs="Times New Roman"/>
          <w:sz w:val="24"/>
          <w:szCs w:val="24"/>
        </w:rPr>
        <w:t>f</w:t>
      </w:r>
      <w:r w:rsidRPr="005A2ACD">
        <w:rPr>
          <w:rFonts w:ascii="Times New Roman" w:hAnsi="Times New Roman" w:cs="Times New Roman"/>
          <w:sz w:val="24"/>
          <w:szCs w:val="24"/>
        </w:rPr>
        <w:t>ellowships</w:t>
      </w:r>
      <w:r>
        <w:rPr>
          <w:rFonts w:ascii="Times New Roman" w:hAnsi="Times New Roman" w:cs="Times New Roman"/>
          <w:sz w:val="24"/>
          <w:szCs w:val="24"/>
        </w:rPr>
        <w:t xml:space="preserve"> awarded to AF by the Center for Urban Environments and School </w:t>
      </w:r>
      <w:r w:rsidRPr="00DA77DA">
        <w:rPr>
          <w:rFonts w:ascii="Times New Roman" w:hAnsi="Times New Roman" w:cs="Times New Roman"/>
          <w:sz w:val="24"/>
          <w:szCs w:val="24"/>
        </w:rPr>
        <w:t xml:space="preserve">of Cities at the University of Toronto, Canada. </w:t>
      </w:r>
    </w:p>
    <w:p w14:paraId="18B8438E" w14:textId="77777777" w:rsidR="00DA77DA" w:rsidRPr="005A2ACD" w:rsidRDefault="00DA77DA" w:rsidP="00DA77DA">
      <w:pPr>
        <w:spacing w:line="480" w:lineRule="auto"/>
        <w:rPr>
          <w:rFonts w:ascii="Times New Roman" w:hAnsi="Times New Roman" w:cs="Times New Roman"/>
          <w:b/>
          <w:bCs/>
          <w:sz w:val="24"/>
          <w:szCs w:val="24"/>
        </w:rPr>
      </w:pPr>
      <w:r w:rsidRPr="005A2ACD">
        <w:rPr>
          <w:rFonts w:ascii="Times New Roman" w:hAnsi="Times New Roman" w:cs="Times New Roman"/>
          <w:b/>
          <w:bCs/>
          <w:sz w:val="24"/>
          <w:szCs w:val="24"/>
        </w:rPr>
        <w:t>Author’s Contributions</w:t>
      </w:r>
    </w:p>
    <w:p w14:paraId="51548AF8" w14:textId="552D2693" w:rsidR="00AC2DF1" w:rsidRDefault="00DA77DA" w:rsidP="00DA77DA">
      <w:pPr>
        <w:spacing w:line="480" w:lineRule="auto"/>
        <w:ind w:firstLine="480"/>
        <w:rPr>
          <w:rFonts w:ascii="Times New Roman" w:hAnsi="Times New Roman" w:cs="Times New Roman"/>
          <w:sz w:val="24"/>
          <w:szCs w:val="24"/>
        </w:rPr>
      </w:pPr>
      <w:r>
        <w:rPr>
          <w:rFonts w:ascii="Times New Roman" w:hAnsi="Times New Roman" w:cs="Times New Roman"/>
          <w:sz w:val="24"/>
          <w:szCs w:val="24"/>
        </w:rPr>
        <w:t xml:space="preserve">All authors participated in the conceptualization of the project, interpretation of the results, and editing of the manuscript. AF and GX developed the methodology and software including all validation and formal analysis. AF was responsible for data curation, presentation of results, and writing the original draft. JSM managed and supervised the project. Funding for the post-doctoral fellowship was acquired by MJ. </w:t>
      </w:r>
    </w:p>
    <w:p w14:paraId="79615484" w14:textId="72E72F91" w:rsidR="00AC2DF1" w:rsidRPr="00AC2DF1" w:rsidRDefault="00AC2DF1" w:rsidP="00AC2DF1">
      <w:pPr>
        <w:widowControl w:val="0"/>
        <w:autoSpaceDE w:val="0"/>
        <w:autoSpaceDN w:val="0"/>
        <w:adjustRightInd w:val="0"/>
        <w:spacing w:line="480" w:lineRule="auto"/>
        <w:ind w:left="480" w:hanging="480"/>
        <w:rPr>
          <w:rFonts w:ascii="Times New Roman" w:hAnsi="Times New Roman" w:cs="Times New Roman"/>
          <w:b/>
          <w:bCs/>
          <w:sz w:val="24"/>
          <w:szCs w:val="24"/>
        </w:rPr>
      </w:pPr>
      <w:r w:rsidRPr="00AC2DF1">
        <w:rPr>
          <w:rFonts w:ascii="Times New Roman" w:hAnsi="Times New Roman" w:cs="Times New Roman"/>
          <w:b/>
          <w:bCs/>
          <w:sz w:val="24"/>
          <w:szCs w:val="24"/>
        </w:rPr>
        <w:lastRenderedPageBreak/>
        <w:t>References</w:t>
      </w:r>
    </w:p>
    <w:p w14:paraId="684758DE" w14:textId="001B5F2F" w:rsidR="001A6359" w:rsidRPr="001A6359" w:rsidRDefault="00AC2DF1"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1A6359" w:rsidRPr="001A6359">
        <w:rPr>
          <w:rFonts w:ascii="Times New Roman" w:hAnsi="Times New Roman" w:cs="Times New Roman"/>
          <w:noProof/>
          <w:sz w:val="24"/>
          <w:szCs w:val="24"/>
        </w:rPr>
        <w:t xml:space="preserve">Baishya, K., &amp; Samalia, H. V. (2019). Factors Influencing Smartphone Adoption: A Study in the Indian Bottom of the Pyramid Context. </w:t>
      </w:r>
      <w:r w:rsidR="001A6359" w:rsidRPr="001A6359">
        <w:rPr>
          <w:rFonts w:ascii="Times New Roman" w:hAnsi="Times New Roman" w:cs="Times New Roman"/>
          <w:i/>
          <w:iCs/>
          <w:noProof/>
          <w:sz w:val="24"/>
          <w:szCs w:val="24"/>
        </w:rPr>
        <w:t>Global Business Review</w:t>
      </w:r>
      <w:r w:rsidR="001A6359" w:rsidRPr="001A6359">
        <w:rPr>
          <w:rFonts w:ascii="Times New Roman" w:hAnsi="Times New Roman" w:cs="Times New Roman"/>
          <w:noProof/>
          <w:sz w:val="24"/>
          <w:szCs w:val="24"/>
        </w:rPr>
        <w:t xml:space="preserve">, </w:t>
      </w:r>
      <w:r w:rsidR="001A6359" w:rsidRPr="001A6359">
        <w:rPr>
          <w:rFonts w:ascii="Times New Roman" w:hAnsi="Times New Roman" w:cs="Times New Roman"/>
          <w:i/>
          <w:iCs/>
          <w:noProof/>
          <w:sz w:val="24"/>
          <w:szCs w:val="24"/>
        </w:rPr>
        <w:t>21</w:t>
      </w:r>
      <w:r w:rsidR="001A6359" w:rsidRPr="001A6359">
        <w:rPr>
          <w:rFonts w:ascii="Times New Roman" w:hAnsi="Times New Roman" w:cs="Times New Roman"/>
          <w:noProof/>
          <w:sz w:val="24"/>
          <w:szCs w:val="24"/>
        </w:rPr>
        <w:t>(6), 1387–1405. doi:10.1177/0972150919856961</w:t>
      </w:r>
    </w:p>
    <w:p w14:paraId="14293091"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Barros, A., Aschero, V., Mazzolari, A., Cavieres, L. A., &amp; Pickering, C. M. (2020). Going off trails: How dispersed visitor use affects alpine vegetation. </w:t>
      </w:r>
      <w:r w:rsidRPr="001A6359">
        <w:rPr>
          <w:rFonts w:ascii="Times New Roman" w:hAnsi="Times New Roman" w:cs="Times New Roman"/>
          <w:i/>
          <w:iCs/>
          <w:noProof/>
          <w:sz w:val="24"/>
          <w:szCs w:val="24"/>
        </w:rPr>
        <w:t>Journal of Environmental Management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267</w:t>
      </w:r>
      <w:r w:rsidRPr="001A6359">
        <w:rPr>
          <w:rFonts w:ascii="Times New Roman" w:hAnsi="Times New Roman" w:cs="Times New Roman"/>
          <w:noProof/>
          <w:sz w:val="24"/>
          <w:szCs w:val="24"/>
        </w:rPr>
        <w:t>, 110546. doi:https://doi.org/10.1016/j.jenvman.2020.110546</w:t>
      </w:r>
    </w:p>
    <w:p w14:paraId="0B38DE15"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Cadotte, M. W., Yasui, S. L. E., Livingstone, S., &amp; MacIvor, J. S. (2017). Are urban systems beneficial, detrimental, or indifferent for biological invasion? </w:t>
      </w:r>
      <w:r w:rsidRPr="001A6359">
        <w:rPr>
          <w:rFonts w:ascii="Times New Roman" w:hAnsi="Times New Roman" w:cs="Times New Roman"/>
          <w:i/>
          <w:iCs/>
          <w:noProof/>
          <w:sz w:val="24"/>
          <w:szCs w:val="24"/>
        </w:rPr>
        <w:t>Biological Invasions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19</w:t>
      </w:r>
      <w:r w:rsidRPr="001A6359">
        <w:rPr>
          <w:rFonts w:ascii="Times New Roman" w:hAnsi="Times New Roman" w:cs="Times New Roman"/>
          <w:noProof/>
          <w:sz w:val="24"/>
          <w:szCs w:val="24"/>
        </w:rPr>
        <w:t>(12), 3489–3503. doi:10.1007/s10530-017-1586-y</w:t>
      </w:r>
    </w:p>
    <w:p w14:paraId="1FAC6FF9"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Callaghan, C. T., Ozeroff, I., Hitchcock, C., &amp; Chandler, M. (2020). Capitalizing on opportunistic citizen science data to monitor urban biodiversity: A multi-taxa framework. </w:t>
      </w:r>
      <w:r w:rsidRPr="001A6359">
        <w:rPr>
          <w:rFonts w:ascii="Times New Roman" w:hAnsi="Times New Roman" w:cs="Times New Roman"/>
          <w:i/>
          <w:iCs/>
          <w:noProof/>
          <w:sz w:val="24"/>
          <w:szCs w:val="24"/>
        </w:rPr>
        <w:t>Biological Conservation</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251</w:t>
      </w:r>
      <w:r w:rsidRPr="001A6359">
        <w:rPr>
          <w:rFonts w:ascii="Times New Roman" w:hAnsi="Times New Roman" w:cs="Times New Roman"/>
          <w:noProof/>
          <w:sz w:val="24"/>
          <w:szCs w:val="24"/>
        </w:rPr>
        <w:t>, 108753. doi:https://doi.org/10.1016/j.biocon.2020.108753</w:t>
      </w:r>
    </w:p>
    <w:p w14:paraId="35505A9B"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CRTR, C. R. and T. C. (2018). </w:t>
      </w:r>
      <w:r w:rsidRPr="001A6359">
        <w:rPr>
          <w:rFonts w:ascii="Times New Roman" w:hAnsi="Times New Roman" w:cs="Times New Roman"/>
          <w:i/>
          <w:iCs/>
          <w:noProof/>
          <w:sz w:val="24"/>
          <w:szCs w:val="24"/>
        </w:rPr>
        <w:t>Communications Monitoring Report</w:t>
      </w:r>
      <w:r w:rsidRPr="001A6359">
        <w:rPr>
          <w:rFonts w:ascii="Times New Roman" w:hAnsi="Times New Roman" w:cs="Times New Roman"/>
          <w:noProof/>
          <w:sz w:val="24"/>
          <w:szCs w:val="24"/>
        </w:rPr>
        <w:t>. Ottawa, Canada. Retrieved from https://crtc.gc.ca/pubs/cmr2018-en.pdf</w:t>
      </w:r>
    </w:p>
    <w:p w14:paraId="66B0BA28"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D’Antonio, A., Monz, C., Newman, P., Lawson, S., &amp; Taff, D. (2013). Enhancing the utility of visitor impact assessment in parks and protected areas: A combined social–ecological approach. </w:t>
      </w:r>
      <w:r w:rsidRPr="001A6359">
        <w:rPr>
          <w:rFonts w:ascii="Times New Roman" w:hAnsi="Times New Roman" w:cs="Times New Roman"/>
          <w:i/>
          <w:iCs/>
          <w:noProof/>
          <w:sz w:val="24"/>
          <w:szCs w:val="24"/>
        </w:rPr>
        <w:t>Journal of Environmental Management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124</w:t>
      </w:r>
      <w:r w:rsidRPr="001A6359">
        <w:rPr>
          <w:rFonts w:ascii="Times New Roman" w:hAnsi="Times New Roman" w:cs="Times New Roman"/>
          <w:noProof/>
          <w:sz w:val="24"/>
          <w:szCs w:val="24"/>
        </w:rPr>
        <w:t>, 72–81. doi:https://doi.org/10.1016/j.jenvman.2013.03.036</w:t>
      </w:r>
    </w:p>
    <w:p w14:paraId="24E2862C"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de Montjoye, Y.-A., Hidalgo, C. A., Verleysen, M., &amp; Blondel, V. D. (2013). Unique in the Crowd: The privacy bounds of human mobility. </w:t>
      </w:r>
      <w:r w:rsidRPr="001A6359">
        <w:rPr>
          <w:rFonts w:ascii="Times New Roman" w:hAnsi="Times New Roman" w:cs="Times New Roman"/>
          <w:i/>
          <w:iCs/>
          <w:noProof/>
          <w:sz w:val="24"/>
          <w:szCs w:val="24"/>
        </w:rPr>
        <w:t>Scientific Reports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3</w:t>
      </w:r>
      <w:r w:rsidRPr="001A6359">
        <w:rPr>
          <w:rFonts w:ascii="Times New Roman" w:hAnsi="Times New Roman" w:cs="Times New Roman"/>
          <w:noProof/>
          <w:sz w:val="24"/>
          <w:szCs w:val="24"/>
        </w:rPr>
        <w:t xml:space="preserve">(1), 1376. </w:t>
      </w:r>
      <w:r w:rsidRPr="001A6359">
        <w:rPr>
          <w:rFonts w:ascii="Times New Roman" w:hAnsi="Times New Roman" w:cs="Times New Roman"/>
          <w:noProof/>
          <w:sz w:val="24"/>
          <w:szCs w:val="24"/>
        </w:rPr>
        <w:lastRenderedPageBreak/>
        <w:t>doi:10.1038/srep01376</w:t>
      </w:r>
    </w:p>
    <w:p w14:paraId="21420035"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Donahue, M. L., Keeler, B. L., Wood, S. A., Fisher, D. M., Hamstead, Z. A., &amp; McPhearson, T. (2018). Using social media to understand drivers of urban park visitation in the Twin Cities, MN. </w:t>
      </w:r>
      <w:r w:rsidRPr="001A6359">
        <w:rPr>
          <w:rFonts w:ascii="Times New Roman" w:hAnsi="Times New Roman" w:cs="Times New Roman"/>
          <w:i/>
          <w:iCs/>
          <w:noProof/>
          <w:sz w:val="24"/>
          <w:szCs w:val="24"/>
        </w:rPr>
        <w:t>Landscape and Urban Planning</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175</w:t>
      </w:r>
      <w:r w:rsidRPr="001A6359">
        <w:rPr>
          <w:rFonts w:ascii="Times New Roman" w:hAnsi="Times New Roman" w:cs="Times New Roman"/>
          <w:noProof/>
          <w:sz w:val="24"/>
          <w:szCs w:val="24"/>
        </w:rPr>
        <w:t>, 1–10. doi:https://doi.org/10.1016/j.landurbplan.2018.02.006</w:t>
      </w:r>
    </w:p>
    <w:p w14:paraId="7C0EA9E5"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Filazzola, A., &amp; Cahill Jr, J. F. (2021). Replication in field ecology: Identifying challenges and proposing solutions. </w:t>
      </w:r>
      <w:r w:rsidRPr="001A6359">
        <w:rPr>
          <w:rFonts w:ascii="Times New Roman" w:hAnsi="Times New Roman" w:cs="Times New Roman"/>
          <w:i/>
          <w:iCs/>
          <w:noProof/>
          <w:sz w:val="24"/>
          <w:szCs w:val="24"/>
        </w:rPr>
        <w:t>Methods in Ecology and Evolution</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12</w:t>
      </w:r>
      <w:r w:rsidRPr="001A6359">
        <w:rPr>
          <w:rFonts w:ascii="Times New Roman" w:hAnsi="Times New Roman" w:cs="Times New Roman"/>
          <w:noProof/>
          <w:sz w:val="24"/>
          <w:szCs w:val="24"/>
        </w:rPr>
        <w:t>(10), 1780–1792. doi:https://doi.org/10.1111/2041-210X.13657</w:t>
      </w:r>
    </w:p>
    <w:p w14:paraId="5998C2AE"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Filazzola, A., Tanentzap, A. J., &amp; Bazely, D. R. (2014). Estimating the impacts of browsers on forest understories using a modified index of community composition. </w:t>
      </w:r>
      <w:r w:rsidRPr="001A6359">
        <w:rPr>
          <w:rFonts w:ascii="Times New Roman" w:hAnsi="Times New Roman" w:cs="Times New Roman"/>
          <w:i/>
          <w:iCs/>
          <w:noProof/>
          <w:sz w:val="24"/>
          <w:szCs w:val="24"/>
        </w:rPr>
        <w:t>Forest Ecology and Management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313</w:t>
      </w:r>
      <w:r w:rsidRPr="001A6359">
        <w:rPr>
          <w:rFonts w:ascii="Times New Roman" w:hAnsi="Times New Roman" w:cs="Times New Roman"/>
          <w:noProof/>
          <w:sz w:val="24"/>
          <w:szCs w:val="24"/>
        </w:rPr>
        <w:t>, 10–16.</w:t>
      </w:r>
    </w:p>
    <w:p w14:paraId="54717D3A"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Frelich, L. E., &amp; Lorimer, C. G. (1991). Natural disturbance regimes in hemlock-hardwood forests of the upper Great Lakes region. </w:t>
      </w:r>
      <w:r w:rsidRPr="001A6359">
        <w:rPr>
          <w:rFonts w:ascii="Times New Roman" w:hAnsi="Times New Roman" w:cs="Times New Roman"/>
          <w:i/>
          <w:iCs/>
          <w:noProof/>
          <w:sz w:val="24"/>
          <w:szCs w:val="24"/>
        </w:rPr>
        <w:t>Ecological Monographs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61</w:t>
      </w:r>
      <w:r w:rsidRPr="001A6359">
        <w:rPr>
          <w:rFonts w:ascii="Times New Roman" w:hAnsi="Times New Roman" w:cs="Times New Roman"/>
          <w:noProof/>
          <w:sz w:val="24"/>
          <w:szCs w:val="24"/>
        </w:rPr>
        <w:t>(2), 145–164.</w:t>
      </w:r>
    </w:p>
    <w:p w14:paraId="20DE091E"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Frick, J., Degenhardt, B., Buchecker, M., &amp; others. (2007). Predicting local residents’ use of nearby outdoor recreation areas through quality perceptions and recreational expectations. </w:t>
      </w:r>
      <w:r w:rsidRPr="001A6359">
        <w:rPr>
          <w:rFonts w:ascii="Times New Roman" w:hAnsi="Times New Roman" w:cs="Times New Roman"/>
          <w:i/>
          <w:iCs/>
          <w:noProof/>
          <w:sz w:val="24"/>
          <w:szCs w:val="24"/>
        </w:rPr>
        <w:t>Forest Snow and Landscape Research</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81</w:t>
      </w:r>
      <w:r w:rsidRPr="001A6359">
        <w:rPr>
          <w:rFonts w:ascii="Times New Roman" w:hAnsi="Times New Roman" w:cs="Times New Roman"/>
          <w:noProof/>
          <w:sz w:val="24"/>
          <w:szCs w:val="24"/>
        </w:rPr>
        <w:t>(1–2), 31–41.</w:t>
      </w:r>
    </w:p>
    <w:p w14:paraId="01107EB9"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Grzyb, T., Kulczyk, S., Derek, M., &amp; Woźniak, E. (2021). Using social media to assess recreation across urban green spaces in times of abrupt change. </w:t>
      </w:r>
      <w:r w:rsidRPr="001A6359">
        <w:rPr>
          <w:rFonts w:ascii="Times New Roman" w:hAnsi="Times New Roman" w:cs="Times New Roman"/>
          <w:i/>
          <w:iCs/>
          <w:noProof/>
          <w:sz w:val="24"/>
          <w:szCs w:val="24"/>
        </w:rPr>
        <w:t>Ecosystem Services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49</w:t>
      </w:r>
      <w:r w:rsidRPr="001A6359">
        <w:rPr>
          <w:rFonts w:ascii="Times New Roman" w:hAnsi="Times New Roman" w:cs="Times New Roman"/>
          <w:noProof/>
          <w:sz w:val="24"/>
          <w:szCs w:val="24"/>
        </w:rPr>
        <w:t>, 101297. doi:https://doi.org/10.1016/j.ecoser.2021.101297</w:t>
      </w:r>
    </w:p>
    <w:p w14:paraId="70DA22DF"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Gstaettner, A. M., Kobryn, H. T., Rodger, K., Phillips, M., &amp; Lee, D. (2019). Monitoring visitor injury in protected areas - analysis of incident reporting in two Western Australian parks. </w:t>
      </w:r>
      <w:r w:rsidRPr="001A6359">
        <w:rPr>
          <w:rFonts w:ascii="Times New Roman" w:hAnsi="Times New Roman" w:cs="Times New Roman"/>
          <w:i/>
          <w:iCs/>
          <w:noProof/>
          <w:sz w:val="24"/>
          <w:szCs w:val="24"/>
        </w:rPr>
        <w:lastRenderedPageBreak/>
        <w:t>Journal of Outdoor Recreation and Tourism</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25</w:t>
      </w:r>
      <w:r w:rsidRPr="001A6359">
        <w:rPr>
          <w:rFonts w:ascii="Times New Roman" w:hAnsi="Times New Roman" w:cs="Times New Roman"/>
          <w:noProof/>
          <w:sz w:val="24"/>
          <w:szCs w:val="24"/>
        </w:rPr>
        <w:t>, 143–157. doi:https://doi.org/10.1016/j.jort.2018.04.002</w:t>
      </w:r>
    </w:p>
    <w:p w14:paraId="7B78B088"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Home, R., Hunziker, M., &amp; Bauer, N. (2012). Psychosocial outcomes as motivations for visiting nearby urban green spaces. </w:t>
      </w:r>
      <w:r w:rsidRPr="001A6359">
        <w:rPr>
          <w:rFonts w:ascii="Times New Roman" w:hAnsi="Times New Roman" w:cs="Times New Roman"/>
          <w:i/>
          <w:iCs/>
          <w:noProof/>
          <w:sz w:val="24"/>
          <w:szCs w:val="24"/>
        </w:rPr>
        <w:t>Leisure Sciences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34</w:t>
      </w:r>
      <w:r w:rsidRPr="001A6359">
        <w:rPr>
          <w:rFonts w:ascii="Times New Roman" w:hAnsi="Times New Roman" w:cs="Times New Roman"/>
          <w:noProof/>
          <w:sz w:val="24"/>
          <w:szCs w:val="24"/>
        </w:rPr>
        <w:t>(4), 350–365.</w:t>
      </w:r>
    </w:p>
    <w:p w14:paraId="60194FF5"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Jim, C. Y., &amp; Chen, W. Y. (2006). Recreation–amenity use and contingent valuation of urban greenspaces in Guangzhou, China. </w:t>
      </w:r>
      <w:r w:rsidRPr="001A6359">
        <w:rPr>
          <w:rFonts w:ascii="Times New Roman" w:hAnsi="Times New Roman" w:cs="Times New Roman"/>
          <w:i/>
          <w:iCs/>
          <w:noProof/>
          <w:sz w:val="24"/>
          <w:szCs w:val="24"/>
        </w:rPr>
        <w:t>Landscape and Urban Planning</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75</w:t>
      </w:r>
      <w:r w:rsidRPr="001A6359">
        <w:rPr>
          <w:rFonts w:ascii="Times New Roman" w:hAnsi="Times New Roman" w:cs="Times New Roman"/>
          <w:noProof/>
          <w:sz w:val="24"/>
          <w:szCs w:val="24"/>
        </w:rPr>
        <w:t>(1), 81–96. doi:https://doi.org/10.1016/j.landurbplan.2004.08.008</w:t>
      </w:r>
    </w:p>
    <w:p w14:paraId="461D6244"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Jimenez, M. F., Pejchar, L., &amp; Reed, S. E. (2021). Tradeoffs of using place-based community science for urban biodiversity monitoring. </w:t>
      </w:r>
      <w:r w:rsidRPr="001A6359">
        <w:rPr>
          <w:rFonts w:ascii="Times New Roman" w:hAnsi="Times New Roman" w:cs="Times New Roman"/>
          <w:i/>
          <w:iCs/>
          <w:noProof/>
          <w:sz w:val="24"/>
          <w:szCs w:val="24"/>
        </w:rPr>
        <w:t>Conservation Science and Practice</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3</w:t>
      </w:r>
      <w:r w:rsidRPr="001A6359">
        <w:rPr>
          <w:rFonts w:ascii="Times New Roman" w:hAnsi="Times New Roman" w:cs="Times New Roman"/>
          <w:noProof/>
          <w:sz w:val="24"/>
          <w:szCs w:val="24"/>
        </w:rPr>
        <w:t>(2), e338.</w:t>
      </w:r>
    </w:p>
    <w:p w14:paraId="704F92A2"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Lee, A. C. K., &amp; Maheswaran, R. (2011). The health benefits of urban green spaces: a review of the evidence. </w:t>
      </w:r>
      <w:r w:rsidRPr="001A6359">
        <w:rPr>
          <w:rFonts w:ascii="Times New Roman" w:hAnsi="Times New Roman" w:cs="Times New Roman"/>
          <w:i/>
          <w:iCs/>
          <w:noProof/>
          <w:sz w:val="24"/>
          <w:szCs w:val="24"/>
        </w:rPr>
        <w:t>Journal of Public Health</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33</w:t>
      </w:r>
      <w:r w:rsidRPr="001A6359">
        <w:rPr>
          <w:rFonts w:ascii="Times New Roman" w:hAnsi="Times New Roman" w:cs="Times New Roman"/>
          <w:noProof/>
          <w:sz w:val="24"/>
          <w:szCs w:val="24"/>
        </w:rPr>
        <w:t>(2), 212–222. doi:10.1093/pubmed/fdq068</w:t>
      </w:r>
    </w:p>
    <w:p w14:paraId="37B93914"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Legendre, P., Oksanen, J., &amp; ter Braak, C. J. F. (2011). Testing the significance of canonical axes in redundancy analysis. </w:t>
      </w:r>
      <w:r w:rsidRPr="001A6359">
        <w:rPr>
          <w:rFonts w:ascii="Times New Roman" w:hAnsi="Times New Roman" w:cs="Times New Roman"/>
          <w:i/>
          <w:iCs/>
          <w:noProof/>
          <w:sz w:val="24"/>
          <w:szCs w:val="24"/>
        </w:rPr>
        <w:t>Methods in Ecology and Evolution</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w:t>
      </w:r>
      <w:r w:rsidRPr="001A6359">
        <w:rPr>
          <w:rFonts w:ascii="Times New Roman" w:hAnsi="Times New Roman" w:cs="Times New Roman"/>
          <w:noProof/>
          <w:sz w:val="24"/>
          <w:szCs w:val="24"/>
        </w:rPr>
        <w:t>(3), 269–277. doi:https://doi.org/10.1111/j.2041-210X.2010.00078.x</w:t>
      </w:r>
    </w:p>
    <w:p w14:paraId="57CF8137"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Lin, K., Kansal, A., Lymberopoulos, D., &amp; Zhao, F. (2010). Energy-accuracy aware localization for mobile devices. In </w:t>
      </w:r>
      <w:r w:rsidRPr="001A6359">
        <w:rPr>
          <w:rFonts w:ascii="Times New Roman" w:hAnsi="Times New Roman" w:cs="Times New Roman"/>
          <w:i/>
          <w:iCs/>
          <w:noProof/>
          <w:sz w:val="24"/>
          <w:szCs w:val="24"/>
        </w:rPr>
        <w:t>Proceedings of 8th International Conference on Mobile Systems, Applications, and Services (MobiSys’ 10)</w:t>
      </w:r>
      <w:r w:rsidRPr="001A6359">
        <w:rPr>
          <w:rFonts w:ascii="Times New Roman" w:hAnsi="Times New Roman" w:cs="Times New Roman"/>
          <w:noProof/>
          <w:sz w:val="24"/>
          <w:szCs w:val="24"/>
        </w:rPr>
        <w:t>.</w:t>
      </w:r>
    </w:p>
    <w:p w14:paraId="4E9D09B9"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Lynn, N. A., &amp; Brown, R. D. (2003). Effects of recreational use impacts on hiking experiences in natural areas. </w:t>
      </w:r>
      <w:r w:rsidRPr="001A6359">
        <w:rPr>
          <w:rFonts w:ascii="Times New Roman" w:hAnsi="Times New Roman" w:cs="Times New Roman"/>
          <w:i/>
          <w:iCs/>
          <w:noProof/>
          <w:sz w:val="24"/>
          <w:szCs w:val="24"/>
        </w:rPr>
        <w:t>Landscape and Urban Planning</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64</w:t>
      </w:r>
      <w:r w:rsidRPr="001A6359">
        <w:rPr>
          <w:rFonts w:ascii="Times New Roman" w:hAnsi="Times New Roman" w:cs="Times New Roman"/>
          <w:noProof/>
          <w:sz w:val="24"/>
          <w:szCs w:val="24"/>
        </w:rPr>
        <w:t>(1), 77–87. doi:https://doi.org/10.1016/S0169-2046(02)00202-5</w:t>
      </w:r>
    </w:p>
    <w:p w14:paraId="798AE9E0"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Marion, J. L. (2016). A Review and Synthesis of Recreation Ecology Research Supporting </w:t>
      </w:r>
      <w:r w:rsidRPr="001A6359">
        <w:rPr>
          <w:rFonts w:ascii="Times New Roman" w:hAnsi="Times New Roman" w:cs="Times New Roman"/>
          <w:noProof/>
          <w:sz w:val="24"/>
          <w:szCs w:val="24"/>
        </w:rPr>
        <w:lastRenderedPageBreak/>
        <w:t xml:space="preserve">Carrying Capacity and Visitor Use Management Decisionmaking. </w:t>
      </w:r>
      <w:r w:rsidRPr="001A6359">
        <w:rPr>
          <w:rFonts w:ascii="Times New Roman" w:hAnsi="Times New Roman" w:cs="Times New Roman"/>
          <w:i/>
          <w:iCs/>
          <w:noProof/>
          <w:sz w:val="24"/>
          <w:szCs w:val="24"/>
        </w:rPr>
        <w:t>Journal of Forestry</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114</w:t>
      </w:r>
      <w:r w:rsidRPr="001A6359">
        <w:rPr>
          <w:rFonts w:ascii="Times New Roman" w:hAnsi="Times New Roman" w:cs="Times New Roman"/>
          <w:noProof/>
          <w:sz w:val="24"/>
          <w:szCs w:val="24"/>
        </w:rPr>
        <w:t>(3), 339–351. doi:10.5849/jof.15-062</w:t>
      </w:r>
    </w:p>
    <w:p w14:paraId="613B3740"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Mason, S., Newsome, D., Moore, S., &amp; Admiraal, R. (2015). Recreational trampling negatively impacts vegetation structure of an Australian biodiversity hotspot. </w:t>
      </w:r>
      <w:r w:rsidRPr="001A6359">
        <w:rPr>
          <w:rFonts w:ascii="Times New Roman" w:hAnsi="Times New Roman" w:cs="Times New Roman"/>
          <w:i/>
          <w:iCs/>
          <w:noProof/>
          <w:sz w:val="24"/>
          <w:szCs w:val="24"/>
        </w:rPr>
        <w:t>Biodiversity and Conservation</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24</w:t>
      </w:r>
      <w:r w:rsidRPr="001A6359">
        <w:rPr>
          <w:rFonts w:ascii="Times New Roman" w:hAnsi="Times New Roman" w:cs="Times New Roman"/>
          <w:noProof/>
          <w:sz w:val="24"/>
          <w:szCs w:val="24"/>
        </w:rPr>
        <w:t>(11), 2685–2707. doi:10.1007/s10531-015-0957-x</w:t>
      </w:r>
    </w:p>
    <w:p w14:paraId="37C37C46"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McDonnell, M. J., Pickett, S. T. A., Groffman, P., Bohlen, P., Pouyat, R. V, Zipperer, W. C., … Medley, K. (2008). Ecosystem Processes Along an Urban-to-Rural Gradient BT  - Urban Ecology: An International Perspective on the Interaction Between Humans and Nature. In J. M. Marzluff, E. Shulenberger, W. Endlicher, M. Alberti, G. Bradley, C. Ryan, … C. ZumBrunnen (Eds.) (pp. 299–313). Boston, MA: Springer US. doi:10.1007/978-0-387-73412-5_18</w:t>
      </w:r>
    </w:p>
    <w:p w14:paraId="61836417"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Metzger, F. T. (1990). Ostrya virginiana (Mill.) K. Koch: eastern hophornbeam. </w:t>
      </w:r>
      <w:r w:rsidRPr="001A6359">
        <w:rPr>
          <w:rFonts w:ascii="Times New Roman" w:hAnsi="Times New Roman" w:cs="Times New Roman"/>
          <w:i/>
          <w:iCs/>
          <w:noProof/>
          <w:sz w:val="24"/>
          <w:szCs w:val="24"/>
        </w:rPr>
        <w:t>RM Burns and B. H. Honkala, Technical Coordinators. Silvics of North America. USDA Forest Service, Washington, DC, USA</w:t>
      </w:r>
      <w:r w:rsidRPr="001A6359">
        <w:rPr>
          <w:rFonts w:ascii="Times New Roman" w:hAnsi="Times New Roman" w:cs="Times New Roman"/>
          <w:noProof/>
          <w:sz w:val="24"/>
          <w:szCs w:val="24"/>
        </w:rPr>
        <w:t>, 490–496.</w:t>
      </w:r>
    </w:p>
    <w:p w14:paraId="08A3BE52"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Nations, U. (2015). Transforming our world: the 2030 Agenda for Sustainable Development.</w:t>
      </w:r>
    </w:p>
    <w:p w14:paraId="0CC8FBDA"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Nepal, S. K., &amp; Way, P. (2007). Comparison of vegetation conditions along two backcountry trails in Mount Robson Provincial Park, British Columbia (Canada). </w:t>
      </w:r>
      <w:r w:rsidRPr="001A6359">
        <w:rPr>
          <w:rFonts w:ascii="Times New Roman" w:hAnsi="Times New Roman" w:cs="Times New Roman"/>
          <w:i/>
          <w:iCs/>
          <w:noProof/>
          <w:sz w:val="24"/>
          <w:szCs w:val="24"/>
        </w:rPr>
        <w:t>Journal of Environmental Management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82</w:t>
      </w:r>
      <w:r w:rsidRPr="001A6359">
        <w:rPr>
          <w:rFonts w:ascii="Times New Roman" w:hAnsi="Times New Roman" w:cs="Times New Roman"/>
          <w:noProof/>
          <w:sz w:val="24"/>
          <w:szCs w:val="24"/>
        </w:rPr>
        <w:t>(2), 240–249. doi:https://doi.org/10.1016/j.jenvman.2005.12.016</w:t>
      </w:r>
    </w:p>
    <w:p w14:paraId="1572862E"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Newsome, D., Dowling, R., &amp; Leung, Y.-F. (2012). The nature and management of geotourism: A case study of two established iconic geotourism destinations. </w:t>
      </w:r>
      <w:r w:rsidRPr="001A6359">
        <w:rPr>
          <w:rFonts w:ascii="Times New Roman" w:hAnsi="Times New Roman" w:cs="Times New Roman"/>
          <w:i/>
          <w:iCs/>
          <w:noProof/>
          <w:sz w:val="24"/>
          <w:szCs w:val="24"/>
        </w:rPr>
        <w:t>Tourism Management Perspectives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w:t>
      </w:r>
      <w:r w:rsidRPr="001A6359">
        <w:rPr>
          <w:rFonts w:ascii="Times New Roman" w:hAnsi="Times New Roman" w:cs="Times New Roman"/>
          <w:noProof/>
          <w:sz w:val="24"/>
          <w:szCs w:val="24"/>
        </w:rPr>
        <w:t>–</w:t>
      </w:r>
      <w:r w:rsidRPr="001A6359">
        <w:rPr>
          <w:rFonts w:ascii="Times New Roman" w:hAnsi="Times New Roman" w:cs="Times New Roman"/>
          <w:i/>
          <w:iCs/>
          <w:noProof/>
          <w:sz w:val="24"/>
          <w:szCs w:val="24"/>
        </w:rPr>
        <w:t>3</w:t>
      </w:r>
      <w:r w:rsidRPr="001A6359">
        <w:rPr>
          <w:rFonts w:ascii="Times New Roman" w:hAnsi="Times New Roman" w:cs="Times New Roman"/>
          <w:noProof/>
          <w:sz w:val="24"/>
          <w:szCs w:val="24"/>
        </w:rPr>
        <w:t>, 19–27. doi:https://doi.org/10.1016/j.tmp.2011.12.009</w:t>
      </w:r>
    </w:p>
    <w:p w14:paraId="65925E16"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lastRenderedPageBreak/>
        <w:t xml:space="preserve">Nutsford, D., Pearson, A. L., &amp; Kingham, S. (2013). An ecological study investigating the association between access to urban green space and mental health. </w:t>
      </w:r>
      <w:r w:rsidRPr="001A6359">
        <w:rPr>
          <w:rFonts w:ascii="Times New Roman" w:hAnsi="Times New Roman" w:cs="Times New Roman"/>
          <w:i/>
          <w:iCs/>
          <w:noProof/>
          <w:sz w:val="24"/>
          <w:szCs w:val="24"/>
        </w:rPr>
        <w:t>Public Health</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127</w:t>
      </w:r>
      <w:r w:rsidRPr="001A6359">
        <w:rPr>
          <w:rFonts w:ascii="Times New Roman" w:hAnsi="Times New Roman" w:cs="Times New Roman"/>
          <w:noProof/>
          <w:sz w:val="24"/>
          <w:szCs w:val="24"/>
        </w:rPr>
        <w:t>(11), 1005–1011. doi:https://doi.org/10.1016/j.puhe.2013.08.016</w:t>
      </w:r>
    </w:p>
    <w:p w14:paraId="3B3067DB"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Obile, W. (2016). Ericsson mobility report. </w:t>
      </w:r>
      <w:r w:rsidRPr="001A6359">
        <w:rPr>
          <w:rFonts w:ascii="Times New Roman" w:hAnsi="Times New Roman" w:cs="Times New Roman"/>
          <w:i/>
          <w:iCs/>
          <w:noProof/>
          <w:sz w:val="24"/>
          <w:szCs w:val="24"/>
        </w:rPr>
        <w:t>Nov</w:t>
      </w:r>
      <w:r w:rsidRPr="001A6359">
        <w:rPr>
          <w:rFonts w:ascii="Times New Roman" w:hAnsi="Times New Roman" w:cs="Times New Roman"/>
          <w:noProof/>
          <w:sz w:val="24"/>
          <w:szCs w:val="24"/>
        </w:rPr>
        <w:t>.</w:t>
      </w:r>
    </w:p>
    <w:p w14:paraId="4B0D0BAF"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R Core Team. (2019). R: A language and environment for statistical computing. </w:t>
      </w:r>
      <w:r w:rsidRPr="001A6359">
        <w:rPr>
          <w:rFonts w:ascii="Times New Roman" w:hAnsi="Times New Roman" w:cs="Times New Roman"/>
          <w:i/>
          <w:iCs/>
          <w:noProof/>
          <w:sz w:val="24"/>
          <w:szCs w:val="24"/>
        </w:rPr>
        <w:t>R Foundation for Statistical Computing, Vienna, Austria</w:t>
      </w:r>
      <w:r w:rsidRPr="001A6359">
        <w:rPr>
          <w:rFonts w:ascii="Times New Roman" w:hAnsi="Times New Roman" w:cs="Times New Roman"/>
          <w:noProof/>
          <w:sz w:val="24"/>
          <w:szCs w:val="24"/>
        </w:rPr>
        <w:t>, URL https://www.R-project.org/.</w:t>
      </w:r>
    </w:p>
    <w:p w14:paraId="4E860B38"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Riahi, K., van Vuuren, D. P., Kriegler, E., Edmonds, J., O’Neill, B. C., Fujimori, S., … Tavoni, M. (2017). The Shared Socioeconomic Pathways and their energy, land use, and greenhouse gas emissions implications: An overview. </w:t>
      </w:r>
      <w:r w:rsidRPr="001A6359">
        <w:rPr>
          <w:rFonts w:ascii="Times New Roman" w:hAnsi="Times New Roman" w:cs="Times New Roman"/>
          <w:i/>
          <w:iCs/>
          <w:noProof/>
          <w:sz w:val="24"/>
          <w:szCs w:val="24"/>
        </w:rPr>
        <w:t>Global Environmental Change</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42</w:t>
      </w:r>
      <w:r w:rsidRPr="001A6359">
        <w:rPr>
          <w:rFonts w:ascii="Times New Roman" w:hAnsi="Times New Roman" w:cs="Times New Roman"/>
          <w:noProof/>
          <w:sz w:val="24"/>
          <w:szCs w:val="24"/>
        </w:rPr>
        <w:t>, 153–168. doi:https://doi.org/10.1016/j.gloenvcha.2016.05.009</w:t>
      </w:r>
    </w:p>
    <w:p w14:paraId="07694A99"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Rice, W. L., Mateer, T. J., Reigner, N., Newman, P., Lawhon, B., &amp; Taff, B. D. (2020). Changes in recreational behaviors of outdoor enthusiasts during the COVID-19 pandemic: analysis across urban and rural communities. </w:t>
      </w:r>
      <w:r w:rsidRPr="001A6359">
        <w:rPr>
          <w:rFonts w:ascii="Times New Roman" w:hAnsi="Times New Roman" w:cs="Times New Roman"/>
          <w:i/>
          <w:iCs/>
          <w:noProof/>
          <w:sz w:val="24"/>
          <w:szCs w:val="24"/>
        </w:rPr>
        <w:t>Journal of Urban Ecology</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6</w:t>
      </w:r>
      <w:r w:rsidRPr="001A6359">
        <w:rPr>
          <w:rFonts w:ascii="Times New Roman" w:hAnsi="Times New Roman" w:cs="Times New Roman"/>
          <w:noProof/>
          <w:sz w:val="24"/>
          <w:szCs w:val="24"/>
        </w:rPr>
        <w:t>(1), juaa020. doi:10.1093/jue/juaa020</w:t>
      </w:r>
    </w:p>
    <w:p w14:paraId="6D5F8E98"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Rossi, S. D., Byrne, J. A., Pickering, C. M., &amp; Reser, J. (2015). ‘Seeing red’ in national parks: How visitors’ values affect perceptions and park experiences. </w:t>
      </w:r>
      <w:r w:rsidRPr="001A6359">
        <w:rPr>
          <w:rFonts w:ascii="Times New Roman" w:hAnsi="Times New Roman" w:cs="Times New Roman"/>
          <w:i/>
          <w:iCs/>
          <w:noProof/>
          <w:sz w:val="24"/>
          <w:szCs w:val="24"/>
        </w:rPr>
        <w:t>Geoforum</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66</w:t>
      </w:r>
      <w:r w:rsidRPr="001A6359">
        <w:rPr>
          <w:rFonts w:ascii="Times New Roman" w:hAnsi="Times New Roman" w:cs="Times New Roman"/>
          <w:noProof/>
          <w:sz w:val="24"/>
          <w:szCs w:val="24"/>
        </w:rPr>
        <w:t>, 41–52. doi:https://doi.org/10.1016/j.geoforum.2015.09.009</w:t>
      </w:r>
    </w:p>
    <w:p w14:paraId="05EE5435"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Shochat, E., Lerman, S. B., Anderies, J. M., Warren, P. S., Faeth, S. H., &amp; Nilon, C. H. (2010). Invasion, Competition, and Biodiversity Loss in Urban Ecosystems. </w:t>
      </w:r>
      <w:r w:rsidRPr="001A6359">
        <w:rPr>
          <w:rFonts w:ascii="Times New Roman" w:hAnsi="Times New Roman" w:cs="Times New Roman"/>
          <w:i/>
          <w:iCs/>
          <w:noProof/>
          <w:sz w:val="24"/>
          <w:szCs w:val="24"/>
        </w:rPr>
        <w:t>BioScience</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60</w:t>
      </w:r>
      <w:r w:rsidRPr="001A6359">
        <w:rPr>
          <w:rFonts w:ascii="Times New Roman" w:hAnsi="Times New Roman" w:cs="Times New Roman"/>
          <w:noProof/>
          <w:sz w:val="24"/>
          <w:szCs w:val="24"/>
        </w:rPr>
        <w:t>(3), 199–208. doi:10.1525/bio.2010.60.3.6</w:t>
      </w:r>
    </w:p>
    <w:p w14:paraId="232139D1"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Sinclair, M., Mayer, M., Woltering, M., &amp; Ghermandi, A. (2020). Using social media to estimate </w:t>
      </w:r>
      <w:r w:rsidRPr="001A6359">
        <w:rPr>
          <w:rFonts w:ascii="Times New Roman" w:hAnsi="Times New Roman" w:cs="Times New Roman"/>
          <w:noProof/>
          <w:sz w:val="24"/>
          <w:szCs w:val="24"/>
        </w:rPr>
        <w:lastRenderedPageBreak/>
        <w:t xml:space="preserve">visitor provenance and patterns of recreation in Germany’s national parks. </w:t>
      </w:r>
      <w:r w:rsidRPr="001A6359">
        <w:rPr>
          <w:rFonts w:ascii="Times New Roman" w:hAnsi="Times New Roman" w:cs="Times New Roman"/>
          <w:i/>
          <w:iCs/>
          <w:noProof/>
          <w:sz w:val="24"/>
          <w:szCs w:val="24"/>
        </w:rPr>
        <w:t>Journal of Environmental Management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263</w:t>
      </w:r>
      <w:r w:rsidRPr="001A6359">
        <w:rPr>
          <w:rFonts w:ascii="Times New Roman" w:hAnsi="Times New Roman" w:cs="Times New Roman"/>
          <w:noProof/>
          <w:sz w:val="24"/>
          <w:szCs w:val="24"/>
        </w:rPr>
        <w:t>, 110418. doi:https://doi.org/10.1016/j.jenvman.2020.110418</w:t>
      </w:r>
    </w:p>
    <w:p w14:paraId="4CB3C21E"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Tanentzap, A. J., Bazely, D. R., Koh, S., Timciska, M., Haggith, E. G., Carleton, T. J., &amp; Coomes, D. A. (2011). Seeing the forest for the deer: Do reductions in deer-disturbance lead to forest recovery? </w:t>
      </w:r>
      <w:r w:rsidRPr="001A6359">
        <w:rPr>
          <w:rFonts w:ascii="Times New Roman" w:hAnsi="Times New Roman" w:cs="Times New Roman"/>
          <w:i/>
          <w:iCs/>
          <w:noProof/>
          <w:sz w:val="24"/>
          <w:szCs w:val="24"/>
        </w:rPr>
        <w:t>Biological Conservation</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144</w:t>
      </w:r>
      <w:r w:rsidRPr="001A6359">
        <w:rPr>
          <w:rFonts w:ascii="Times New Roman" w:hAnsi="Times New Roman" w:cs="Times New Roman"/>
          <w:noProof/>
          <w:sz w:val="24"/>
          <w:szCs w:val="24"/>
        </w:rPr>
        <w:t>(1), 376–382. doi:https://doi.org/10.1016/j.biocon.2010.09.015</w:t>
      </w:r>
    </w:p>
    <w:p w14:paraId="272AE5C5"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Tenkanen, H., Di Minin, E., Heikinheimo, V., Hausmann, A., Herbst, M., Kajala, L., &amp; Toivonen, T. (2017). Instagram, Flickr, or Twitter: Assessing the usability of social media data for visitor monitoring in protected areas. </w:t>
      </w:r>
      <w:r w:rsidRPr="001A6359">
        <w:rPr>
          <w:rFonts w:ascii="Times New Roman" w:hAnsi="Times New Roman" w:cs="Times New Roman"/>
          <w:i/>
          <w:iCs/>
          <w:noProof/>
          <w:sz w:val="24"/>
          <w:szCs w:val="24"/>
        </w:rPr>
        <w:t>Scientific Reports</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7</w:t>
      </w:r>
      <w:r w:rsidRPr="001A6359">
        <w:rPr>
          <w:rFonts w:ascii="Times New Roman" w:hAnsi="Times New Roman" w:cs="Times New Roman"/>
          <w:noProof/>
          <w:sz w:val="24"/>
          <w:szCs w:val="24"/>
        </w:rPr>
        <w:t>(1), 17615. doi:10.1038/s41598-017-18007-4</w:t>
      </w:r>
    </w:p>
    <w:p w14:paraId="33BD8D7C"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Tomczyk, A. M. (2011). A GIS assessment and modelling of environmental sensitivity of recreational trails: The case of Gorce National Park, Poland. </w:t>
      </w:r>
      <w:r w:rsidRPr="001A6359">
        <w:rPr>
          <w:rFonts w:ascii="Times New Roman" w:hAnsi="Times New Roman" w:cs="Times New Roman"/>
          <w:i/>
          <w:iCs/>
          <w:noProof/>
          <w:sz w:val="24"/>
          <w:szCs w:val="24"/>
        </w:rPr>
        <w:t>Applied Geography</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31</w:t>
      </w:r>
      <w:r w:rsidRPr="001A6359">
        <w:rPr>
          <w:rFonts w:ascii="Times New Roman" w:hAnsi="Times New Roman" w:cs="Times New Roman"/>
          <w:noProof/>
          <w:sz w:val="24"/>
          <w:szCs w:val="24"/>
        </w:rPr>
        <w:t>(1), 339–351. doi:https://doi.org/10.1016/j.apgeog.2010.07.006</w:t>
      </w:r>
    </w:p>
    <w:p w14:paraId="09E99C80"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UnitedNations. (2015). Mapping the risk-utility landscape: mobile data for sustainable development and humanitarian action. </w:t>
      </w:r>
      <w:r w:rsidRPr="001A6359">
        <w:rPr>
          <w:rFonts w:ascii="Times New Roman" w:hAnsi="Times New Roman" w:cs="Times New Roman"/>
          <w:i/>
          <w:iCs/>
          <w:noProof/>
          <w:sz w:val="24"/>
          <w:szCs w:val="24"/>
        </w:rPr>
        <w:t>Global Pulse Project Series No18</w:t>
      </w:r>
      <w:r w:rsidRPr="001A6359">
        <w:rPr>
          <w:rFonts w:ascii="Times New Roman" w:hAnsi="Times New Roman" w:cs="Times New Roman"/>
          <w:noProof/>
          <w:sz w:val="24"/>
          <w:szCs w:val="24"/>
        </w:rPr>
        <w:t>.</w:t>
      </w:r>
    </w:p>
    <w:p w14:paraId="622594CB"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van Biljon, J., &amp; Kotzé, P. (2007). Modelling the Factors That Influence Mobile Phone Adoption. In </w:t>
      </w:r>
      <w:r w:rsidRPr="001A6359">
        <w:rPr>
          <w:rFonts w:ascii="Times New Roman" w:hAnsi="Times New Roman" w:cs="Times New Roman"/>
          <w:i/>
          <w:iCs/>
          <w:noProof/>
          <w:sz w:val="24"/>
          <w:szCs w:val="24"/>
        </w:rPr>
        <w:t>Proceedings of the 2007 Annual Research Conference of the South African Institute of Computer Scientists and Information Technologists on IT Research in Developing Countries</w:t>
      </w:r>
      <w:r w:rsidRPr="001A6359">
        <w:rPr>
          <w:rFonts w:ascii="Times New Roman" w:hAnsi="Times New Roman" w:cs="Times New Roman"/>
          <w:noProof/>
          <w:sz w:val="24"/>
          <w:szCs w:val="24"/>
        </w:rPr>
        <w:t xml:space="preserve"> (pp. 152–161). New York, NY, USA: Association for Computing Machinery. doi:10.1145/1292491.1292509</w:t>
      </w:r>
    </w:p>
    <w:p w14:paraId="56CA15B9"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Vogels, E. A. (2021). Some digital divides persist between rural, urban and suburban America. </w:t>
      </w:r>
      <w:r w:rsidRPr="001A6359">
        <w:rPr>
          <w:rFonts w:ascii="Times New Roman" w:hAnsi="Times New Roman" w:cs="Times New Roman"/>
          <w:i/>
          <w:iCs/>
          <w:noProof/>
          <w:sz w:val="24"/>
          <w:szCs w:val="24"/>
        </w:rPr>
        <w:lastRenderedPageBreak/>
        <w:t>Pew Research Center, August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19</w:t>
      </w:r>
      <w:r w:rsidRPr="001A6359">
        <w:rPr>
          <w:rFonts w:ascii="Times New Roman" w:hAnsi="Times New Roman" w:cs="Times New Roman"/>
          <w:noProof/>
          <w:sz w:val="24"/>
          <w:szCs w:val="24"/>
        </w:rPr>
        <w:t>.</w:t>
      </w:r>
    </w:p>
    <w:p w14:paraId="21B03C37"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Volenec, Z. M., Abraham, J. O., Becker, A. D., &amp; Dobson, A. P. (2021). Public parks and the pandemic: How park usage has been affected by COVID-19 policies. </w:t>
      </w:r>
      <w:r w:rsidRPr="001A6359">
        <w:rPr>
          <w:rFonts w:ascii="Times New Roman" w:hAnsi="Times New Roman" w:cs="Times New Roman"/>
          <w:i/>
          <w:iCs/>
          <w:noProof/>
          <w:sz w:val="24"/>
          <w:szCs w:val="24"/>
        </w:rPr>
        <w:t>PLOS ONE</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16</w:t>
      </w:r>
      <w:r w:rsidRPr="001A6359">
        <w:rPr>
          <w:rFonts w:ascii="Times New Roman" w:hAnsi="Times New Roman" w:cs="Times New Roman"/>
          <w:noProof/>
          <w:sz w:val="24"/>
          <w:szCs w:val="24"/>
        </w:rPr>
        <w:t>(5), e0251799. Retrieved from https://doi.org/10.1371/journal.pone.0251799</w:t>
      </w:r>
    </w:p>
    <w:p w14:paraId="0102D3F0"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szCs w:val="24"/>
        </w:rPr>
      </w:pPr>
      <w:r w:rsidRPr="001A6359">
        <w:rPr>
          <w:rFonts w:ascii="Times New Roman" w:hAnsi="Times New Roman" w:cs="Times New Roman"/>
          <w:noProof/>
          <w:sz w:val="24"/>
          <w:szCs w:val="24"/>
        </w:rPr>
        <w:t xml:space="preserve">Ward, P., McKenzie, T. L., Cohen, D., Evenson, K. R., Golinelli, D., Hillier, A., … Williamson, S. (2014). Physical activity surveillance in parks using direct observation. </w:t>
      </w:r>
      <w:r w:rsidRPr="001A6359">
        <w:rPr>
          <w:rFonts w:ascii="Times New Roman" w:hAnsi="Times New Roman" w:cs="Times New Roman"/>
          <w:i/>
          <w:iCs/>
          <w:noProof/>
          <w:sz w:val="24"/>
          <w:szCs w:val="24"/>
        </w:rPr>
        <w:t>Preventing Chronic Disease</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11</w:t>
      </w:r>
      <w:r w:rsidRPr="001A6359">
        <w:rPr>
          <w:rFonts w:ascii="Times New Roman" w:hAnsi="Times New Roman" w:cs="Times New Roman"/>
          <w:noProof/>
          <w:sz w:val="24"/>
          <w:szCs w:val="24"/>
        </w:rPr>
        <w:t>, 130147. doi:10.5888/pcd11.130147</w:t>
      </w:r>
    </w:p>
    <w:p w14:paraId="64895C60" w14:textId="77777777" w:rsidR="001A6359" w:rsidRPr="001A6359" w:rsidRDefault="001A6359" w:rsidP="001A6359">
      <w:pPr>
        <w:widowControl w:val="0"/>
        <w:autoSpaceDE w:val="0"/>
        <w:autoSpaceDN w:val="0"/>
        <w:adjustRightInd w:val="0"/>
        <w:spacing w:line="480" w:lineRule="auto"/>
        <w:ind w:left="480" w:hanging="480"/>
        <w:rPr>
          <w:rFonts w:ascii="Times New Roman" w:hAnsi="Times New Roman" w:cs="Times New Roman"/>
          <w:noProof/>
          <w:sz w:val="24"/>
        </w:rPr>
      </w:pPr>
      <w:r w:rsidRPr="001A6359">
        <w:rPr>
          <w:rFonts w:ascii="Times New Roman" w:hAnsi="Times New Roman" w:cs="Times New Roman"/>
          <w:noProof/>
          <w:sz w:val="24"/>
          <w:szCs w:val="24"/>
        </w:rPr>
        <w:t xml:space="preserve">Wilkins, E. J., Wood, S. A., &amp; Smith, J. W. (2021). Uses and Limitations of Social Media to Inform Visitor Use Management in Parks and Protected Areas: A Systematic Review. </w:t>
      </w:r>
      <w:r w:rsidRPr="001A6359">
        <w:rPr>
          <w:rFonts w:ascii="Times New Roman" w:hAnsi="Times New Roman" w:cs="Times New Roman"/>
          <w:i/>
          <w:iCs/>
          <w:noProof/>
          <w:sz w:val="24"/>
          <w:szCs w:val="24"/>
        </w:rPr>
        <w:t>Environmental Management</w:t>
      </w:r>
      <w:r w:rsidRPr="001A6359">
        <w:rPr>
          <w:rFonts w:ascii="Times New Roman" w:hAnsi="Times New Roman" w:cs="Times New Roman"/>
          <w:noProof/>
          <w:sz w:val="24"/>
          <w:szCs w:val="24"/>
        </w:rPr>
        <w:t xml:space="preserve">, </w:t>
      </w:r>
      <w:r w:rsidRPr="001A6359">
        <w:rPr>
          <w:rFonts w:ascii="Times New Roman" w:hAnsi="Times New Roman" w:cs="Times New Roman"/>
          <w:i/>
          <w:iCs/>
          <w:noProof/>
          <w:sz w:val="24"/>
          <w:szCs w:val="24"/>
        </w:rPr>
        <w:t>67</w:t>
      </w:r>
      <w:r w:rsidRPr="001A6359">
        <w:rPr>
          <w:rFonts w:ascii="Times New Roman" w:hAnsi="Times New Roman" w:cs="Times New Roman"/>
          <w:noProof/>
          <w:sz w:val="24"/>
          <w:szCs w:val="24"/>
        </w:rPr>
        <w:t>(1), 120–132. doi:10.1007/s00267-020-01373-7</w:t>
      </w:r>
    </w:p>
    <w:p w14:paraId="0C6203DA" w14:textId="1F554594" w:rsidR="00AC2DF1" w:rsidRPr="002F284F" w:rsidRDefault="00AC2DF1" w:rsidP="00AC2DF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981E754" w14:textId="56B8FDFB" w:rsidR="0005588C" w:rsidRPr="007B6F9A" w:rsidRDefault="0005588C" w:rsidP="007B6F9A">
      <w:pPr>
        <w:pStyle w:val="ListParagraph"/>
        <w:numPr>
          <w:ilvl w:val="0"/>
          <w:numId w:val="4"/>
        </w:numPr>
        <w:spacing w:line="480" w:lineRule="auto"/>
        <w:rPr>
          <w:rFonts w:ascii="Times New Roman" w:hAnsi="Times New Roman" w:cs="Times New Roman"/>
          <w:b/>
          <w:bCs/>
          <w:sz w:val="24"/>
          <w:szCs w:val="24"/>
        </w:rPr>
      </w:pPr>
      <w:r w:rsidRPr="007B6F9A">
        <w:rPr>
          <w:rFonts w:ascii="Times New Roman" w:hAnsi="Times New Roman" w:cs="Times New Roman"/>
          <w:b/>
          <w:bCs/>
          <w:sz w:val="24"/>
          <w:szCs w:val="24"/>
        </w:rPr>
        <w:br w:type="page"/>
      </w:r>
    </w:p>
    <w:p w14:paraId="693A37B6" w14:textId="6B55E9BF" w:rsidR="00A226CE" w:rsidRPr="00A226CE" w:rsidRDefault="00A226CE" w:rsidP="00A226CE">
      <w:pPr>
        <w:spacing w:line="480" w:lineRule="auto"/>
        <w:rPr>
          <w:rFonts w:ascii="Times New Roman" w:hAnsi="Times New Roman" w:cs="Times New Roman"/>
          <w:sz w:val="24"/>
          <w:szCs w:val="24"/>
        </w:rPr>
      </w:pPr>
      <w:bookmarkStart w:id="4" w:name="_Hlk95828376"/>
      <w:r w:rsidRPr="00A226CE">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w:t>
      </w:r>
      <w:r w:rsidRPr="00A226CE">
        <w:rPr>
          <w:rFonts w:ascii="Times New Roman" w:hAnsi="Times New Roman" w:cs="Times New Roman"/>
          <w:b/>
          <w:bCs/>
          <w:sz w:val="24"/>
          <w:szCs w:val="24"/>
        </w:rPr>
        <w:t>:</w:t>
      </w:r>
      <w:r w:rsidRPr="00A226CE">
        <w:rPr>
          <w:rFonts w:ascii="Times New Roman" w:hAnsi="Times New Roman" w:cs="Times New Roman"/>
          <w:sz w:val="24"/>
          <w:szCs w:val="24"/>
        </w:rPr>
        <w:t xml:space="preserve"> Considerations for using anonymized mobility data for estimating human activity. </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
        <w:gridCol w:w="1773"/>
        <w:gridCol w:w="3407"/>
        <w:gridCol w:w="3119"/>
      </w:tblGrid>
      <w:tr w:rsidR="00A226CE" w:rsidRPr="00A226CE" w14:paraId="731316F2" w14:textId="77777777" w:rsidTr="00796392">
        <w:tc>
          <w:tcPr>
            <w:tcW w:w="1057" w:type="dxa"/>
            <w:tcBorders>
              <w:top w:val="single" w:sz="4" w:space="0" w:color="auto"/>
              <w:bottom w:val="single" w:sz="4" w:space="0" w:color="auto"/>
            </w:tcBorders>
          </w:tcPr>
          <w:p w14:paraId="79784104"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Issue</w:t>
            </w:r>
          </w:p>
        </w:tc>
        <w:tc>
          <w:tcPr>
            <w:tcW w:w="1773" w:type="dxa"/>
            <w:tcBorders>
              <w:top w:val="single" w:sz="4" w:space="0" w:color="auto"/>
              <w:bottom w:val="single" w:sz="4" w:space="0" w:color="auto"/>
            </w:tcBorders>
          </w:tcPr>
          <w:p w14:paraId="156338FB"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Challenge</w:t>
            </w:r>
          </w:p>
        </w:tc>
        <w:tc>
          <w:tcPr>
            <w:tcW w:w="3407" w:type="dxa"/>
            <w:tcBorders>
              <w:top w:val="single" w:sz="4" w:space="0" w:color="auto"/>
              <w:bottom w:val="single" w:sz="4" w:space="0" w:color="auto"/>
            </w:tcBorders>
          </w:tcPr>
          <w:p w14:paraId="1A8DB8D9"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Details</w:t>
            </w:r>
          </w:p>
        </w:tc>
        <w:tc>
          <w:tcPr>
            <w:tcW w:w="3119" w:type="dxa"/>
            <w:tcBorders>
              <w:top w:val="single" w:sz="4" w:space="0" w:color="auto"/>
              <w:bottom w:val="single" w:sz="4" w:space="0" w:color="auto"/>
            </w:tcBorders>
          </w:tcPr>
          <w:p w14:paraId="49F91122" w14:textId="77777777" w:rsidR="00A226CE" w:rsidRPr="00A226CE" w:rsidRDefault="00A226CE" w:rsidP="00796392">
            <w:pPr>
              <w:spacing w:line="276" w:lineRule="auto"/>
              <w:rPr>
                <w:rFonts w:ascii="Times New Roman" w:hAnsi="Times New Roman" w:cs="Times New Roman"/>
                <w:b/>
                <w:bCs/>
                <w:sz w:val="20"/>
                <w:szCs w:val="20"/>
              </w:rPr>
            </w:pPr>
            <w:r w:rsidRPr="00A226CE">
              <w:rPr>
                <w:rFonts w:ascii="Times New Roman" w:hAnsi="Times New Roman" w:cs="Times New Roman"/>
                <w:b/>
                <w:bCs/>
                <w:sz w:val="20"/>
                <w:szCs w:val="20"/>
              </w:rPr>
              <w:t>Examples</w:t>
            </w:r>
          </w:p>
        </w:tc>
      </w:tr>
      <w:tr w:rsidR="00A226CE" w:rsidRPr="00A226CE" w14:paraId="795511A8" w14:textId="77777777" w:rsidTr="00796392">
        <w:tc>
          <w:tcPr>
            <w:tcW w:w="1057" w:type="dxa"/>
            <w:tcBorders>
              <w:top w:val="single" w:sz="4" w:space="0" w:color="auto"/>
            </w:tcBorders>
          </w:tcPr>
          <w:p w14:paraId="3E643AB3" w14:textId="77777777" w:rsidR="00A226CE" w:rsidRPr="00A226CE" w:rsidRDefault="00A226CE" w:rsidP="00796392">
            <w:pPr>
              <w:spacing w:line="276" w:lineRule="auto"/>
              <w:rPr>
                <w:rFonts w:ascii="Times New Roman" w:hAnsi="Times New Roman" w:cs="Times New Roman"/>
                <w:i/>
                <w:iCs/>
                <w:sz w:val="20"/>
                <w:szCs w:val="20"/>
              </w:rPr>
            </w:pPr>
            <w:r w:rsidRPr="00A226CE">
              <w:rPr>
                <w:rFonts w:ascii="Times New Roman" w:hAnsi="Times New Roman" w:cs="Times New Roman"/>
                <w:i/>
                <w:iCs/>
                <w:sz w:val="20"/>
                <w:szCs w:val="20"/>
              </w:rPr>
              <w:t>Social</w:t>
            </w:r>
          </w:p>
        </w:tc>
        <w:tc>
          <w:tcPr>
            <w:tcW w:w="1773" w:type="dxa"/>
            <w:tcBorders>
              <w:top w:val="single" w:sz="4" w:space="0" w:color="auto"/>
            </w:tcBorders>
          </w:tcPr>
          <w:p w14:paraId="262CB76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Privacy</w:t>
            </w:r>
          </w:p>
        </w:tc>
        <w:tc>
          <w:tcPr>
            <w:tcW w:w="3407" w:type="dxa"/>
            <w:tcBorders>
              <w:top w:val="single" w:sz="4" w:space="0" w:color="auto"/>
            </w:tcBorders>
          </w:tcPr>
          <w:p w14:paraId="1C83A941"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Data should not be too specific because it can infringe on people’s personal privacy or used for nefarious purposes. </w:t>
            </w:r>
          </w:p>
        </w:tc>
        <w:tc>
          <w:tcPr>
            <w:tcW w:w="3119" w:type="dxa"/>
            <w:tcBorders>
              <w:top w:val="single" w:sz="4" w:space="0" w:color="auto"/>
            </w:tcBorders>
          </w:tcPr>
          <w:p w14:paraId="0200F21E"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Data is often anonymized and aggregated to a coarse spatial resolution.</w:t>
            </w:r>
          </w:p>
        </w:tc>
      </w:tr>
      <w:tr w:rsidR="00A226CE" w:rsidRPr="00A226CE" w14:paraId="5EA28882" w14:textId="77777777" w:rsidTr="00796392">
        <w:tc>
          <w:tcPr>
            <w:tcW w:w="1057" w:type="dxa"/>
          </w:tcPr>
          <w:p w14:paraId="4F93530B"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61E5A4E3"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Ownership differences</w:t>
            </w:r>
          </w:p>
        </w:tc>
        <w:tc>
          <w:tcPr>
            <w:tcW w:w="3407" w:type="dxa"/>
          </w:tcPr>
          <w:p w14:paraId="41F374C7" w14:textId="05B5B9DA"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The number of mobile devices differs among demographics of people</w:t>
            </w:r>
            <w:r w:rsidR="006D6252">
              <w:rPr>
                <w:rFonts w:ascii="Times New Roman" w:hAnsi="Times New Roman" w:cs="Times New Roman"/>
                <w:sz w:val="20"/>
                <w:szCs w:val="20"/>
              </w:rPr>
              <w:t>.</w:t>
            </w:r>
          </w:p>
        </w:tc>
        <w:tc>
          <w:tcPr>
            <w:tcW w:w="3119" w:type="dxa"/>
          </w:tcPr>
          <w:p w14:paraId="33D3C7BE" w14:textId="6BB4784A" w:rsidR="00A226CE" w:rsidRPr="00A226CE" w:rsidRDefault="006D6252" w:rsidP="00796392">
            <w:pPr>
              <w:spacing w:line="276" w:lineRule="auto"/>
              <w:rPr>
                <w:rFonts w:ascii="Times New Roman" w:hAnsi="Times New Roman" w:cs="Times New Roman"/>
                <w:sz w:val="20"/>
                <w:szCs w:val="20"/>
              </w:rPr>
            </w:pPr>
            <w:r>
              <w:rPr>
                <w:rFonts w:ascii="Times New Roman" w:hAnsi="Times New Roman" w:cs="Times New Roman"/>
                <w:sz w:val="20"/>
                <w:szCs w:val="20"/>
              </w:rPr>
              <w:t>More a</w:t>
            </w:r>
            <w:r w:rsidR="00A226CE" w:rsidRPr="00A226CE">
              <w:rPr>
                <w:rFonts w:ascii="Times New Roman" w:hAnsi="Times New Roman" w:cs="Times New Roman"/>
                <w:sz w:val="20"/>
                <w:szCs w:val="20"/>
              </w:rPr>
              <w:t>ffluent communities will likely possess more devices</w:t>
            </w:r>
            <w:r>
              <w:rPr>
                <w:rFonts w:ascii="Times New Roman" w:hAnsi="Times New Roman" w:cs="Times New Roman"/>
                <w:sz w:val="20"/>
                <w:szCs w:val="20"/>
              </w:rPr>
              <w:t xml:space="preserve"> and thus have higher activity patterns</w:t>
            </w:r>
            <w:r w:rsidR="00A226CE" w:rsidRPr="00A226CE">
              <w:rPr>
                <w:rFonts w:ascii="Times New Roman" w:hAnsi="Times New Roman" w:cs="Times New Roman"/>
                <w:sz w:val="20"/>
                <w:szCs w:val="20"/>
              </w:rPr>
              <w:t xml:space="preserve">. </w:t>
            </w:r>
          </w:p>
        </w:tc>
      </w:tr>
      <w:tr w:rsidR="00A226CE" w:rsidRPr="00A226CE" w14:paraId="3533EA45" w14:textId="77777777" w:rsidTr="00796392">
        <w:tc>
          <w:tcPr>
            <w:tcW w:w="1057" w:type="dxa"/>
          </w:tcPr>
          <w:p w14:paraId="1C5BBDD1"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68DC58F" w14:textId="49E42651" w:rsidR="00A226CE" w:rsidRPr="00A226CE" w:rsidRDefault="00C232FF" w:rsidP="00796392">
            <w:pPr>
              <w:spacing w:line="276" w:lineRule="auto"/>
              <w:rPr>
                <w:rFonts w:ascii="Times New Roman" w:hAnsi="Times New Roman" w:cs="Times New Roman"/>
                <w:sz w:val="20"/>
                <w:szCs w:val="20"/>
              </w:rPr>
            </w:pPr>
            <w:r>
              <w:rPr>
                <w:rFonts w:ascii="Times New Roman" w:hAnsi="Times New Roman" w:cs="Times New Roman"/>
                <w:sz w:val="20"/>
                <w:szCs w:val="20"/>
              </w:rPr>
              <w:t>Safety</w:t>
            </w:r>
          </w:p>
        </w:tc>
        <w:tc>
          <w:tcPr>
            <w:tcW w:w="3407" w:type="dxa"/>
          </w:tcPr>
          <w:p w14:paraId="07E0AF22"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Use of devices may vary depending on location or security. </w:t>
            </w:r>
          </w:p>
        </w:tc>
        <w:tc>
          <w:tcPr>
            <w:tcW w:w="3119" w:type="dxa"/>
          </w:tcPr>
          <w:p w14:paraId="51AB56F6" w14:textId="59B5FD21"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Out of concerns for safety</w:t>
            </w:r>
            <w:r w:rsidR="006D6252">
              <w:rPr>
                <w:rFonts w:ascii="Times New Roman" w:hAnsi="Times New Roman" w:cs="Times New Roman"/>
                <w:sz w:val="20"/>
                <w:szCs w:val="20"/>
              </w:rPr>
              <w:t>,</w:t>
            </w:r>
            <w:r w:rsidRPr="00A226CE">
              <w:rPr>
                <w:rFonts w:ascii="Times New Roman" w:hAnsi="Times New Roman" w:cs="Times New Roman"/>
                <w:sz w:val="20"/>
                <w:szCs w:val="20"/>
              </w:rPr>
              <w:t xml:space="preserve"> </w:t>
            </w:r>
            <w:r w:rsidR="006D6252">
              <w:rPr>
                <w:rFonts w:ascii="Times New Roman" w:hAnsi="Times New Roman" w:cs="Times New Roman"/>
                <w:sz w:val="20"/>
                <w:szCs w:val="20"/>
              </w:rPr>
              <w:t>individuals</w:t>
            </w:r>
            <w:r w:rsidRPr="00A226CE">
              <w:rPr>
                <w:rFonts w:ascii="Times New Roman" w:hAnsi="Times New Roman" w:cs="Times New Roman"/>
                <w:sz w:val="20"/>
                <w:szCs w:val="20"/>
              </w:rPr>
              <w:t xml:space="preserve"> may avoid </w:t>
            </w:r>
            <w:r w:rsidR="006D6252">
              <w:rPr>
                <w:rFonts w:ascii="Times New Roman" w:hAnsi="Times New Roman" w:cs="Times New Roman"/>
                <w:sz w:val="20"/>
                <w:szCs w:val="20"/>
              </w:rPr>
              <w:t>using</w:t>
            </w:r>
            <w:r w:rsidRPr="00A226CE">
              <w:rPr>
                <w:rFonts w:ascii="Times New Roman" w:hAnsi="Times New Roman" w:cs="Times New Roman"/>
                <w:sz w:val="20"/>
                <w:szCs w:val="20"/>
              </w:rPr>
              <w:t xml:space="preserve"> their device.</w:t>
            </w:r>
          </w:p>
        </w:tc>
      </w:tr>
      <w:tr w:rsidR="00A226CE" w:rsidRPr="00A226CE" w14:paraId="1B3CBABC" w14:textId="77777777" w:rsidTr="00796392">
        <w:tc>
          <w:tcPr>
            <w:tcW w:w="1057" w:type="dxa"/>
          </w:tcPr>
          <w:p w14:paraId="23AF16CF"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F0AD074"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Behaviour of individual</w:t>
            </w:r>
          </w:p>
        </w:tc>
        <w:tc>
          <w:tcPr>
            <w:tcW w:w="3407" w:type="dxa"/>
          </w:tcPr>
          <w:p w14:paraId="2CEBB008"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Use of device may vary depending on activity of individual</w:t>
            </w:r>
          </w:p>
        </w:tc>
        <w:tc>
          <w:tcPr>
            <w:tcW w:w="3119" w:type="dxa"/>
          </w:tcPr>
          <w:p w14:paraId="68CCFE18"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When exercising someone may not use their device.</w:t>
            </w:r>
          </w:p>
        </w:tc>
      </w:tr>
      <w:tr w:rsidR="00A226CE" w:rsidRPr="00A226CE" w14:paraId="1FE369AF" w14:textId="77777777" w:rsidTr="00796392">
        <w:tc>
          <w:tcPr>
            <w:tcW w:w="1057" w:type="dxa"/>
          </w:tcPr>
          <w:p w14:paraId="03D473E0"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86E06FC"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Behaviour on phone</w:t>
            </w:r>
          </w:p>
        </w:tc>
        <w:tc>
          <w:tcPr>
            <w:tcW w:w="3407" w:type="dxa"/>
          </w:tcPr>
          <w:p w14:paraId="000EA447"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Location tracking services may vary depending on application use on mobile device.</w:t>
            </w:r>
          </w:p>
        </w:tc>
        <w:tc>
          <w:tcPr>
            <w:tcW w:w="3119" w:type="dxa"/>
          </w:tcPr>
          <w:p w14:paraId="4CC0EA25"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Ride-sharing applications will more frequently report location relative to a messaging application.</w:t>
            </w:r>
          </w:p>
        </w:tc>
      </w:tr>
      <w:tr w:rsidR="00A226CE" w:rsidRPr="00A226CE" w14:paraId="0F1356DE" w14:textId="77777777" w:rsidTr="00796392">
        <w:tc>
          <w:tcPr>
            <w:tcW w:w="1057" w:type="dxa"/>
          </w:tcPr>
          <w:p w14:paraId="725A1053"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431315F"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Land type</w:t>
            </w:r>
          </w:p>
        </w:tc>
        <w:tc>
          <w:tcPr>
            <w:tcW w:w="3407" w:type="dxa"/>
          </w:tcPr>
          <w:p w14:paraId="6E3FCEAB"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Certain land types are inherently more likely to have higher activity.</w:t>
            </w:r>
          </w:p>
        </w:tc>
        <w:tc>
          <w:tcPr>
            <w:tcW w:w="3119" w:type="dxa"/>
          </w:tcPr>
          <w:p w14:paraId="20E8691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Roads are vectors for transportation and thus will have more activity relative to private land. </w:t>
            </w:r>
          </w:p>
        </w:tc>
      </w:tr>
      <w:tr w:rsidR="00A226CE" w:rsidRPr="00A226CE" w14:paraId="45831AB7" w14:textId="77777777" w:rsidTr="00796392">
        <w:tc>
          <w:tcPr>
            <w:tcW w:w="1057" w:type="dxa"/>
          </w:tcPr>
          <w:p w14:paraId="73F84422" w14:textId="77777777" w:rsidR="00A226CE" w:rsidRPr="00A226CE" w:rsidRDefault="00A226CE" w:rsidP="00796392">
            <w:pPr>
              <w:spacing w:line="276" w:lineRule="auto"/>
              <w:rPr>
                <w:rFonts w:ascii="Times New Roman" w:hAnsi="Times New Roman" w:cs="Times New Roman"/>
                <w:i/>
                <w:iCs/>
                <w:sz w:val="20"/>
                <w:szCs w:val="20"/>
              </w:rPr>
            </w:pPr>
            <w:r w:rsidRPr="00A226CE">
              <w:rPr>
                <w:rFonts w:ascii="Times New Roman" w:hAnsi="Times New Roman" w:cs="Times New Roman"/>
                <w:i/>
                <w:iCs/>
                <w:sz w:val="20"/>
                <w:szCs w:val="20"/>
              </w:rPr>
              <w:t>Technical</w:t>
            </w:r>
          </w:p>
        </w:tc>
        <w:tc>
          <w:tcPr>
            <w:tcW w:w="1773" w:type="dxa"/>
          </w:tcPr>
          <w:p w14:paraId="165AC31E"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Accuracy</w:t>
            </w:r>
          </w:p>
        </w:tc>
        <w:tc>
          <w:tcPr>
            <w:tcW w:w="3407" w:type="dxa"/>
          </w:tcPr>
          <w:p w14:paraId="32FC05A1"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Not all devices or networks equally estimate the location of a device.  </w:t>
            </w:r>
          </w:p>
        </w:tc>
        <w:tc>
          <w:tcPr>
            <w:tcW w:w="3119" w:type="dxa"/>
          </w:tcPr>
          <w:p w14:paraId="0970C004" w14:textId="38E22E38"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Older cell phones may have a larger radius of location accuracy</w:t>
            </w:r>
            <w:r w:rsidR="00C232FF">
              <w:rPr>
                <w:rFonts w:ascii="Times New Roman" w:hAnsi="Times New Roman" w:cs="Times New Roman"/>
                <w:sz w:val="20"/>
                <w:szCs w:val="20"/>
              </w:rPr>
              <w:t>.</w:t>
            </w:r>
          </w:p>
        </w:tc>
      </w:tr>
      <w:tr w:rsidR="00A226CE" w:rsidRPr="00A226CE" w14:paraId="3671CC20" w14:textId="77777777" w:rsidTr="00796392">
        <w:trPr>
          <w:trHeight w:val="70"/>
        </w:trPr>
        <w:tc>
          <w:tcPr>
            <w:tcW w:w="1057" w:type="dxa"/>
          </w:tcPr>
          <w:p w14:paraId="51A4C056"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387385A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Coverage</w:t>
            </w:r>
          </w:p>
        </w:tc>
        <w:tc>
          <w:tcPr>
            <w:tcW w:w="3407" w:type="dxa"/>
          </w:tcPr>
          <w:p w14:paraId="42DA118F"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Some areas have limited or no coverage of a cellular network</w:t>
            </w:r>
            <w:r>
              <w:rPr>
                <w:rFonts w:ascii="Times New Roman" w:hAnsi="Times New Roman" w:cs="Times New Roman"/>
                <w:sz w:val="20"/>
                <w:szCs w:val="20"/>
              </w:rPr>
              <w:t xml:space="preserve"> because of geographic barriers or placement of towers</w:t>
            </w:r>
            <w:r w:rsidRPr="00A226CE">
              <w:rPr>
                <w:rFonts w:ascii="Times New Roman" w:hAnsi="Times New Roman" w:cs="Times New Roman"/>
                <w:sz w:val="20"/>
                <w:szCs w:val="20"/>
              </w:rPr>
              <w:t>.</w:t>
            </w:r>
          </w:p>
        </w:tc>
        <w:tc>
          <w:tcPr>
            <w:tcW w:w="3119" w:type="dxa"/>
          </w:tcPr>
          <w:p w14:paraId="42E06AE6" w14:textId="77777777" w:rsidR="00A226CE" w:rsidRPr="00A226CE" w:rsidRDefault="00A226CE" w:rsidP="00796392">
            <w:pPr>
              <w:spacing w:line="276" w:lineRule="auto"/>
              <w:rPr>
                <w:rFonts w:ascii="Times New Roman" w:hAnsi="Times New Roman" w:cs="Times New Roman"/>
                <w:sz w:val="20"/>
                <w:szCs w:val="20"/>
              </w:rPr>
            </w:pPr>
            <w:r>
              <w:rPr>
                <w:rFonts w:ascii="Times New Roman" w:hAnsi="Times New Roman" w:cs="Times New Roman"/>
                <w:sz w:val="20"/>
                <w:szCs w:val="20"/>
              </w:rPr>
              <w:t xml:space="preserve">Alpine areas may have low coverage because of mountains preventing coverage and infrequent towers. </w:t>
            </w:r>
          </w:p>
        </w:tc>
      </w:tr>
      <w:tr w:rsidR="00A226CE" w:rsidRPr="00A226CE" w14:paraId="40E17B96" w14:textId="77777777" w:rsidTr="00796392">
        <w:trPr>
          <w:trHeight w:val="70"/>
        </w:trPr>
        <w:tc>
          <w:tcPr>
            <w:tcW w:w="1057" w:type="dxa"/>
          </w:tcPr>
          <w:p w14:paraId="46B0C7E8"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06F1F8C9"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Noise</w:t>
            </w:r>
          </w:p>
        </w:tc>
        <w:tc>
          <w:tcPr>
            <w:tcW w:w="3407" w:type="dxa"/>
          </w:tcPr>
          <w:p w14:paraId="0BE1E0E8" w14:textId="00A65D4B"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To minimize privacy concerns, </w:t>
            </w:r>
            <w:r w:rsidR="00C232FF">
              <w:rPr>
                <w:rFonts w:ascii="Times New Roman" w:hAnsi="Times New Roman" w:cs="Times New Roman"/>
                <w:sz w:val="20"/>
                <w:szCs w:val="20"/>
              </w:rPr>
              <w:t xml:space="preserve">activity </w:t>
            </w:r>
            <w:r w:rsidRPr="00A226CE">
              <w:rPr>
                <w:rFonts w:ascii="Times New Roman" w:hAnsi="Times New Roman" w:cs="Times New Roman"/>
                <w:sz w:val="20"/>
                <w:szCs w:val="20"/>
              </w:rPr>
              <w:t xml:space="preserve">data is often masked below a certain threshold or </w:t>
            </w:r>
            <w:r w:rsidR="00C232FF">
              <w:rPr>
                <w:rFonts w:ascii="Times New Roman" w:hAnsi="Times New Roman" w:cs="Times New Roman"/>
                <w:sz w:val="20"/>
                <w:szCs w:val="20"/>
              </w:rPr>
              <w:t xml:space="preserve">has </w:t>
            </w:r>
            <w:r w:rsidRPr="00A226CE">
              <w:rPr>
                <w:rFonts w:ascii="Times New Roman" w:hAnsi="Times New Roman" w:cs="Times New Roman"/>
                <w:sz w:val="20"/>
                <w:szCs w:val="20"/>
              </w:rPr>
              <w:t xml:space="preserve">a random </w:t>
            </w:r>
            <w:r w:rsidR="00C232FF">
              <w:rPr>
                <w:rFonts w:ascii="Times New Roman" w:hAnsi="Times New Roman" w:cs="Times New Roman"/>
                <w:sz w:val="20"/>
                <w:szCs w:val="20"/>
              </w:rPr>
              <w:t>amount</w:t>
            </w:r>
            <w:r w:rsidRPr="00A226CE">
              <w:rPr>
                <w:rFonts w:ascii="Times New Roman" w:hAnsi="Times New Roman" w:cs="Times New Roman"/>
                <w:sz w:val="20"/>
                <w:szCs w:val="20"/>
              </w:rPr>
              <w:t xml:space="preserve"> of </w:t>
            </w:r>
            <w:r w:rsidR="00C232FF">
              <w:rPr>
                <w:rFonts w:ascii="Times New Roman" w:hAnsi="Times New Roman" w:cs="Times New Roman"/>
                <w:sz w:val="20"/>
                <w:szCs w:val="20"/>
              </w:rPr>
              <w:t>activity</w:t>
            </w:r>
            <w:r w:rsidRPr="00A226CE">
              <w:rPr>
                <w:rFonts w:ascii="Times New Roman" w:hAnsi="Times New Roman" w:cs="Times New Roman"/>
                <w:sz w:val="20"/>
                <w:szCs w:val="20"/>
              </w:rPr>
              <w:t xml:space="preserve"> added. </w:t>
            </w:r>
          </w:p>
        </w:tc>
        <w:tc>
          <w:tcPr>
            <w:tcW w:w="3119" w:type="dxa"/>
          </w:tcPr>
          <w:p w14:paraId="737DEC5C"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Areas with low human activity will have no values reported. </w:t>
            </w:r>
          </w:p>
        </w:tc>
      </w:tr>
      <w:tr w:rsidR="00A226CE" w:rsidRPr="00A226CE" w14:paraId="201FFC0A" w14:textId="77777777" w:rsidTr="00796392">
        <w:trPr>
          <w:trHeight w:val="70"/>
        </w:trPr>
        <w:tc>
          <w:tcPr>
            <w:tcW w:w="1057" w:type="dxa"/>
          </w:tcPr>
          <w:p w14:paraId="254EEE34"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60150A05"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Time</w:t>
            </w:r>
          </w:p>
        </w:tc>
        <w:tc>
          <w:tcPr>
            <w:tcW w:w="3407" w:type="dxa"/>
          </w:tcPr>
          <w:p w14:paraId="222E4672"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Over time, the number or usage of devices can increase. </w:t>
            </w:r>
          </w:p>
        </w:tc>
        <w:tc>
          <w:tcPr>
            <w:tcW w:w="3119" w:type="dxa"/>
          </w:tcPr>
          <w:p w14:paraId="64515B14" w14:textId="23B13179" w:rsidR="00A226CE" w:rsidRPr="00A226CE" w:rsidRDefault="006933E3" w:rsidP="00796392">
            <w:pPr>
              <w:spacing w:line="276" w:lineRule="auto"/>
              <w:rPr>
                <w:rFonts w:ascii="Times New Roman" w:hAnsi="Times New Roman" w:cs="Times New Roman"/>
                <w:sz w:val="20"/>
                <w:szCs w:val="20"/>
              </w:rPr>
            </w:pPr>
            <w:r>
              <w:rPr>
                <w:rFonts w:ascii="Times New Roman" w:hAnsi="Times New Roman" w:cs="Times New Roman"/>
                <w:sz w:val="20"/>
                <w:szCs w:val="20"/>
              </w:rPr>
              <w:t xml:space="preserve">Devices with location services </w:t>
            </w:r>
            <w:r w:rsidR="00CE7449">
              <w:rPr>
                <w:rFonts w:ascii="Times New Roman" w:hAnsi="Times New Roman" w:cs="Times New Roman"/>
                <w:sz w:val="20"/>
                <w:szCs w:val="20"/>
              </w:rPr>
              <w:t>were</w:t>
            </w:r>
            <w:r>
              <w:rPr>
                <w:rFonts w:ascii="Times New Roman" w:hAnsi="Times New Roman" w:cs="Times New Roman"/>
                <w:sz w:val="20"/>
                <w:szCs w:val="20"/>
              </w:rPr>
              <w:t xml:space="preserve"> less common 10 years ago than today. </w:t>
            </w:r>
          </w:p>
        </w:tc>
      </w:tr>
      <w:tr w:rsidR="00A226CE" w:rsidRPr="00A226CE" w14:paraId="60F52F1D" w14:textId="77777777" w:rsidTr="00796392">
        <w:trPr>
          <w:trHeight w:val="70"/>
        </w:trPr>
        <w:tc>
          <w:tcPr>
            <w:tcW w:w="1057" w:type="dxa"/>
          </w:tcPr>
          <w:p w14:paraId="0614C315" w14:textId="77777777" w:rsidR="00A226CE" w:rsidRPr="00A226CE" w:rsidRDefault="00A226CE" w:rsidP="00796392">
            <w:pPr>
              <w:spacing w:line="276" w:lineRule="auto"/>
              <w:rPr>
                <w:rFonts w:ascii="Times New Roman" w:hAnsi="Times New Roman" w:cs="Times New Roman"/>
                <w:i/>
                <w:iCs/>
                <w:sz w:val="20"/>
                <w:szCs w:val="20"/>
              </w:rPr>
            </w:pPr>
            <w:r w:rsidRPr="00A226CE">
              <w:rPr>
                <w:rFonts w:ascii="Times New Roman" w:hAnsi="Times New Roman" w:cs="Times New Roman"/>
                <w:i/>
                <w:iCs/>
                <w:sz w:val="20"/>
                <w:szCs w:val="20"/>
              </w:rPr>
              <w:t>Data</w:t>
            </w:r>
          </w:p>
        </w:tc>
        <w:tc>
          <w:tcPr>
            <w:tcW w:w="1773" w:type="dxa"/>
          </w:tcPr>
          <w:p w14:paraId="658CBFFD"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Training</w:t>
            </w:r>
          </w:p>
        </w:tc>
        <w:tc>
          <w:tcPr>
            <w:tcW w:w="3407" w:type="dxa"/>
          </w:tcPr>
          <w:p w14:paraId="63AE321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Requires expertise in spatial analysis and big data. </w:t>
            </w:r>
          </w:p>
        </w:tc>
        <w:tc>
          <w:tcPr>
            <w:tcW w:w="3119" w:type="dxa"/>
          </w:tcPr>
          <w:p w14:paraId="2CC371E5" w14:textId="46E20EF3" w:rsidR="00A226CE" w:rsidRPr="00A226CE" w:rsidRDefault="00CE7449" w:rsidP="00796392">
            <w:pPr>
              <w:spacing w:line="276" w:lineRule="auto"/>
              <w:rPr>
                <w:rFonts w:ascii="Times New Roman" w:hAnsi="Times New Roman" w:cs="Times New Roman"/>
                <w:sz w:val="20"/>
                <w:szCs w:val="20"/>
              </w:rPr>
            </w:pPr>
            <w:r>
              <w:rPr>
                <w:rFonts w:ascii="Times New Roman" w:hAnsi="Times New Roman" w:cs="Times New Roman"/>
                <w:sz w:val="20"/>
                <w:szCs w:val="20"/>
              </w:rPr>
              <w:t>Mobility d</w:t>
            </w:r>
            <w:r w:rsidR="00A226CE" w:rsidRPr="00A226CE">
              <w:rPr>
                <w:rFonts w:ascii="Times New Roman" w:hAnsi="Times New Roman" w:cs="Times New Roman"/>
                <w:sz w:val="20"/>
                <w:szCs w:val="20"/>
              </w:rPr>
              <w:t xml:space="preserve">ata is often vectored tiles based spatial extents.  </w:t>
            </w:r>
          </w:p>
        </w:tc>
      </w:tr>
      <w:tr w:rsidR="00A226CE" w:rsidRPr="00A226CE" w14:paraId="2B6D9A8C" w14:textId="77777777" w:rsidTr="00796392">
        <w:trPr>
          <w:trHeight w:val="70"/>
        </w:trPr>
        <w:tc>
          <w:tcPr>
            <w:tcW w:w="1057" w:type="dxa"/>
          </w:tcPr>
          <w:p w14:paraId="391D4BF8" w14:textId="77777777" w:rsidR="00A226CE" w:rsidRPr="00A226CE" w:rsidRDefault="00A226CE" w:rsidP="00796392">
            <w:pPr>
              <w:spacing w:line="276" w:lineRule="auto"/>
              <w:rPr>
                <w:rFonts w:ascii="Times New Roman" w:hAnsi="Times New Roman" w:cs="Times New Roman"/>
                <w:sz w:val="20"/>
                <w:szCs w:val="20"/>
              </w:rPr>
            </w:pPr>
          </w:p>
        </w:tc>
        <w:tc>
          <w:tcPr>
            <w:tcW w:w="1773" w:type="dxa"/>
          </w:tcPr>
          <w:p w14:paraId="33F83A2B"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Cost</w:t>
            </w:r>
          </w:p>
        </w:tc>
        <w:tc>
          <w:tcPr>
            <w:tcW w:w="3407" w:type="dxa"/>
          </w:tcPr>
          <w:p w14:paraId="54DC4BA0"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Data is not publicly available and requires purchase from companies. </w:t>
            </w:r>
          </w:p>
        </w:tc>
        <w:tc>
          <w:tcPr>
            <w:tcW w:w="3119" w:type="dxa"/>
          </w:tcPr>
          <w:p w14:paraId="224E2852" w14:textId="5A25A552" w:rsidR="00A226CE" w:rsidRPr="00A226CE" w:rsidRDefault="00CE7449" w:rsidP="00796392">
            <w:pPr>
              <w:spacing w:line="276" w:lineRule="auto"/>
              <w:rPr>
                <w:rFonts w:ascii="Times New Roman" w:hAnsi="Times New Roman" w:cs="Times New Roman"/>
                <w:sz w:val="20"/>
                <w:szCs w:val="20"/>
              </w:rPr>
            </w:pPr>
            <w:r>
              <w:rPr>
                <w:rFonts w:ascii="Times New Roman" w:hAnsi="Times New Roman" w:cs="Times New Roman"/>
                <w:sz w:val="20"/>
                <w:szCs w:val="20"/>
              </w:rPr>
              <w:t>Mobility d</w:t>
            </w:r>
            <w:r w:rsidR="00A226CE" w:rsidRPr="00A226CE">
              <w:rPr>
                <w:rFonts w:ascii="Times New Roman" w:hAnsi="Times New Roman" w:cs="Times New Roman"/>
                <w:sz w:val="20"/>
                <w:szCs w:val="20"/>
              </w:rPr>
              <w:t>ata is</w:t>
            </w:r>
            <w:r>
              <w:rPr>
                <w:rFonts w:ascii="Times New Roman" w:hAnsi="Times New Roman" w:cs="Times New Roman"/>
                <w:sz w:val="20"/>
                <w:szCs w:val="20"/>
              </w:rPr>
              <w:t xml:space="preserve"> costly even when</w:t>
            </w:r>
            <w:r w:rsidR="00A226CE" w:rsidRPr="00A226CE">
              <w:rPr>
                <w:rFonts w:ascii="Times New Roman" w:hAnsi="Times New Roman" w:cs="Times New Roman"/>
                <w:sz w:val="20"/>
                <w:szCs w:val="20"/>
              </w:rPr>
              <w:t xml:space="preserve"> purchased as snapshots based on certain timeframes or areas. </w:t>
            </w:r>
          </w:p>
        </w:tc>
      </w:tr>
      <w:tr w:rsidR="00A226CE" w:rsidRPr="00A226CE" w14:paraId="29487E77" w14:textId="77777777" w:rsidTr="00796392">
        <w:trPr>
          <w:trHeight w:val="70"/>
        </w:trPr>
        <w:tc>
          <w:tcPr>
            <w:tcW w:w="1057" w:type="dxa"/>
            <w:tcBorders>
              <w:bottom w:val="single" w:sz="4" w:space="0" w:color="auto"/>
            </w:tcBorders>
          </w:tcPr>
          <w:p w14:paraId="26CEAEA6" w14:textId="77777777" w:rsidR="00A226CE" w:rsidRPr="00A226CE" w:rsidRDefault="00A226CE" w:rsidP="00796392">
            <w:pPr>
              <w:spacing w:line="276" w:lineRule="auto"/>
              <w:rPr>
                <w:rFonts w:ascii="Times New Roman" w:hAnsi="Times New Roman" w:cs="Times New Roman"/>
                <w:sz w:val="20"/>
                <w:szCs w:val="20"/>
              </w:rPr>
            </w:pPr>
          </w:p>
        </w:tc>
        <w:tc>
          <w:tcPr>
            <w:tcW w:w="1773" w:type="dxa"/>
            <w:tcBorders>
              <w:bottom w:val="single" w:sz="4" w:space="0" w:color="auto"/>
            </w:tcBorders>
          </w:tcPr>
          <w:p w14:paraId="620EDC36"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Management</w:t>
            </w:r>
          </w:p>
        </w:tc>
        <w:tc>
          <w:tcPr>
            <w:tcW w:w="3407" w:type="dxa"/>
            <w:tcBorders>
              <w:bottom w:val="single" w:sz="4" w:space="0" w:color="auto"/>
            </w:tcBorders>
          </w:tcPr>
          <w:p w14:paraId="6F22EF83"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The size and type of the data often requires high-performance computing resources.</w:t>
            </w:r>
          </w:p>
        </w:tc>
        <w:tc>
          <w:tcPr>
            <w:tcW w:w="3119" w:type="dxa"/>
            <w:tcBorders>
              <w:bottom w:val="single" w:sz="4" w:space="0" w:color="auto"/>
            </w:tcBorders>
          </w:tcPr>
          <w:p w14:paraId="2A4B6403" w14:textId="77777777" w:rsidR="00A226CE" w:rsidRPr="00A226CE" w:rsidRDefault="00A226CE" w:rsidP="00796392">
            <w:pPr>
              <w:spacing w:line="276" w:lineRule="auto"/>
              <w:rPr>
                <w:rFonts w:ascii="Times New Roman" w:hAnsi="Times New Roman" w:cs="Times New Roman"/>
                <w:sz w:val="20"/>
                <w:szCs w:val="20"/>
              </w:rPr>
            </w:pPr>
            <w:r w:rsidRPr="00A226CE">
              <w:rPr>
                <w:rFonts w:ascii="Times New Roman" w:hAnsi="Times New Roman" w:cs="Times New Roman"/>
                <w:sz w:val="20"/>
                <w:szCs w:val="20"/>
              </w:rPr>
              <w:t xml:space="preserve">Regional datasets often exceed the storage and memory capabilities of personal computers. </w:t>
            </w:r>
          </w:p>
        </w:tc>
      </w:tr>
      <w:bookmarkEnd w:id="4"/>
    </w:tbl>
    <w:p w14:paraId="44D17D94" w14:textId="6BEF9303" w:rsidR="00A226CE" w:rsidRDefault="00A226CE" w:rsidP="00C73D41">
      <w:pPr>
        <w:spacing w:line="480" w:lineRule="auto"/>
        <w:rPr>
          <w:rFonts w:ascii="Times New Roman" w:hAnsi="Times New Roman" w:cs="Times New Roman"/>
          <w:sz w:val="24"/>
          <w:szCs w:val="24"/>
        </w:rPr>
      </w:pPr>
    </w:p>
    <w:p w14:paraId="60E7DC50" w14:textId="77777777" w:rsidR="00A226CE" w:rsidRDefault="00A226CE">
      <w:pPr>
        <w:rPr>
          <w:rFonts w:ascii="Times New Roman" w:hAnsi="Times New Roman" w:cs="Times New Roman"/>
          <w:sz w:val="24"/>
          <w:szCs w:val="24"/>
        </w:rPr>
      </w:pPr>
      <w:r>
        <w:rPr>
          <w:rFonts w:ascii="Times New Roman" w:hAnsi="Times New Roman" w:cs="Times New Roman"/>
          <w:sz w:val="24"/>
          <w:szCs w:val="24"/>
        </w:rPr>
        <w:br w:type="page"/>
      </w:r>
    </w:p>
    <w:p w14:paraId="2DBEDCCF" w14:textId="24E2673B" w:rsidR="00965826" w:rsidRPr="008D2FA0" w:rsidRDefault="00965826"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lastRenderedPageBreak/>
        <w:t xml:space="preserve">Table </w:t>
      </w:r>
      <w:r w:rsidR="00A226CE">
        <w:rPr>
          <w:rFonts w:ascii="Times New Roman" w:hAnsi="Times New Roman" w:cs="Times New Roman"/>
          <w:b/>
          <w:bCs/>
          <w:sz w:val="24"/>
          <w:szCs w:val="24"/>
        </w:rPr>
        <w:t>2</w:t>
      </w:r>
      <w:r w:rsidRPr="008D2FA0">
        <w:rPr>
          <w:rFonts w:ascii="Times New Roman" w:hAnsi="Times New Roman" w:cs="Times New Roman"/>
          <w:b/>
          <w:bCs/>
          <w:sz w:val="24"/>
          <w:szCs w:val="24"/>
        </w:rPr>
        <w:t xml:space="preserve">: </w:t>
      </w:r>
      <w:r w:rsidRPr="008D2FA0">
        <w:rPr>
          <w:rFonts w:ascii="Times New Roman" w:hAnsi="Times New Roman" w:cs="Times New Roman"/>
          <w:sz w:val="24"/>
          <w:szCs w:val="24"/>
        </w:rPr>
        <w:t xml:space="preserve">General characteristics of the properties within Conservation Halton’s jurisdiction including type of land, whether actively managed, number of properties, and average property size. Activity coverage represents the percentage of area within the property that has any human activity </w:t>
      </w:r>
      <w:r w:rsidR="00974C01">
        <w:rPr>
          <w:rFonts w:ascii="Times New Roman" w:hAnsi="Times New Roman" w:cs="Times New Roman"/>
          <w:sz w:val="24"/>
          <w:szCs w:val="24"/>
        </w:rPr>
        <w:t xml:space="preserve">determined </w:t>
      </w:r>
      <w:r w:rsidRPr="008D2FA0">
        <w:rPr>
          <w:rFonts w:ascii="Times New Roman" w:hAnsi="Times New Roman" w:cs="Times New Roman"/>
          <w:sz w:val="24"/>
          <w:szCs w:val="24"/>
        </w:rPr>
        <w:t>from Mapbox</w:t>
      </w:r>
      <w:r w:rsidR="00974C01">
        <w:rPr>
          <w:rFonts w:ascii="Times New Roman" w:hAnsi="Times New Roman" w:cs="Times New Roman"/>
          <w:sz w:val="24"/>
          <w:szCs w:val="24"/>
        </w:rPr>
        <w:t xml:space="preserve"> anonymized mobility data</w:t>
      </w:r>
      <w:r w:rsidRPr="008D2FA0">
        <w:rPr>
          <w:rFonts w:ascii="Times New Roman" w:hAnsi="Times New Roman" w:cs="Times New Roman"/>
          <w:sz w:val="24"/>
          <w:szCs w:val="24"/>
        </w:rPr>
        <w:t>.</w:t>
      </w:r>
    </w:p>
    <w:p w14:paraId="055478F5" w14:textId="14B0F1B3" w:rsidR="00965826" w:rsidRPr="008D2FA0" w:rsidRDefault="00965826" w:rsidP="00C73D41">
      <w:pPr>
        <w:spacing w:line="480" w:lineRule="auto"/>
        <w:rPr>
          <w:rFonts w:ascii="Times New Roman" w:hAnsi="Times New Roman" w:cs="Times New Roman"/>
          <w:sz w:val="24"/>
          <w:szCs w:val="24"/>
        </w:rPr>
      </w:pPr>
    </w:p>
    <w:tbl>
      <w:tblPr>
        <w:tblW w:w="9497" w:type="dxa"/>
        <w:tblLook w:val="04A0" w:firstRow="1" w:lastRow="0" w:firstColumn="1" w:lastColumn="0" w:noHBand="0" w:noVBand="1"/>
      </w:tblPr>
      <w:tblGrid>
        <w:gridCol w:w="1985"/>
        <w:gridCol w:w="2288"/>
        <w:gridCol w:w="1144"/>
        <w:gridCol w:w="1954"/>
        <w:gridCol w:w="2126"/>
      </w:tblGrid>
      <w:tr w:rsidR="00965826" w:rsidRPr="008D2FA0" w14:paraId="5D48719C" w14:textId="77777777" w:rsidTr="00965826">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06CCA6F1"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Land Type</w:t>
            </w:r>
          </w:p>
        </w:tc>
        <w:tc>
          <w:tcPr>
            <w:tcW w:w="2288" w:type="dxa"/>
            <w:tcBorders>
              <w:top w:val="single" w:sz="4" w:space="0" w:color="auto"/>
              <w:left w:val="nil"/>
              <w:bottom w:val="single" w:sz="4" w:space="0" w:color="auto"/>
              <w:right w:val="nil"/>
            </w:tcBorders>
            <w:shd w:val="clear" w:color="auto" w:fill="auto"/>
            <w:noWrap/>
            <w:vAlign w:val="bottom"/>
            <w:hideMark/>
          </w:tcPr>
          <w:p w14:paraId="742D3294"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Managed</w:t>
            </w:r>
          </w:p>
        </w:tc>
        <w:tc>
          <w:tcPr>
            <w:tcW w:w="1144" w:type="dxa"/>
            <w:tcBorders>
              <w:top w:val="single" w:sz="4" w:space="0" w:color="auto"/>
              <w:left w:val="nil"/>
              <w:bottom w:val="single" w:sz="4" w:space="0" w:color="auto"/>
              <w:right w:val="nil"/>
            </w:tcBorders>
            <w:shd w:val="clear" w:color="auto" w:fill="auto"/>
            <w:noWrap/>
            <w:vAlign w:val="bottom"/>
            <w:hideMark/>
          </w:tcPr>
          <w:p w14:paraId="04FA5F77"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Properties</w:t>
            </w:r>
          </w:p>
        </w:tc>
        <w:tc>
          <w:tcPr>
            <w:tcW w:w="1954" w:type="dxa"/>
            <w:tcBorders>
              <w:top w:val="single" w:sz="4" w:space="0" w:color="auto"/>
              <w:left w:val="nil"/>
              <w:bottom w:val="single" w:sz="4" w:space="0" w:color="auto"/>
              <w:right w:val="nil"/>
            </w:tcBorders>
            <w:vAlign w:val="bottom"/>
          </w:tcPr>
          <w:p w14:paraId="142D09E9"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Property Size (km</w:t>
            </w:r>
            <w:r w:rsidRPr="008D2FA0">
              <w:rPr>
                <w:rFonts w:ascii="Times New Roman" w:eastAsia="Times New Roman" w:hAnsi="Times New Roman" w:cs="Times New Roman"/>
                <w:b/>
                <w:bCs/>
                <w:color w:val="000000"/>
                <w:sz w:val="20"/>
                <w:szCs w:val="20"/>
                <w:vertAlign w:val="superscript"/>
                <w:lang w:eastAsia="en-CA"/>
              </w:rPr>
              <w:t>2</w:t>
            </w:r>
            <w:r w:rsidRPr="008D2FA0">
              <w:rPr>
                <w:rFonts w:ascii="Times New Roman" w:eastAsia="Times New Roman" w:hAnsi="Times New Roman" w:cs="Times New Roman"/>
                <w:b/>
                <w:bCs/>
                <w:color w:val="000000"/>
                <w:sz w:val="20"/>
                <w:szCs w:val="20"/>
                <w:lang w:eastAsia="en-CA"/>
              </w:rPr>
              <w:t>)</w:t>
            </w:r>
          </w:p>
        </w:tc>
        <w:tc>
          <w:tcPr>
            <w:tcW w:w="2126" w:type="dxa"/>
            <w:tcBorders>
              <w:top w:val="single" w:sz="4" w:space="0" w:color="auto"/>
              <w:left w:val="nil"/>
              <w:bottom w:val="single" w:sz="4" w:space="0" w:color="auto"/>
              <w:right w:val="nil"/>
            </w:tcBorders>
            <w:shd w:val="clear" w:color="auto" w:fill="auto"/>
            <w:noWrap/>
            <w:vAlign w:val="bottom"/>
            <w:hideMark/>
          </w:tcPr>
          <w:p w14:paraId="1EE1F388"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Activity coverage (%)</w:t>
            </w:r>
          </w:p>
        </w:tc>
      </w:tr>
      <w:tr w:rsidR="00965826" w:rsidRPr="008D2FA0" w14:paraId="54774E1C" w14:textId="77777777" w:rsidTr="00965826">
        <w:trPr>
          <w:trHeight w:val="300"/>
        </w:trPr>
        <w:tc>
          <w:tcPr>
            <w:tcW w:w="1985" w:type="dxa"/>
            <w:tcBorders>
              <w:top w:val="single" w:sz="4" w:space="0" w:color="auto"/>
              <w:left w:val="nil"/>
              <w:bottom w:val="nil"/>
              <w:right w:val="nil"/>
            </w:tcBorders>
            <w:shd w:val="clear" w:color="auto" w:fill="auto"/>
            <w:noWrap/>
            <w:vAlign w:val="bottom"/>
            <w:hideMark/>
          </w:tcPr>
          <w:p w14:paraId="3F3B5945"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single" w:sz="4" w:space="0" w:color="auto"/>
              <w:left w:val="nil"/>
              <w:bottom w:val="nil"/>
              <w:right w:val="nil"/>
            </w:tcBorders>
            <w:shd w:val="clear" w:color="auto" w:fill="auto"/>
            <w:noWrap/>
            <w:vAlign w:val="bottom"/>
            <w:hideMark/>
          </w:tcPr>
          <w:p w14:paraId="62DC7F9C"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Managed Land</w:t>
            </w:r>
          </w:p>
        </w:tc>
        <w:tc>
          <w:tcPr>
            <w:tcW w:w="1144" w:type="dxa"/>
            <w:tcBorders>
              <w:top w:val="single" w:sz="4" w:space="0" w:color="auto"/>
              <w:left w:val="nil"/>
              <w:bottom w:val="nil"/>
              <w:right w:val="nil"/>
            </w:tcBorders>
            <w:shd w:val="clear" w:color="auto" w:fill="auto"/>
            <w:noWrap/>
            <w:vAlign w:val="bottom"/>
            <w:hideMark/>
          </w:tcPr>
          <w:p w14:paraId="401871D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7</w:t>
            </w:r>
          </w:p>
        </w:tc>
        <w:tc>
          <w:tcPr>
            <w:tcW w:w="1954" w:type="dxa"/>
            <w:tcBorders>
              <w:top w:val="single" w:sz="4" w:space="0" w:color="auto"/>
              <w:left w:val="nil"/>
              <w:bottom w:val="nil"/>
              <w:right w:val="nil"/>
            </w:tcBorders>
            <w:vAlign w:val="bottom"/>
          </w:tcPr>
          <w:p w14:paraId="04D3393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3.68</w:t>
            </w:r>
          </w:p>
        </w:tc>
        <w:tc>
          <w:tcPr>
            <w:tcW w:w="2126" w:type="dxa"/>
            <w:tcBorders>
              <w:top w:val="single" w:sz="4" w:space="0" w:color="auto"/>
              <w:left w:val="nil"/>
              <w:bottom w:val="nil"/>
              <w:right w:val="nil"/>
            </w:tcBorders>
            <w:shd w:val="clear" w:color="auto" w:fill="auto"/>
            <w:noWrap/>
            <w:vAlign w:val="bottom"/>
            <w:hideMark/>
          </w:tcPr>
          <w:p w14:paraId="3646C81A"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59.8</w:t>
            </w:r>
          </w:p>
        </w:tc>
      </w:tr>
      <w:tr w:rsidR="00965826" w:rsidRPr="008D2FA0" w14:paraId="3C648AAE" w14:textId="77777777" w:rsidTr="00C00669">
        <w:trPr>
          <w:trHeight w:val="300"/>
        </w:trPr>
        <w:tc>
          <w:tcPr>
            <w:tcW w:w="1985" w:type="dxa"/>
            <w:tcBorders>
              <w:top w:val="nil"/>
              <w:left w:val="nil"/>
              <w:bottom w:val="nil"/>
              <w:right w:val="nil"/>
            </w:tcBorders>
            <w:shd w:val="clear" w:color="auto" w:fill="auto"/>
            <w:noWrap/>
            <w:vAlign w:val="bottom"/>
            <w:hideMark/>
          </w:tcPr>
          <w:p w14:paraId="7FFC58A4"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nil"/>
              <w:left w:val="nil"/>
              <w:bottom w:val="nil"/>
              <w:right w:val="nil"/>
            </w:tcBorders>
            <w:shd w:val="clear" w:color="auto" w:fill="auto"/>
            <w:noWrap/>
            <w:vAlign w:val="bottom"/>
            <w:hideMark/>
          </w:tcPr>
          <w:p w14:paraId="0EE18EEE"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7E3503F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8</w:t>
            </w:r>
          </w:p>
        </w:tc>
        <w:tc>
          <w:tcPr>
            <w:tcW w:w="1954" w:type="dxa"/>
            <w:tcBorders>
              <w:top w:val="nil"/>
              <w:left w:val="nil"/>
              <w:bottom w:val="nil"/>
              <w:right w:val="nil"/>
            </w:tcBorders>
            <w:vAlign w:val="bottom"/>
          </w:tcPr>
          <w:p w14:paraId="52E6342F"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0.88</w:t>
            </w:r>
          </w:p>
        </w:tc>
        <w:tc>
          <w:tcPr>
            <w:tcW w:w="2126" w:type="dxa"/>
            <w:tcBorders>
              <w:top w:val="nil"/>
              <w:left w:val="nil"/>
              <w:bottom w:val="nil"/>
              <w:right w:val="nil"/>
            </w:tcBorders>
            <w:shd w:val="clear" w:color="auto" w:fill="auto"/>
            <w:noWrap/>
            <w:vAlign w:val="bottom"/>
            <w:hideMark/>
          </w:tcPr>
          <w:p w14:paraId="646CC8E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48.4</w:t>
            </w:r>
          </w:p>
        </w:tc>
      </w:tr>
      <w:tr w:rsidR="00965826" w:rsidRPr="008D2FA0" w14:paraId="17DCDE9B" w14:textId="77777777" w:rsidTr="00C00669">
        <w:trPr>
          <w:trHeight w:val="300"/>
        </w:trPr>
        <w:tc>
          <w:tcPr>
            <w:tcW w:w="1985" w:type="dxa"/>
            <w:tcBorders>
              <w:top w:val="nil"/>
              <w:left w:val="nil"/>
              <w:bottom w:val="nil"/>
              <w:right w:val="nil"/>
            </w:tcBorders>
            <w:shd w:val="clear" w:color="auto" w:fill="auto"/>
            <w:noWrap/>
            <w:vAlign w:val="bottom"/>
            <w:hideMark/>
          </w:tcPr>
          <w:p w14:paraId="78290E99"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Natural Area</w:t>
            </w:r>
          </w:p>
        </w:tc>
        <w:tc>
          <w:tcPr>
            <w:tcW w:w="2288" w:type="dxa"/>
            <w:tcBorders>
              <w:top w:val="nil"/>
              <w:left w:val="nil"/>
              <w:bottom w:val="nil"/>
              <w:right w:val="nil"/>
            </w:tcBorders>
            <w:shd w:val="clear" w:color="auto" w:fill="auto"/>
            <w:noWrap/>
            <w:vAlign w:val="bottom"/>
            <w:hideMark/>
          </w:tcPr>
          <w:p w14:paraId="5A21F82B"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643A7BB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16</w:t>
            </w:r>
          </w:p>
        </w:tc>
        <w:tc>
          <w:tcPr>
            <w:tcW w:w="1954" w:type="dxa"/>
            <w:tcBorders>
              <w:top w:val="nil"/>
              <w:left w:val="nil"/>
              <w:bottom w:val="nil"/>
              <w:right w:val="nil"/>
            </w:tcBorders>
            <w:vAlign w:val="bottom"/>
          </w:tcPr>
          <w:p w14:paraId="32A9CDA3"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0.5</w:t>
            </w:r>
          </w:p>
        </w:tc>
        <w:tc>
          <w:tcPr>
            <w:tcW w:w="2126" w:type="dxa"/>
            <w:tcBorders>
              <w:top w:val="nil"/>
              <w:left w:val="nil"/>
              <w:bottom w:val="nil"/>
              <w:right w:val="nil"/>
            </w:tcBorders>
            <w:shd w:val="clear" w:color="auto" w:fill="auto"/>
            <w:noWrap/>
            <w:vAlign w:val="bottom"/>
            <w:hideMark/>
          </w:tcPr>
          <w:p w14:paraId="3742C71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44.5</w:t>
            </w:r>
          </w:p>
        </w:tc>
      </w:tr>
      <w:tr w:rsidR="00965826" w:rsidRPr="008D2FA0" w14:paraId="506FBF53" w14:textId="77777777" w:rsidTr="00965826">
        <w:trPr>
          <w:trHeight w:val="80"/>
        </w:trPr>
        <w:tc>
          <w:tcPr>
            <w:tcW w:w="1985" w:type="dxa"/>
            <w:tcBorders>
              <w:top w:val="nil"/>
              <w:left w:val="nil"/>
              <w:right w:val="nil"/>
            </w:tcBorders>
            <w:shd w:val="clear" w:color="auto" w:fill="auto"/>
            <w:noWrap/>
            <w:vAlign w:val="bottom"/>
            <w:hideMark/>
          </w:tcPr>
          <w:p w14:paraId="0F548F97"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commentRangeStart w:id="5"/>
            <w:commentRangeStart w:id="6"/>
            <w:r w:rsidRPr="008D2FA0">
              <w:rPr>
                <w:rFonts w:ascii="Times New Roman" w:eastAsia="Times New Roman" w:hAnsi="Times New Roman" w:cs="Times New Roman"/>
                <w:color w:val="000000"/>
                <w:sz w:val="20"/>
                <w:szCs w:val="20"/>
                <w:lang w:eastAsia="en-CA"/>
              </w:rPr>
              <w:t>Other</w:t>
            </w:r>
            <w:commentRangeEnd w:id="5"/>
            <w:r w:rsidR="00974C01">
              <w:rPr>
                <w:rStyle w:val="CommentReference"/>
              </w:rPr>
              <w:commentReference w:id="5"/>
            </w:r>
            <w:commentRangeEnd w:id="6"/>
            <w:r w:rsidR="005C01C2">
              <w:rPr>
                <w:rStyle w:val="CommentReference"/>
              </w:rPr>
              <w:commentReference w:id="6"/>
            </w:r>
          </w:p>
        </w:tc>
        <w:tc>
          <w:tcPr>
            <w:tcW w:w="2288" w:type="dxa"/>
            <w:tcBorders>
              <w:top w:val="nil"/>
              <w:left w:val="nil"/>
              <w:right w:val="nil"/>
            </w:tcBorders>
            <w:shd w:val="clear" w:color="auto" w:fill="auto"/>
            <w:noWrap/>
            <w:vAlign w:val="bottom"/>
            <w:hideMark/>
          </w:tcPr>
          <w:p w14:paraId="3A155EE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right w:val="nil"/>
            </w:tcBorders>
            <w:shd w:val="clear" w:color="auto" w:fill="auto"/>
            <w:noWrap/>
            <w:vAlign w:val="bottom"/>
            <w:hideMark/>
          </w:tcPr>
          <w:p w14:paraId="60E7D0D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9</w:t>
            </w:r>
          </w:p>
        </w:tc>
        <w:tc>
          <w:tcPr>
            <w:tcW w:w="1954" w:type="dxa"/>
            <w:tcBorders>
              <w:top w:val="nil"/>
              <w:left w:val="nil"/>
              <w:right w:val="nil"/>
            </w:tcBorders>
            <w:vAlign w:val="bottom"/>
          </w:tcPr>
          <w:p w14:paraId="38429B2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0.1</w:t>
            </w:r>
          </w:p>
        </w:tc>
        <w:tc>
          <w:tcPr>
            <w:tcW w:w="2126" w:type="dxa"/>
            <w:tcBorders>
              <w:top w:val="nil"/>
              <w:left w:val="nil"/>
              <w:right w:val="nil"/>
            </w:tcBorders>
            <w:shd w:val="clear" w:color="auto" w:fill="auto"/>
            <w:noWrap/>
            <w:vAlign w:val="bottom"/>
            <w:hideMark/>
          </w:tcPr>
          <w:p w14:paraId="6E47B82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34.3</w:t>
            </w:r>
          </w:p>
        </w:tc>
      </w:tr>
      <w:tr w:rsidR="00965826" w:rsidRPr="008D2FA0" w14:paraId="4C864673" w14:textId="77777777" w:rsidTr="00965826">
        <w:trPr>
          <w:trHeight w:val="80"/>
        </w:trPr>
        <w:tc>
          <w:tcPr>
            <w:tcW w:w="1985" w:type="dxa"/>
            <w:tcBorders>
              <w:top w:val="nil"/>
              <w:left w:val="nil"/>
              <w:bottom w:val="single" w:sz="4" w:space="0" w:color="auto"/>
              <w:right w:val="nil"/>
            </w:tcBorders>
            <w:shd w:val="clear" w:color="auto" w:fill="auto"/>
            <w:noWrap/>
            <w:vAlign w:val="bottom"/>
            <w:hideMark/>
          </w:tcPr>
          <w:p w14:paraId="6A0BBE5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Reserve Area</w:t>
            </w:r>
          </w:p>
        </w:tc>
        <w:tc>
          <w:tcPr>
            <w:tcW w:w="2288" w:type="dxa"/>
            <w:tcBorders>
              <w:top w:val="nil"/>
              <w:left w:val="nil"/>
              <w:bottom w:val="single" w:sz="4" w:space="0" w:color="auto"/>
              <w:right w:val="nil"/>
            </w:tcBorders>
            <w:shd w:val="clear" w:color="auto" w:fill="auto"/>
            <w:noWrap/>
            <w:vAlign w:val="bottom"/>
            <w:hideMark/>
          </w:tcPr>
          <w:p w14:paraId="5F933FF1"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single" w:sz="4" w:space="0" w:color="auto"/>
              <w:right w:val="nil"/>
            </w:tcBorders>
            <w:shd w:val="clear" w:color="auto" w:fill="auto"/>
            <w:noWrap/>
            <w:vAlign w:val="bottom"/>
            <w:hideMark/>
          </w:tcPr>
          <w:p w14:paraId="2F08DCF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13</w:t>
            </w:r>
          </w:p>
        </w:tc>
        <w:tc>
          <w:tcPr>
            <w:tcW w:w="1954" w:type="dxa"/>
            <w:tcBorders>
              <w:top w:val="nil"/>
              <w:left w:val="nil"/>
              <w:bottom w:val="single" w:sz="4" w:space="0" w:color="auto"/>
              <w:right w:val="nil"/>
            </w:tcBorders>
            <w:vAlign w:val="bottom"/>
          </w:tcPr>
          <w:p w14:paraId="0210BB9B"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0.24</w:t>
            </w:r>
          </w:p>
        </w:tc>
        <w:tc>
          <w:tcPr>
            <w:tcW w:w="2126" w:type="dxa"/>
            <w:tcBorders>
              <w:top w:val="nil"/>
              <w:left w:val="nil"/>
              <w:bottom w:val="single" w:sz="4" w:space="0" w:color="auto"/>
              <w:right w:val="nil"/>
            </w:tcBorders>
            <w:shd w:val="clear" w:color="auto" w:fill="auto"/>
            <w:noWrap/>
            <w:vAlign w:val="bottom"/>
            <w:hideMark/>
          </w:tcPr>
          <w:p w14:paraId="56F9E9A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26.3</w:t>
            </w:r>
          </w:p>
        </w:tc>
      </w:tr>
    </w:tbl>
    <w:p w14:paraId="63351753" w14:textId="65070612" w:rsidR="00CC6FA2" w:rsidRDefault="00CC6FA2" w:rsidP="00C73D41">
      <w:pPr>
        <w:spacing w:line="480" w:lineRule="auto"/>
        <w:rPr>
          <w:rFonts w:ascii="Times New Roman" w:hAnsi="Times New Roman" w:cs="Times New Roman"/>
          <w:sz w:val="24"/>
          <w:szCs w:val="24"/>
        </w:rPr>
      </w:pPr>
    </w:p>
    <w:p w14:paraId="4A987A7E" w14:textId="63CE02D2" w:rsidR="009170C2" w:rsidRPr="008D2FA0" w:rsidRDefault="009170C2" w:rsidP="002F284F">
      <w:pPr>
        <w:rPr>
          <w:rFonts w:ascii="Times New Roman" w:hAnsi="Times New Roman" w:cs="Times New Roman"/>
          <w:sz w:val="24"/>
          <w:szCs w:val="24"/>
        </w:rPr>
      </w:pPr>
      <w:r w:rsidRPr="008D2FA0">
        <w:rPr>
          <w:rFonts w:ascii="Times New Roman" w:hAnsi="Times New Roman" w:cs="Times New Roman"/>
          <w:sz w:val="24"/>
          <w:szCs w:val="24"/>
        </w:rPr>
        <w:br w:type="page"/>
      </w:r>
    </w:p>
    <w:p w14:paraId="54DDF5B7" w14:textId="1A2C5851" w:rsidR="009170C2" w:rsidRPr="008D2FA0" w:rsidRDefault="00DE3F8A" w:rsidP="00C73D41">
      <w:pPr>
        <w:spacing w:line="480" w:lineRule="auto"/>
        <w:rPr>
          <w:rFonts w:ascii="Times New Roman" w:hAnsi="Times New Roman" w:cs="Times New Roman"/>
          <w:sz w:val="24"/>
          <w:szCs w:val="24"/>
        </w:rPr>
      </w:pPr>
      <w:bookmarkStart w:id="7" w:name="_Hlk94537928"/>
      <w:r w:rsidRPr="008D2FA0">
        <w:rPr>
          <w:rFonts w:ascii="Times New Roman" w:hAnsi="Times New Roman" w:cs="Times New Roman"/>
          <w:noProof/>
        </w:rPr>
        <w:lastRenderedPageBreak/>
        <w:drawing>
          <wp:inline distT="0" distB="0" distL="0" distR="0" wp14:anchorId="47CB2340" wp14:editId="476D50D3">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bookmarkStart w:id="8" w:name="_Hlk94598617"/>
      <w:r w:rsidRPr="008D2FA0">
        <w:rPr>
          <w:rFonts w:ascii="Times New Roman" w:hAnsi="Times New Roman" w:cs="Times New Roman"/>
          <w:b/>
          <w:bCs/>
          <w:sz w:val="24"/>
          <w:szCs w:val="24"/>
        </w:rPr>
        <w:t>Figure 1</w:t>
      </w:r>
      <w:r w:rsidRPr="008D2FA0">
        <w:rPr>
          <w:rFonts w:ascii="Times New Roman" w:hAnsi="Times New Roman" w:cs="Times New Roman"/>
          <w:sz w:val="24"/>
          <w:szCs w:val="24"/>
        </w:rPr>
        <w:t xml:space="preserve">: A representation of </w:t>
      </w:r>
      <w:r w:rsidR="00974C01">
        <w:rPr>
          <w:rFonts w:ascii="Times New Roman" w:hAnsi="Times New Roman" w:cs="Times New Roman"/>
          <w:sz w:val="24"/>
          <w:szCs w:val="24"/>
        </w:rPr>
        <w:t xml:space="preserve">anonymized </w:t>
      </w:r>
      <w:r w:rsidRPr="008D2FA0">
        <w:rPr>
          <w:rFonts w:ascii="Times New Roman" w:hAnsi="Times New Roman" w:cs="Times New Roman"/>
          <w:sz w:val="24"/>
          <w:szCs w:val="24"/>
        </w:rPr>
        <w:t>mobility data in two Conservation Halton properties</w:t>
      </w:r>
      <w:r w:rsidR="00974C01">
        <w:rPr>
          <w:rFonts w:ascii="Times New Roman" w:hAnsi="Times New Roman" w:cs="Times New Roman"/>
          <w:sz w:val="24"/>
          <w:szCs w:val="24"/>
        </w:rPr>
        <w:t>,</w:t>
      </w:r>
      <w:r w:rsidRPr="008D2FA0">
        <w:rPr>
          <w:rFonts w:ascii="Times New Roman" w:hAnsi="Times New Roman" w:cs="Times New Roman"/>
          <w:sz w:val="24"/>
          <w:szCs w:val="24"/>
        </w:rPr>
        <w:t xml:space="preserve"> Hilton Falls and Kelso Conservation </w:t>
      </w:r>
      <w:r w:rsidR="009343C2" w:rsidRPr="008D2FA0">
        <w:rPr>
          <w:rFonts w:ascii="Times New Roman" w:hAnsi="Times New Roman" w:cs="Times New Roman"/>
          <w:sz w:val="24"/>
          <w:szCs w:val="24"/>
        </w:rPr>
        <w:t>A</w:t>
      </w:r>
      <w:r w:rsidRPr="008D2FA0">
        <w:rPr>
          <w:rFonts w:ascii="Times New Roman" w:hAnsi="Times New Roman" w:cs="Times New Roman"/>
          <w:sz w:val="24"/>
          <w:szCs w:val="24"/>
        </w:rPr>
        <w:t xml:space="preserve">rea. Each blue grid-cell represents a 100 x 100 m pixel of anonymized mobility data with darker colours representing higher </w:t>
      </w:r>
      <w:r w:rsidR="009343C2" w:rsidRPr="008D2FA0">
        <w:rPr>
          <w:rFonts w:ascii="Times New Roman" w:hAnsi="Times New Roman" w:cs="Times New Roman"/>
          <w:sz w:val="24"/>
          <w:szCs w:val="24"/>
        </w:rPr>
        <w:t>densities</w:t>
      </w:r>
      <w:r w:rsidRPr="008D2FA0">
        <w:rPr>
          <w:rFonts w:ascii="Times New Roman" w:hAnsi="Times New Roman" w:cs="Times New Roman"/>
          <w:sz w:val="24"/>
          <w:szCs w:val="24"/>
        </w:rPr>
        <w:t xml:space="preserve"> of human activity. Orange lines within property boundaries are official trails managed within the </w:t>
      </w:r>
      <w:r w:rsidR="002F284F">
        <w:rPr>
          <w:rFonts w:ascii="Times New Roman" w:hAnsi="Times New Roman" w:cs="Times New Roman"/>
          <w:sz w:val="24"/>
          <w:szCs w:val="24"/>
        </w:rPr>
        <w:t>green space</w:t>
      </w:r>
      <w:r w:rsidRPr="008D2FA0">
        <w:rPr>
          <w:rFonts w:ascii="Times New Roman" w:hAnsi="Times New Roman" w:cs="Times New Roman"/>
          <w:sz w:val="24"/>
          <w:szCs w:val="24"/>
        </w:rPr>
        <w:t xml:space="preserve">. Green areas within property boundaries have activity levels too low to be available in the mobility dataset, potentially representing </w:t>
      </w:r>
      <w:r w:rsidR="009C59CA" w:rsidRPr="008D2FA0">
        <w:rPr>
          <w:rFonts w:ascii="Times New Roman" w:hAnsi="Times New Roman" w:cs="Times New Roman"/>
          <w:sz w:val="24"/>
          <w:szCs w:val="24"/>
        </w:rPr>
        <w:t xml:space="preserve">refugia in the park where human activity is negligible. </w:t>
      </w:r>
    </w:p>
    <w:p w14:paraId="1156693F" w14:textId="3B104445"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7A17CF3F" w14:textId="5ACC85B9"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072AC6E3" wp14:editId="3978E397">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D963BBA" w14:textId="6783C428"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Figure 2:</w:t>
      </w:r>
      <w:r w:rsidRPr="008D2FA0">
        <w:rPr>
          <w:rFonts w:ascii="Times New Roman" w:hAnsi="Times New Roman" w:cs="Times New Roman"/>
          <w:sz w:val="24"/>
          <w:szCs w:val="24"/>
        </w:rPr>
        <w:t xml:space="preserve"> The total daily reservations for </w:t>
      </w:r>
      <w:r w:rsidR="00CF6A62" w:rsidRPr="008D2FA0">
        <w:rPr>
          <w:rFonts w:ascii="Times New Roman" w:hAnsi="Times New Roman" w:cs="Times New Roman"/>
          <w:sz w:val="24"/>
          <w:szCs w:val="24"/>
        </w:rPr>
        <w:t>Conservation Halton</w:t>
      </w:r>
      <w:r w:rsidRPr="008D2FA0">
        <w:rPr>
          <w:rFonts w:ascii="Times New Roman" w:hAnsi="Times New Roman" w:cs="Times New Roman"/>
          <w:sz w:val="24"/>
          <w:szCs w:val="24"/>
        </w:rPr>
        <w:t xml:space="preserve"> properties that had reservation-only entrance were strongly positively associated with mobility data. On average, mobility data was much higher on weekends compared to weekdays. Reservation and mobility data are the </w:t>
      </w:r>
      <w:r w:rsidR="00527F18" w:rsidRPr="008D2FA0">
        <w:rPr>
          <w:rFonts w:ascii="Times New Roman" w:hAnsi="Times New Roman" w:cs="Times New Roman"/>
          <w:sz w:val="24"/>
          <w:szCs w:val="24"/>
        </w:rPr>
        <w:t>total</w:t>
      </w:r>
      <w:r w:rsidRPr="008D2FA0">
        <w:rPr>
          <w:rFonts w:ascii="Times New Roman" w:hAnsi="Times New Roman" w:cs="Times New Roman"/>
          <w:sz w:val="24"/>
          <w:szCs w:val="24"/>
        </w:rPr>
        <w:t xml:space="preserve"> of activity within each conservation authority property between </w:t>
      </w:r>
      <w:r w:rsidR="002F284F">
        <w:rPr>
          <w:rFonts w:ascii="Times New Roman" w:hAnsi="Times New Roman" w:cs="Times New Roman"/>
          <w:sz w:val="24"/>
          <w:szCs w:val="24"/>
        </w:rPr>
        <w:t>June</w:t>
      </w:r>
      <w:r w:rsidRPr="008D2FA0">
        <w:rPr>
          <w:rFonts w:ascii="Times New Roman" w:hAnsi="Times New Roman" w:cs="Times New Roman"/>
          <w:sz w:val="24"/>
          <w:szCs w:val="24"/>
        </w:rPr>
        <w:t xml:space="preserve"> and August 2020.  </w:t>
      </w:r>
    </w:p>
    <w:p w14:paraId="564D5018" w14:textId="6F069EF4" w:rsidR="00C94864" w:rsidRPr="008D2FA0" w:rsidRDefault="00C94864" w:rsidP="00C73D41">
      <w:pPr>
        <w:spacing w:line="480" w:lineRule="auto"/>
        <w:rPr>
          <w:rFonts w:ascii="Times New Roman" w:hAnsi="Times New Roman" w:cs="Times New Roman"/>
          <w:sz w:val="24"/>
          <w:szCs w:val="24"/>
        </w:rPr>
      </w:pPr>
    </w:p>
    <w:p w14:paraId="6C0CE89B" w14:textId="464466CA"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49281D30" w14:textId="317E7216"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577A9A52" wp14:editId="41F95CB5">
            <wp:extent cx="5943600" cy="2011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r w:rsidRPr="008D2FA0">
        <w:rPr>
          <w:rFonts w:ascii="Times New Roman" w:hAnsi="Times New Roman" w:cs="Times New Roman"/>
          <w:b/>
          <w:bCs/>
          <w:sz w:val="24"/>
          <w:szCs w:val="24"/>
        </w:rPr>
        <w:t>Figure 3:</w:t>
      </w:r>
      <w:r w:rsidRPr="008D2FA0">
        <w:rPr>
          <w:rFonts w:ascii="Times New Roman" w:hAnsi="Times New Roman" w:cs="Times New Roman"/>
          <w:sz w:val="24"/>
          <w:szCs w:val="24"/>
        </w:rPr>
        <w:t xml:space="preserve"> Patterns of trail use with mobility data. Properties with higher trail densities were found to have significantly high activity patterns once controlling for the two smallest properties (Shanahan and Robert Edmondson). There was also a positive relationship with area of human activity</w:t>
      </w:r>
      <w:r w:rsidR="00535E9D" w:rsidRPr="008D2FA0">
        <w:rPr>
          <w:rFonts w:ascii="Times New Roman" w:hAnsi="Times New Roman" w:cs="Times New Roman"/>
          <w:sz w:val="24"/>
          <w:szCs w:val="24"/>
        </w:rPr>
        <w:t xml:space="preserve"> </w:t>
      </w:r>
      <w:r w:rsidR="003C7071" w:rsidRPr="008D2FA0">
        <w:rPr>
          <w:rFonts w:ascii="Times New Roman" w:hAnsi="Times New Roman" w:cs="Times New Roman"/>
          <w:sz w:val="24"/>
          <w:szCs w:val="24"/>
        </w:rPr>
        <w:t>with trail densities, especially properties with water bodies that had high percentages of human interaction. The percentage of activity on trails (i.e., on-trail vs. off-trail use)</w:t>
      </w:r>
      <w:r w:rsidR="008D2FA0" w:rsidRPr="008D2FA0">
        <w:rPr>
          <w:rFonts w:ascii="Times New Roman" w:hAnsi="Times New Roman" w:cs="Times New Roman"/>
          <w:sz w:val="24"/>
          <w:szCs w:val="24"/>
        </w:rPr>
        <w:t>.</w:t>
      </w:r>
    </w:p>
    <w:p w14:paraId="5AEB8F9B" w14:textId="19F11071"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6EA73955" w14:textId="5408D165" w:rsidR="00193647" w:rsidRDefault="004F20E2" w:rsidP="00C73D41">
      <w:pPr>
        <w:spacing w:line="480" w:lineRule="auto"/>
        <w:rPr>
          <w:rFonts w:ascii="Times New Roman" w:hAnsi="Times New Roman" w:cs="Times New Roman"/>
          <w:sz w:val="24"/>
          <w:szCs w:val="24"/>
        </w:rPr>
      </w:pPr>
      <w:r>
        <w:rPr>
          <w:noProof/>
        </w:rPr>
        <w:lastRenderedPageBreak/>
        <w:drawing>
          <wp:inline distT="0" distB="0" distL="0" distR="0" wp14:anchorId="05D505AC" wp14:editId="445AA93D">
            <wp:extent cx="5166161" cy="645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6651" cy="6456658"/>
                    </a:xfrm>
                    <a:prstGeom prst="rect">
                      <a:avLst/>
                    </a:prstGeom>
                    <a:noFill/>
                    <a:ln>
                      <a:noFill/>
                    </a:ln>
                  </pic:spPr>
                </pic:pic>
              </a:graphicData>
            </a:graphic>
          </wp:inline>
        </w:drawing>
      </w:r>
    </w:p>
    <w:p w14:paraId="759CB896" w14:textId="77777777" w:rsidR="00B76482" w:rsidRDefault="00193647" w:rsidP="00C73D41">
      <w:pPr>
        <w:spacing w:line="480" w:lineRule="auto"/>
        <w:rPr>
          <w:rFonts w:ascii="Times New Roman" w:hAnsi="Times New Roman" w:cs="Times New Roman"/>
          <w:sz w:val="24"/>
          <w:szCs w:val="24"/>
        </w:rPr>
      </w:pPr>
      <w:r w:rsidRPr="004F20E2">
        <w:rPr>
          <w:rFonts w:ascii="Times New Roman" w:hAnsi="Times New Roman" w:cs="Times New Roman"/>
          <w:b/>
          <w:bCs/>
          <w:sz w:val="24"/>
          <w:szCs w:val="24"/>
        </w:rPr>
        <w:t>Figure 4</w:t>
      </w:r>
      <w:r>
        <w:rPr>
          <w:rFonts w:ascii="Times New Roman" w:hAnsi="Times New Roman" w:cs="Times New Roman"/>
          <w:sz w:val="24"/>
          <w:szCs w:val="24"/>
        </w:rPr>
        <w:t xml:space="preserve">: Patterns of human activity in </w:t>
      </w:r>
      <w:r w:rsidR="002C0FCC">
        <w:rPr>
          <w:rFonts w:ascii="Times New Roman" w:hAnsi="Times New Roman" w:cs="Times New Roman"/>
          <w:sz w:val="24"/>
          <w:szCs w:val="24"/>
        </w:rPr>
        <w:t>each of the ecological land classifications (ELC) for Conservation Halton properties. Proportion of human activity by ELC represents the percent of human activity within the property separated by each ELC class</w:t>
      </w:r>
      <w:r w:rsidR="004F20E2">
        <w:rPr>
          <w:rFonts w:ascii="Times New Roman" w:hAnsi="Times New Roman" w:cs="Times New Roman"/>
          <w:sz w:val="24"/>
          <w:szCs w:val="24"/>
        </w:rPr>
        <w:t xml:space="preserve"> (Panel A)</w:t>
      </w:r>
      <w:r w:rsidR="002C0FCC">
        <w:rPr>
          <w:rFonts w:ascii="Times New Roman" w:hAnsi="Times New Roman" w:cs="Times New Roman"/>
          <w:sz w:val="24"/>
          <w:szCs w:val="24"/>
        </w:rPr>
        <w:t xml:space="preserve">. </w:t>
      </w:r>
      <w:r w:rsidR="004F20E2">
        <w:rPr>
          <w:rFonts w:ascii="Times New Roman" w:hAnsi="Times New Roman" w:cs="Times New Roman"/>
          <w:sz w:val="24"/>
          <w:szCs w:val="24"/>
        </w:rPr>
        <w:t xml:space="preserve">Proportion of ELC </w:t>
      </w:r>
      <w:bookmarkEnd w:id="8"/>
      <w:r w:rsidR="004F20E2">
        <w:rPr>
          <w:rFonts w:ascii="Times New Roman" w:hAnsi="Times New Roman" w:cs="Times New Roman"/>
          <w:sz w:val="24"/>
          <w:szCs w:val="24"/>
        </w:rPr>
        <w:lastRenderedPageBreak/>
        <w:t xml:space="preserve">used represents the percent of human activity in that ELC class relative to the total coverage of that ELC class within the property (Panel B). </w:t>
      </w:r>
    </w:p>
    <w:p w14:paraId="3AC27A0B" w14:textId="77777777" w:rsidR="00B76482" w:rsidRDefault="00B76482">
      <w:pPr>
        <w:rPr>
          <w:rFonts w:ascii="Times New Roman" w:hAnsi="Times New Roman" w:cs="Times New Roman"/>
          <w:sz w:val="24"/>
          <w:szCs w:val="24"/>
        </w:rPr>
      </w:pPr>
      <w:r>
        <w:rPr>
          <w:rFonts w:ascii="Times New Roman" w:hAnsi="Times New Roman" w:cs="Times New Roman"/>
          <w:sz w:val="24"/>
          <w:szCs w:val="24"/>
        </w:rPr>
        <w:br w:type="page"/>
      </w:r>
    </w:p>
    <w:p w14:paraId="56673F13" w14:textId="77777777" w:rsidR="00B76482" w:rsidRDefault="00B76482" w:rsidP="00C73D41">
      <w:pPr>
        <w:spacing w:line="480" w:lineRule="auto"/>
        <w:rPr>
          <w:rFonts w:ascii="Times New Roman" w:hAnsi="Times New Roman" w:cs="Times New Roman"/>
          <w:sz w:val="24"/>
          <w:szCs w:val="24"/>
        </w:rPr>
      </w:pPr>
      <w:r>
        <w:rPr>
          <w:noProof/>
        </w:rPr>
        <w:lastRenderedPageBreak/>
        <w:drawing>
          <wp:inline distT="0" distB="0" distL="0" distR="0" wp14:anchorId="7265C5A5" wp14:editId="09CA8F70">
            <wp:extent cx="5943600" cy="5425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25440"/>
                    </a:xfrm>
                    <a:prstGeom prst="rect">
                      <a:avLst/>
                    </a:prstGeom>
                  </pic:spPr>
                </pic:pic>
              </a:graphicData>
            </a:graphic>
          </wp:inline>
        </w:drawing>
      </w:r>
    </w:p>
    <w:p w14:paraId="50107E71" w14:textId="69768877" w:rsidR="008D2FA0" w:rsidRPr="008D2FA0" w:rsidRDefault="00B76482" w:rsidP="00C73D41">
      <w:pPr>
        <w:spacing w:line="480" w:lineRule="auto"/>
        <w:rPr>
          <w:rFonts w:ascii="Times New Roman" w:hAnsi="Times New Roman" w:cs="Times New Roman"/>
          <w:sz w:val="24"/>
          <w:szCs w:val="24"/>
        </w:rPr>
      </w:pPr>
      <w:commentRangeStart w:id="9"/>
      <w:r w:rsidRPr="00B76482">
        <w:rPr>
          <w:rFonts w:ascii="Times New Roman" w:hAnsi="Times New Roman" w:cs="Times New Roman"/>
          <w:b/>
          <w:bCs/>
          <w:sz w:val="24"/>
          <w:szCs w:val="24"/>
        </w:rPr>
        <w:t>Figure 5</w:t>
      </w:r>
      <w:commentRangeEnd w:id="9"/>
      <w:r w:rsidR="005C01C2">
        <w:rPr>
          <w:rStyle w:val="CommentReference"/>
        </w:rPr>
        <w:commentReference w:id="9"/>
      </w:r>
      <w:r w:rsidRPr="00B76482">
        <w:rPr>
          <w:rFonts w:ascii="Times New Roman" w:hAnsi="Times New Roman" w:cs="Times New Roman"/>
          <w:b/>
          <w:bCs/>
          <w:sz w:val="24"/>
          <w:szCs w:val="24"/>
        </w:rPr>
        <w:t>:</w:t>
      </w:r>
      <w:r>
        <w:rPr>
          <w:rFonts w:ascii="Times New Roman" w:hAnsi="Times New Roman" w:cs="Times New Roman"/>
          <w:sz w:val="24"/>
          <w:szCs w:val="24"/>
        </w:rPr>
        <w:t xml:space="preserve"> Patterns of human activity relate to tree composition in green spaces (F</w:t>
      </w:r>
      <w:r>
        <w:rPr>
          <w:rFonts w:ascii="Times New Roman" w:hAnsi="Times New Roman" w:cs="Times New Roman"/>
          <w:sz w:val="24"/>
          <w:szCs w:val="24"/>
          <w:vertAlign w:val="subscript"/>
        </w:rPr>
        <w:t>15</w:t>
      </w:r>
      <w:r>
        <w:rPr>
          <w:rFonts w:ascii="Times New Roman" w:hAnsi="Times New Roman" w:cs="Times New Roman"/>
          <w:sz w:val="24"/>
          <w:szCs w:val="24"/>
        </w:rPr>
        <w:t xml:space="preserve"> = 2.74, p = 0.001). The partially constrained correspondence analysis (pCCA) explained 25% of the variation in tree species among properties. Year was included as a conditioning matrix to partial out any interannual variability. </w:t>
      </w:r>
      <w:r w:rsidR="008D2FA0" w:rsidRPr="008D2FA0">
        <w:rPr>
          <w:rFonts w:ascii="Times New Roman" w:hAnsi="Times New Roman" w:cs="Times New Roman"/>
          <w:sz w:val="24"/>
          <w:szCs w:val="24"/>
        </w:rPr>
        <w:br w:type="page"/>
      </w:r>
    </w:p>
    <w:bookmarkEnd w:id="7"/>
    <w:p w14:paraId="6AC0E87C" w14:textId="5384D09C" w:rsidR="008D2FA0" w:rsidRPr="008D2FA0" w:rsidRDefault="008D2FA0"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Appendix S1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D2FA0" w:rsidRPr="008D2FA0" w14:paraId="251135E7" w14:textId="77777777" w:rsidTr="008D2FA0">
        <w:tc>
          <w:tcPr>
            <w:tcW w:w="4617" w:type="dxa"/>
          </w:tcPr>
          <w:p w14:paraId="3209AFEC" w14:textId="684D41DF"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76E4E67E" wp14:editId="401BEB23">
                  <wp:extent cx="2990850" cy="2009648"/>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9281" cy="2048910"/>
                          </a:xfrm>
                          <a:prstGeom prst="rect">
                            <a:avLst/>
                          </a:prstGeom>
                          <a:noFill/>
                          <a:ln>
                            <a:solidFill>
                              <a:schemeClr val="tx1"/>
                            </a:solidFill>
                          </a:ln>
                        </pic:spPr>
                      </pic:pic>
                    </a:graphicData>
                  </a:graphic>
                </wp:inline>
              </w:drawing>
            </w:r>
          </w:p>
        </w:tc>
        <w:tc>
          <w:tcPr>
            <w:tcW w:w="4733" w:type="dxa"/>
          </w:tcPr>
          <w:p w14:paraId="38AECD92" w14:textId="4134DB8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23D665FE" wp14:editId="78720954">
                  <wp:extent cx="2733675" cy="2019038"/>
                  <wp:effectExtent l="19050" t="19050" r="952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954" b="13812"/>
                          <a:stretch/>
                        </pic:blipFill>
                        <pic:spPr bwMode="auto">
                          <a:xfrm>
                            <a:off x="0" y="0"/>
                            <a:ext cx="2757844" cy="2036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8D2FA0" w:rsidRPr="008D2FA0" w14:paraId="278A7C79" w14:textId="77777777" w:rsidTr="008D2FA0">
        <w:tc>
          <w:tcPr>
            <w:tcW w:w="9350" w:type="dxa"/>
            <w:gridSpan w:val="2"/>
          </w:tcPr>
          <w:p w14:paraId="5EEF9095" w14:textId="7AA9237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119E659E" wp14:editId="556533D0">
                  <wp:extent cx="5772150" cy="423799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4237990"/>
                          </a:xfrm>
                          <a:prstGeom prst="rect">
                            <a:avLst/>
                          </a:prstGeom>
                          <a:noFill/>
                          <a:ln>
                            <a:solidFill>
                              <a:schemeClr val="tx1"/>
                            </a:solidFill>
                          </a:ln>
                        </pic:spPr>
                      </pic:pic>
                    </a:graphicData>
                  </a:graphic>
                </wp:inline>
              </w:drawing>
            </w:r>
          </w:p>
        </w:tc>
      </w:tr>
      <w:tr w:rsidR="008D2FA0" w:rsidRPr="008D2FA0" w14:paraId="4C58F5BE" w14:textId="77777777" w:rsidTr="008D2FA0">
        <w:tc>
          <w:tcPr>
            <w:tcW w:w="9350" w:type="dxa"/>
            <w:gridSpan w:val="2"/>
          </w:tcPr>
          <w:p w14:paraId="7302C553" w14:textId="76DC8A85" w:rsidR="008D2FA0" w:rsidRPr="00712A16" w:rsidRDefault="008D2FA0" w:rsidP="00C73D41">
            <w:pPr>
              <w:spacing w:line="480" w:lineRule="auto"/>
              <w:rPr>
                <w:rFonts w:ascii="Times New Roman" w:hAnsi="Times New Roman" w:cs="Times New Roman"/>
                <w:noProof/>
              </w:rPr>
            </w:pPr>
            <w:r w:rsidRPr="008D2FA0">
              <w:rPr>
                <w:rFonts w:ascii="Times New Roman" w:hAnsi="Times New Roman" w:cs="Times New Roman"/>
                <w:b/>
                <w:bCs/>
                <w:noProof/>
              </w:rPr>
              <w:t xml:space="preserve">Figure S1: </w:t>
            </w:r>
            <w:r w:rsidR="00712A16">
              <w:rPr>
                <w:rFonts w:ascii="Times New Roman" w:hAnsi="Times New Roman" w:cs="Times New Roman"/>
                <w:noProof/>
              </w:rPr>
              <w:t xml:space="preserve">Exclusion of grid cells with high activity patterns overnight (12 – 6 am) maximizes activity found within greenspace poperties. Each grid cell represents a 100 x 100 m of mobility data. </w:t>
            </w:r>
            <w:r w:rsidR="00F20B25">
              <w:rPr>
                <w:rFonts w:ascii="Times New Roman" w:hAnsi="Times New Roman" w:cs="Times New Roman"/>
                <w:noProof/>
              </w:rPr>
              <w:t xml:space="preserve">Purple </w:t>
            </w:r>
            <w:r w:rsidR="00F20B25">
              <w:rPr>
                <w:rFonts w:ascii="Times New Roman" w:hAnsi="Times New Roman" w:cs="Times New Roman"/>
                <w:noProof/>
              </w:rPr>
              <w:lastRenderedPageBreak/>
              <w:t>grid cells are those identified to have high activity overnight</w:t>
            </w:r>
            <w:r w:rsidR="00C2067E">
              <w:rPr>
                <w:rFonts w:ascii="Times New Roman" w:hAnsi="Times New Roman" w:cs="Times New Roman"/>
                <w:noProof/>
              </w:rPr>
              <w:t xml:space="preserve">. These identified grid-cells were commonly along highways, major roads, or residental areas. </w:t>
            </w:r>
          </w:p>
        </w:tc>
      </w:tr>
    </w:tbl>
    <w:p w14:paraId="2943E27D" w14:textId="77777777" w:rsidR="008D2FA0" w:rsidRPr="008D2FA0" w:rsidRDefault="008D2FA0" w:rsidP="00C73D41">
      <w:pPr>
        <w:spacing w:line="480" w:lineRule="auto"/>
        <w:rPr>
          <w:rFonts w:ascii="Times New Roman" w:hAnsi="Times New Roman" w:cs="Times New Roman"/>
          <w:sz w:val="24"/>
          <w:szCs w:val="24"/>
        </w:rPr>
      </w:pPr>
    </w:p>
    <w:p w14:paraId="26AABC7A" w14:textId="1CF6C01D" w:rsidR="008D2FA0" w:rsidRPr="008D2FA0" w:rsidRDefault="008D2FA0" w:rsidP="00C73D41">
      <w:pPr>
        <w:spacing w:line="480" w:lineRule="auto"/>
        <w:rPr>
          <w:rFonts w:ascii="Times New Roman" w:hAnsi="Times New Roman" w:cs="Times New Roman"/>
          <w:sz w:val="24"/>
          <w:szCs w:val="24"/>
        </w:rPr>
      </w:pPr>
    </w:p>
    <w:sectPr w:rsidR="008D2FA0" w:rsidRPr="008D2FA0" w:rsidSect="00C73D4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Filazzola" w:date="2022-02-01T09:05:00Z" w:initials="AF">
    <w:p w14:paraId="73257742" w14:textId="384D9F4B" w:rsidR="00701789" w:rsidRDefault="00701789">
      <w:pPr>
        <w:pStyle w:val="CommentText"/>
      </w:pPr>
      <w:r>
        <w:rPr>
          <w:rStyle w:val="CommentReference"/>
        </w:rPr>
        <w:annotationRef/>
      </w:r>
      <w:r>
        <w:t>Add supplemental</w:t>
      </w:r>
      <w:r w:rsidR="009E7E34">
        <w:t xml:space="preserve"> of sample data set</w:t>
      </w:r>
    </w:p>
  </w:comment>
  <w:comment w:id="2" w:author="Alex Filazzola" w:date="2022-02-16T13:49:00Z" w:initials="AF">
    <w:p w14:paraId="5CDDC8DD" w14:textId="47B36D54" w:rsidR="00FB4A6D" w:rsidRDefault="00FB4A6D">
      <w:pPr>
        <w:pStyle w:val="CommentText"/>
      </w:pPr>
      <w:r>
        <w:rPr>
          <w:rStyle w:val="CommentReference"/>
        </w:rPr>
        <w:annotationRef/>
      </w:r>
      <w:r>
        <w:t>Andrea or Kim, would need 2-3 sentences on how surveys are conducted</w:t>
      </w:r>
    </w:p>
  </w:comment>
  <w:comment w:id="5" w:author="Scott MacIvor" w:date="2022-02-10T21:46:00Z" w:initials="SM">
    <w:p w14:paraId="323DED1B" w14:textId="2E5534AF" w:rsidR="00974C01" w:rsidRDefault="00974C01">
      <w:pPr>
        <w:pStyle w:val="CommentText"/>
      </w:pPr>
      <w:r>
        <w:rPr>
          <w:rStyle w:val="CommentReference"/>
        </w:rPr>
        <w:annotationRef/>
      </w:r>
      <w:r>
        <w:t>can we have a footnotre for what these are?</w:t>
      </w:r>
    </w:p>
  </w:comment>
  <w:comment w:id="6" w:author="Alex Filazzola" w:date="2022-02-16T16:23:00Z" w:initials="AF">
    <w:p w14:paraId="6775D40D" w14:textId="15FB6988" w:rsidR="005C01C2" w:rsidRDefault="005C01C2">
      <w:pPr>
        <w:pStyle w:val="CommentText"/>
      </w:pPr>
      <w:r>
        <w:rPr>
          <w:rStyle w:val="CommentReference"/>
        </w:rPr>
        <w:annotationRef/>
      </w:r>
      <w:r>
        <w:t xml:space="preserve">Andrea/Kim, can you clarify what does this category mean really? </w:t>
      </w:r>
    </w:p>
  </w:comment>
  <w:comment w:id="9" w:author="Alex Filazzola" w:date="2022-02-16T16:23:00Z" w:initials="AF">
    <w:p w14:paraId="750E95C1" w14:textId="5D8B2F23" w:rsidR="005C01C2" w:rsidRDefault="005C01C2">
      <w:pPr>
        <w:pStyle w:val="CommentText"/>
      </w:pPr>
      <w:r>
        <w:rPr>
          <w:rStyle w:val="CommentReference"/>
        </w:rPr>
        <w:annotationRef/>
      </w:r>
      <w:r>
        <w:t xml:space="preserve">If we decide to keep the ordination results, I will make this figure better visually.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57742" w15:done="0"/>
  <w15:commentEx w15:paraId="5CDDC8DD" w15:done="0"/>
  <w15:commentEx w15:paraId="323DED1B" w15:done="0"/>
  <w15:commentEx w15:paraId="6775D40D" w15:paraIdParent="323DED1B" w15:done="0"/>
  <w15:commentEx w15:paraId="750E95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3764E" w16cex:dateUtc="2022-02-01T14:05:00Z"/>
  <w16cex:commentExtensible w16cex:durableId="25B77F63" w16cex:dateUtc="2022-02-16T18:49:00Z"/>
  <w16cex:commentExtensible w16cex:durableId="25B00618" w16cex:dateUtc="2022-02-11T02:46:00Z"/>
  <w16cex:commentExtensible w16cex:durableId="25B7A373" w16cex:dateUtc="2022-02-16T21:23:00Z"/>
  <w16cex:commentExtensible w16cex:durableId="25B7A38B" w16cex:dateUtc="2022-02-1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57742" w16cid:durableId="25A3764E"/>
  <w16cid:commentId w16cid:paraId="5CDDC8DD" w16cid:durableId="25B77F63"/>
  <w16cid:commentId w16cid:paraId="323DED1B" w16cid:durableId="25B00618"/>
  <w16cid:commentId w16cid:paraId="6775D40D" w16cid:durableId="25B7A373"/>
  <w16cid:commentId w16cid:paraId="750E95C1" w16cid:durableId="25B7A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92853" w14:textId="77777777" w:rsidR="00364588" w:rsidRDefault="00364588" w:rsidP="00C73D41">
      <w:pPr>
        <w:spacing w:after="0" w:line="240" w:lineRule="auto"/>
      </w:pPr>
      <w:r>
        <w:separator/>
      </w:r>
    </w:p>
  </w:endnote>
  <w:endnote w:type="continuationSeparator" w:id="0">
    <w:p w14:paraId="75E2F65F" w14:textId="77777777" w:rsidR="00364588" w:rsidRDefault="00364588" w:rsidP="00C7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73598" w14:textId="77777777" w:rsidR="00364588" w:rsidRDefault="00364588" w:rsidP="00C73D41">
      <w:pPr>
        <w:spacing w:after="0" w:line="240" w:lineRule="auto"/>
      </w:pPr>
      <w:r>
        <w:separator/>
      </w:r>
    </w:p>
  </w:footnote>
  <w:footnote w:type="continuationSeparator" w:id="0">
    <w:p w14:paraId="03D321B3" w14:textId="77777777" w:rsidR="00364588" w:rsidRDefault="00364588" w:rsidP="00C73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4D9"/>
    <w:multiLevelType w:val="hybridMultilevel"/>
    <w:tmpl w:val="B6DA7C9C"/>
    <w:lvl w:ilvl="0" w:tplc="DF3696DA">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6F5467"/>
    <w:multiLevelType w:val="hybridMultilevel"/>
    <w:tmpl w:val="95E4CD68"/>
    <w:lvl w:ilvl="0" w:tplc="76D8D2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74370"/>
    <w:multiLevelType w:val="hybridMultilevel"/>
    <w:tmpl w:val="4538D414"/>
    <w:lvl w:ilvl="0" w:tplc="09DEDACC">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1D74921"/>
    <w:multiLevelType w:val="hybridMultilevel"/>
    <w:tmpl w:val="09B83D98"/>
    <w:lvl w:ilvl="0" w:tplc="2DC2B55C">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4" w15:restartNumberingAfterBreak="0">
    <w:nsid w:val="685F504D"/>
    <w:multiLevelType w:val="hybridMultilevel"/>
    <w:tmpl w:val="03C058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F5155D0"/>
    <w:multiLevelType w:val="hybridMultilevel"/>
    <w:tmpl w:val="3E90A4AA"/>
    <w:lvl w:ilvl="0" w:tplc="7292E1AC">
      <w:start w:val="2"/>
      <w:numFmt w:val="bullet"/>
      <w:lvlText w:val="-"/>
      <w:lvlJc w:val="left"/>
      <w:pPr>
        <w:ind w:left="720" w:hanging="360"/>
      </w:pPr>
      <w:rPr>
        <w:rFonts w:ascii="Times New Roman" w:eastAsiaTheme="minorHAnsi" w:hAnsi="Times New Roman" w:cs="Times New Roman"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AF447C7"/>
    <w:multiLevelType w:val="multilevel"/>
    <w:tmpl w:val="E85CC0B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i/>
        <w:iCs/>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6"/>
  </w:num>
  <w:num w:numId="2">
    <w:abstractNumId w:val="3"/>
  </w:num>
  <w:num w:numId="3">
    <w:abstractNumId w:val="5"/>
  </w:num>
  <w:num w:numId="4">
    <w:abstractNumId w:val="0"/>
  </w:num>
  <w:num w:numId="5">
    <w:abstractNumId w:val="2"/>
  </w:num>
  <w:num w:numId="6">
    <w:abstractNumId w:val="1"/>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Filazzola">
    <w15:presenceInfo w15:providerId="Windows Live" w15:userId="ee339a26ed661f24"/>
  </w15:person>
  <w15:person w15:author="Scott MacIvor">
    <w15:presenceInfo w15:providerId="AD" w15:userId="S::scott.macivor@utoronto.ca::316a1616-db4a-4ce3-b45c-a8dce4705b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6B"/>
    <w:rsid w:val="000065F9"/>
    <w:rsid w:val="0001425E"/>
    <w:rsid w:val="0001642B"/>
    <w:rsid w:val="00022698"/>
    <w:rsid w:val="000240EC"/>
    <w:rsid w:val="000306AF"/>
    <w:rsid w:val="00042637"/>
    <w:rsid w:val="00054088"/>
    <w:rsid w:val="0005588C"/>
    <w:rsid w:val="0006069B"/>
    <w:rsid w:val="0006272C"/>
    <w:rsid w:val="00077E15"/>
    <w:rsid w:val="00083279"/>
    <w:rsid w:val="000943D9"/>
    <w:rsid w:val="000A0F1A"/>
    <w:rsid w:val="000B25A9"/>
    <w:rsid w:val="000B3720"/>
    <w:rsid w:val="000D7109"/>
    <w:rsid w:val="000E37EC"/>
    <w:rsid w:val="000E792B"/>
    <w:rsid w:val="000F1FDC"/>
    <w:rsid w:val="000F74AD"/>
    <w:rsid w:val="00103070"/>
    <w:rsid w:val="00106F94"/>
    <w:rsid w:val="00113161"/>
    <w:rsid w:val="00113EC5"/>
    <w:rsid w:val="001204F2"/>
    <w:rsid w:val="00144F87"/>
    <w:rsid w:val="0014664E"/>
    <w:rsid w:val="00152BDF"/>
    <w:rsid w:val="00165FB7"/>
    <w:rsid w:val="0017081B"/>
    <w:rsid w:val="001759FC"/>
    <w:rsid w:val="001905ED"/>
    <w:rsid w:val="00192E38"/>
    <w:rsid w:val="00193647"/>
    <w:rsid w:val="00197C46"/>
    <w:rsid w:val="001A6359"/>
    <w:rsid w:val="001A6C81"/>
    <w:rsid w:val="001B31A0"/>
    <w:rsid w:val="001C0CF1"/>
    <w:rsid w:val="001C287B"/>
    <w:rsid w:val="001D630B"/>
    <w:rsid w:val="001E7AFE"/>
    <w:rsid w:val="002044B2"/>
    <w:rsid w:val="00233599"/>
    <w:rsid w:val="0023553A"/>
    <w:rsid w:val="0028008E"/>
    <w:rsid w:val="002A1BE5"/>
    <w:rsid w:val="002A3639"/>
    <w:rsid w:val="002C0FCC"/>
    <w:rsid w:val="002C3A56"/>
    <w:rsid w:val="002C6BBE"/>
    <w:rsid w:val="002D3AC2"/>
    <w:rsid w:val="002F284F"/>
    <w:rsid w:val="002F367F"/>
    <w:rsid w:val="002F7A92"/>
    <w:rsid w:val="0030418B"/>
    <w:rsid w:val="00312FFA"/>
    <w:rsid w:val="00320341"/>
    <w:rsid w:val="0032162E"/>
    <w:rsid w:val="00334237"/>
    <w:rsid w:val="003405FC"/>
    <w:rsid w:val="003510FC"/>
    <w:rsid w:val="00351C70"/>
    <w:rsid w:val="00364588"/>
    <w:rsid w:val="00365C95"/>
    <w:rsid w:val="003776B9"/>
    <w:rsid w:val="00381121"/>
    <w:rsid w:val="0038250D"/>
    <w:rsid w:val="003A238B"/>
    <w:rsid w:val="003A67A1"/>
    <w:rsid w:val="003C0431"/>
    <w:rsid w:val="003C2E68"/>
    <w:rsid w:val="003C7071"/>
    <w:rsid w:val="003C710F"/>
    <w:rsid w:val="003D58EB"/>
    <w:rsid w:val="003F6A45"/>
    <w:rsid w:val="003F7A6D"/>
    <w:rsid w:val="00401969"/>
    <w:rsid w:val="0041330D"/>
    <w:rsid w:val="00422F56"/>
    <w:rsid w:val="004262FF"/>
    <w:rsid w:val="00426D8B"/>
    <w:rsid w:val="00437220"/>
    <w:rsid w:val="004566CD"/>
    <w:rsid w:val="00460F1C"/>
    <w:rsid w:val="0047139F"/>
    <w:rsid w:val="0048548D"/>
    <w:rsid w:val="00492FCD"/>
    <w:rsid w:val="004B4F4A"/>
    <w:rsid w:val="004B720E"/>
    <w:rsid w:val="004B7831"/>
    <w:rsid w:val="004C0EE2"/>
    <w:rsid w:val="004D3C80"/>
    <w:rsid w:val="004D5B5A"/>
    <w:rsid w:val="004E3B34"/>
    <w:rsid w:val="004F20E2"/>
    <w:rsid w:val="004F43E0"/>
    <w:rsid w:val="004F73B8"/>
    <w:rsid w:val="00506A61"/>
    <w:rsid w:val="00513FCB"/>
    <w:rsid w:val="005141DE"/>
    <w:rsid w:val="00516EEE"/>
    <w:rsid w:val="00527F18"/>
    <w:rsid w:val="00535E9D"/>
    <w:rsid w:val="00541AB0"/>
    <w:rsid w:val="00546F19"/>
    <w:rsid w:val="0055742F"/>
    <w:rsid w:val="00567A65"/>
    <w:rsid w:val="00570D22"/>
    <w:rsid w:val="00571D7B"/>
    <w:rsid w:val="00582821"/>
    <w:rsid w:val="005861F9"/>
    <w:rsid w:val="00587B4C"/>
    <w:rsid w:val="00594712"/>
    <w:rsid w:val="005A1A38"/>
    <w:rsid w:val="005C01C2"/>
    <w:rsid w:val="005C1D94"/>
    <w:rsid w:val="005C772E"/>
    <w:rsid w:val="005D6281"/>
    <w:rsid w:val="005E5C19"/>
    <w:rsid w:val="005F7CDE"/>
    <w:rsid w:val="00611C22"/>
    <w:rsid w:val="006321DC"/>
    <w:rsid w:val="00632358"/>
    <w:rsid w:val="00634587"/>
    <w:rsid w:val="00643973"/>
    <w:rsid w:val="00660714"/>
    <w:rsid w:val="006933E3"/>
    <w:rsid w:val="00697F0E"/>
    <w:rsid w:val="006C2C61"/>
    <w:rsid w:val="006D6252"/>
    <w:rsid w:val="006F4A27"/>
    <w:rsid w:val="00701789"/>
    <w:rsid w:val="00712A16"/>
    <w:rsid w:val="00724BAF"/>
    <w:rsid w:val="00724EE6"/>
    <w:rsid w:val="0072537E"/>
    <w:rsid w:val="00760BD5"/>
    <w:rsid w:val="00773A19"/>
    <w:rsid w:val="00775D3C"/>
    <w:rsid w:val="00775F53"/>
    <w:rsid w:val="0078347B"/>
    <w:rsid w:val="00784D68"/>
    <w:rsid w:val="00785500"/>
    <w:rsid w:val="0078657F"/>
    <w:rsid w:val="00793238"/>
    <w:rsid w:val="007A2E7C"/>
    <w:rsid w:val="007B22BA"/>
    <w:rsid w:val="007B233B"/>
    <w:rsid w:val="007B3D35"/>
    <w:rsid w:val="007B6F9A"/>
    <w:rsid w:val="007E4023"/>
    <w:rsid w:val="007E62EB"/>
    <w:rsid w:val="007F4385"/>
    <w:rsid w:val="007F71A3"/>
    <w:rsid w:val="0082393D"/>
    <w:rsid w:val="00825994"/>
    <w:rsid w:val="00836BE3"/>
    <w:rsid w:val="00854FB7"/>
    <w:rsid w:val="00865D66"/>
    <w:rsid w:val="00870D73"/>
    <w:rsid w:val="00875258"/>
    <w:rsid w:val="00876646"/>
    <w:rsid w:val="008A0436"/>
    <w:rsid w:val="008A3EA6"/>
    <w:rsid w:val="008A5D37"/>
    <w:rsid w:val="008A73E9"/>
    <w:rsid w:val="008B37C8"/>
    <w:rsid w:val="008C26E2"/>
    <w:rsid w:val="008C6E3C"/>
    <w:rsid w:val="008D2FA0"/>
    <w:rsid w:val="008D45B4"/>
    <w:rsid w:val="00900F01"/>
    <w:rsid w:val="00903E61"/>
    <w:rsid w:val="0091189E"/>
    <w:rsid w:val="00912136"/>
    <w:rsid w:val="009170C2"/>
    <w:rsid w:val="009274C5"/>
    <w:rsid w:val="009328F2"/>
    <w:rsid w:val="009343C2"/>
    <w:rsid w:val="00942229"/>
    <w:rsid w:val="00951C9C"/>
    <w:rsid w:val="00965826"/>
    <w:rsid w:val="0096649D"/>
    <w:rsid w:val="00974C01"/>
    <w:rsid w:val="009761E3"/>
    <w:rsid w:val="00976957"/>
    <w:rsid w:val="00981922"/>
    <w:rsid w:val="009912C1"/>
    <w:rsid w:val="00996B7B"/>
    <w:rsid w:val="009A417B"/>
    <w:rsid w:val="009A6F15"/>
    <w:rsid w:val="009B12F2"/>
    <w:rsid w:val="009B2435"/>
    <w:rsid w:val="009B4CBE"/>
    <w:rsid w:val="009C59CA"/>
    <w:rsid w:val="009D7422"/>
    <w:rsid w:val="009E5111"/>
    <w:rsid w:val="009E61C8"/>
    <w:rsid w:val="009E7E34"/>
    <w:rsid w:val="009F190D"/>
    <w:rsid w:val="00A14D45"/>
    <w:rsid w:val="00A226CE"/>
    <w:rsid w:val="00A3196A"/>
    <w:rsid w:val="00A46A43"/>
    <w:rsid w:val="00A70D3D"/>
    <w:rsid w:val="00A72482"/>
    <w:rsid w:val="00A7401E"/>
    <w:rsid w:val="00A84116"/>
    <w:rsid w:val="00AA286C"/>
    <w:rsid w:val="00AB3C3F"/>
    <w:rsid w:val="00AB3EE4"/>
    <w:rsid w:val="00AC1FC6"/>
    <w:rsid w:val="00AC2DF1"/>
    <w:rsid w:val="00AE4E9E"/>
    <w:rsid w:val="00AF2B69"/>
    <w:rsid w:val="00B015D0"/>
    <w:rsid w:val="00B0181F"/>
    <w:rsid w:val="00B07D6D"/>
    <w:rsid w:val="00B2187D"/>
    <w:rsid w:val="00B2590B"/>
    <w:rsid w:val="00B3064F"/>
    <w:rsid w:val="00B33D94"/>
    <w:rsid w:val="00B563A2"/>
    <w:rsid w:val="00B67EAF"/>
    <w:rsid w:val="00B71C6B"/>
    <w:rsid w:val="00B76482"/>
    <w:rsid w:val="00B92C7B"/>
    <w:rsid w:val="00BA3490"/>
    <w:rsid w:val="00BC5913"/>
    <w:rsid w:val="00BD64E2"/>
    <w:rsid w:val="00BF18FE"/>
    <w:rsid w:val="00BF3E82"/>
    <w:rsid w:val="00BF6666"/>
    <w:rsid w:val="00C0490D"/>
    <w:rsid w:val="00C2067E"/>
    <w:rsid w:val="00C232FF"/>
    <w:rsid w:val="00C41E4B"/>
    <w:rsid w:val="00C423AC"/>
    <w:rsid w:val="00C57FC7"/>
    <w:rsid w:val="00C67CD0"/>
    <w:rsid w:val="00C73D41"/>
    <w:rsid w:val="00C7561C"/>
    <w:rsid w:val="00C81072"/>
    <w:rsid w:val="00C924C4"/>
    <w:rsid w:val="00C94864"/>
    <w:rsid w:val="00CA390F"/>
    <w:rsid w:val="00CA4D79"/>
    <w:rsid w:val="00CC3103"/>
    <w:rsid w:val="00CC6FA2"/>
    <w:rsid w:val="00CD247E"/>
    <w:rsid w:val="00CD54D8"/>
    <w:rsid w:val="00CE01FB"/>
    <w:rsid w:val="00CE7449"/>
    <w:rsid w:val="00CF0634"/>
    <w:rsid w:val="00CF3426"/>
    <w:rsid w:val="00CF6A62"/>
    <w:rsid w:val="00D00D16"/>
    <w:rsid w:val="00D10918"/>
    <w:rsid w:val="00D10FE7"/>
    <w:rsid w:val="00D11069"/>
    <w:rsid w:val="00D13EEB"/>
    <w:rsid w:val="00D14F78"/>
    <w:rsid w:val="00D233EA"/>
    <w:rsid w:val="00D344B0"/>
    <w:rsid w:val="00D40FA2"/>
    <w:rsid w:val="00D90D8D"/>
    <w:rsid w:val="00D94BF2"/>
    <w:rsid w:val="00D95CC4"/>
    <w:rsid w:val="00DA77DA"/>
    <w:rsid w:val="00DB0F79"/>
    <w:rsid w:val="00DC3017"/>
    <w:rsid w:val="00DD19B4"/>
    <w:rsid w:val="00DD675A"/>
    <w:rsid w:val="00DD69C4"/>
    <w:rsid w:val="00DE283B"/>
    <w:rsid w:val="00DE3F8A"/>
    <w:rsid w:val="00DF091E"/>
    <w:rsid w:val="00DF7DF6"/>
    <w:rsid w:val="00E06C42"/>
    <w:rsid w:val="00E1238A"/>
    <w:rsid w:val="00E12F47"/>
    <w:rsid w:val="00E14C35"/>
    <w:rsid w:val="00E16AA4"/>
    <w:rsid w:val="00E4140A"/>
    <w:rsid w:val="00E4762D"/>
    <w:rsid w:val="00E51413"/>
    <w:rsid w:val="00E51DD9"/>
    <w:rsid w:val="00E52C0F"/>
    <w:rsid w:val="00E63D90"/>
    <w:rsid w:val="00E776EB"/>
    <w:rsid w:val="00E8130F"/>
    <w:rsid w:val="00EA06E2"/>
    <w:rsid w:val="00EB6E8E"/>
    <w:rsid w:val="00EC6FDB"/>
    <w:rsid w:val="00EE35D1"/>
    <w:rsid w:val="00EF5B08"/>
    <w:rsid w:val="00F20B25"/>
    <w:rsid w:val="00F2222C"/>
    <w:rsid w:val="00F44A2C"/>
    <w:rsid w:val="00F64F8F"/>
    <w:rsid w:val="00F76D71"/>
    <w:rsid w:val="00F8311E"/>
    <w:rsid w:val="00F8330E"/>
    <w:rsid w:val="00F8770C"/>
    <w:rsid w:val="00F93E79"/>
    <w:rsid w:val="00FA70B8"/>
    <w:rsid w:val="00FB4A6D"/>
    <w:rsid w:val="00FD25BF"/>
    <w:rsid w:val="00FD3C23"/>
    <w:rsid w:val="00FE3AF8"/>
    <w:rsid w:val="00FE6BD4"/>
    <w:rsid w:val="00FF18CD"/>
    <w:rsid w:val="00FF4A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ABE48"/>
  <w15:chartTrackingRefBased/>
  <w15:docId w15:val="{F47E4F2F-4C4E-499C-B0D5-D5F212C3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72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52BDF"/>
    <w:rPr>
      <w:sz w:val="16"/>
      <w:szCs w:val="16"/>
    </w:rPr>
  </w:style>
  <w:style w:type="paragraph" w:styleId="CommentText">
    <w:name w:val="annotation text"/>
    <w:basedOn w:val="Normal"/>
    <w:link w:val="CommentTextChar"/>
    <w:uiPriority w:val="99"/>
    <w:unhideWhenUsed/>
    <w:rsid w:val="00152BDF"/>
    <w:pPr>
      <w:spacing w:line="240" w:lineRule="auto"/>
    </w:pPr>
    <w:rPr>
      <w:sz w:val="20"/>
      <w:szCs w:val="20"/>
    </w:rPr>
  </w:style>
  <w:style w:type="character" w:customStyle="1" w:styleId="CommentTextChar">
    <w:name w:val="Comment Text Char"/>
    <w:basedOn w:val="DefaultParagraphFont"/>
    <w:link w:val="CommentText"/>
    <w:uiPriority w:val="99"/>
    <w:rsid w:val="00152BDF"/>
    <w:rPr>
      <w:sz w:val="20"/>
      <w:szCs w:val="20"/>
    </w:rPr>
  </w:style>
  <w:style w:type="paragraph" w:styleId="CommentSubject">
    <w:name w:val="annotation subject"/>
    <w:basedOn w:val="CommentText"/>
    <w:next w:val="CommentText"/>
    <w:link w:val="CommentSubjectChar"/>
    <w:uiPriority w:val="99"/>
    <w:semiHidden/>
    <w:unhideWhenUsed/>
    <w:rsid w:val="00152BDF"/>
    <w:rPr>
      <w:b/>
      <w:bCs/>
    </w:rPr>
  </w:style>
  <w:style w:type="character" w:customStyle="1" w:styleId="CommentSubjectChar">
    <w:name w:val="Comment Subject Char"/>
    <w:basedOn w:val="CommentTextChar"/>
    <w:link w:val="CommentSubject"/>
    <w:uiPriority w:val="99"/>
    <w:semiHidden/>
    <w:rsid w:val="00152BDF"/>
    <w:rPr>
      <w:b/>
      <w:bCs/>
      <w:sz w:val="20"/>
      <w:szCs w:val="20"/>
    </w:rPr>
  </w:style>
  <w:style w:type="character" w:styleId="Hyperlink">
    <w:name w:val="Hyperlink"/>
    <w:basedOn w:val="DefaultParagraphFont"/>
    <w:uiPriority w:val="99"/>
    <w:unhideWhenUsed/>
    <w:rsid w:val="00152BDF"/>
    <w:rPr>
      <w:color w:val="0563C1" w:themeColor="hyperlink"/>
      <w:u w:val="single"/>
    </w:rPr>
  </w:style>
  <w:style w:type="character" w:styleId="UnresolvedMention">
    <w:name w:val="Unresolved Mention"/>
    <w:basedOn w:val="DefaultParagraphFont"/>
    <w:uiPriority w:val="99"/>
    <w:semiHidden/>
    <w:unhideWhenUsed/>
    <w:rsid w:val="00152BDF"/>
    <w:rPr>
      <w:color w:val="605E5C"/>
      <w:shd w:val="clear" w:color="auto" w:fill="E1DFDD"/>
    </w:rPr>
  </w:style>
  <w:style w:type="paragraph" w:styleId="ListParagraph">
    <w:name w:val="List Paragraph"/>
    <w:basedOn w:val="Normal"/>
    <w:uiPriority w:val="34"/>
    <w:qFormat/>
    <w:rsid w:val="000E37EC"/>
    <w:pPr>
      <w:ind w:left="720"/>
      <w:contextualSpacing/>
    </w:pPr>
  </w:style>
  <w:style w:type="table" w:styleId="TableGrid">
    <w:name w:val="Table Grid"/>
    <w:basedOn w:val="TableNormal"/>
    <w:uiPriority w:val="39"/>
    <w:rsid w:val="008D2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D41"/>
  </w:style>
  <w:style w:type="paragraph" w:styleId="Footer">
    <w:name w:val="footer"/>
    <w:basedOn w:val="Normal"/>
    <w:link w:val="FooterChar"/>
    <w:uiPriority w:val="99"/>
    <w:unhideWhenUsed/>
    <w:rsid w:val="00C7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41"/>
  </w:style>
  <w:style w:type="character" w:styleId="LineNumber">
    <w:name w:val="line number"/>
    <w:basedOn w:val="DefaultParagraphFont"/>
    <w:uiPriority w:val="99"/>
    <w:semiHidden/>
    <w:unhideWhenUsed/>
    <w:rsid w:val="00C73D41"/>
  </w:style>
  <w:style w:type="character" w:styleId="PlaceholderText">
    <w:name w:val="Placeholder Text"/>
    <w:basedOn w:val="DefaultParagraphFont"/>
    <w:uiPriority w:val="99"/>
    <w:semiHidden/>
    <w:rsid w:val="002C3A56"/>
    <w:rPr>
      <w:color w:val="808080"/>
    </w:rPr>
  </w:style>
  <w:style w:type="character" w:customStyle="1" w:styleId="Heading1Char">
    <w:name w:val="Heading 1 Char"/>
    <w:basedOn w:val="DefaultParagraphFont"/>
    <w:link w:val="Heading1"/>
    <w:uiPriority w:val="9"/>
    <w:rsid w:val="004B720E"/>
    <w:rPr>
      <w:rFonts w:ascii="Times New Roman" w:eastAsia="Times New Roman" w:hAnsi="Times New Roman" w:cs="Times New Roman"/>
      <w:b/>
      <w:bCs/>
      <w:kern w:val="36"/>
      <w:sz w:val="48"/>
      <w:szCs w:val="48"/>
      <w:lang w:eastAsia="en-CA"/>
    </w:rPr>
  </w:style>
  <w:style w:type="paragraph" w:styleId="Revision">
    <w:name w:val="Revision"/>
    <w:hidden/>
    <w:uiPriority w:val="99"/>
    <w:semiHidden/>
    <w:rsid w:val="00611C22"/>
    <w:pPr>
      <w:spacing w:after="0" w:line="240" w:lineRule="auto"/>
    </w:pPr>
  </w:style>
  <w:style w:type="character" w:customStyle="1" w:styleId="title-text">
    <w:name w:val="title-text"/>
    <w:basedOn w:val="DefaultParagraphFont"/>
    <w:rsid w:val="008C6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07210">
      <w:bodyDiv w:val="1"/>
      <w:marLeft w:val="0"/>
      <w:marRight w:val="0"/>
      <w:marTop w:val="0"/>
      <w:marBottom w:val="0"/>
      <w:divBdr>
        <w:top w:val="none" w:sz="0" w:space="0" w:color="auto"/>
        <w:left w:val="none" w:sz="0" w:space="0" w:color="auto"/>
        <w:bottom w:val="none" w:sz="0" w:space="0" w:color="auto"/>
        <w:right w:val="none" w:sz="0" w:space="0" w:color="auto"/>
      </w:divBdr>
      <w:divsChild>
        <w:div w:id="1957985039">
          <w:marLeft w:val="0"/>
          <w:marRight w:val="0"/>
          <w:marTop w:val="0"/>
          <w:marBottom w:val="0"/>
          <w:divBdr>
            <w:top w:val="none" w:sz="0" w:space="0" w:color="auto"/>
            <w:left w:val="none" w:sz="0" w:space="0" w:color="auto"/>
            <w:bottom w:val="none" w:sz="0" w:space="0" w:color="auto"/>
            <w:right w:val="none" w:sz="0" w:space="0" w:color="auto"/>
          </w:divBdr>
          <w:divsChild>
            <w:div w:id="745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1375">
      <w:bodyDiv w:val="1"/>
      <w:marLeft w:val="0"/>
      <w:marRight w:val="0"/>
      <w:marTop w:val="0"/>
      <w:marBottom w:val="0"/>
      <w:divBdr>
        <w:top w:val="none" w:sz="0" w:space="0" w:color="auto"/>
        <w:left w:val="none" w:sz="0" w:space="0" w:color="auto"/>
        <w:bottom w:val="none" w:sz="0" w:space="0" w:color="auto"/>
        <w:right w:val="none" w:sz="0" w:space="0" w:color="auto"/>
      </w:divBdr>
    </w:div>
    <w:div w:id="1072696862">
      <w:bodyDiv w:val="1"/>
      <w:marLeft w:val="0"/>
      <w:marRight w:val="0"/>
      <w:marTop w:val="0"/>
      <w:marBottom w:val="0"/>
      <w:divBdr>
        <w:top w:val="none" w:sz="0" w:space="0" w:color="auto"/>
        <w:left w:val="none" w:sz="0" w:space="0" w:color="auto"/>
        <w:bottom w:val="none" w:sz="0" w:space="0" w:color="auto"/>
        <w:right w:val="none" w:sz="0" w:space="0" w:color="auto"/>
      </w:divBdr>
    </w:div>
    <w:div w:id="1167208341">
      <w:bodyDiv w:val="1"/>
      <w:marLeft w:val="0"/>
      <w:marRight w:val="0"/>
      <w:marTop w:val="0"/>
      <w:marBottom w:val="0"/>
      <w:divBdr>
        <w:top w:val="none" w:sz="0" w:space="0" w:color="auto"/>
        <w:left w:val="none" w:sz="0" w:space="0" w:color="auto"/>
        <w:bottom w:val="none" w:sz="0" w:space="0" w:color="auto"/>
        <w:right w:val="none" w:sz="0" w:space="0" w:color="auto"/>
      </w:divBdr>
    </w:div>
    <w:div w:id="1572615173">
      <w:bodyDiv w:val="1"/>
      <w:marLeft w:val="0"/>
      <w:marRight w:val="0"/>
      <w:marTop w:val="0"/>
      <w:marBottom w:val="0"/>
      <w:divBdr>
        <w:top w:val="none" w:sz="0" w:space="0" w:color="auto"/>
        <w:left w:val="none" w:sz="0" w:space="0" w:color="auto"/>
        <w:bottom w:val="none" w:sz="0" w:space="0" w:color="auto"/>
        <w:right w:val="none" w:sz="0" w:space="0" w:color="auto"/>
      </w:divBdr>
    </w:div>
    <w:div w:id="1612781513">
      <w:bodyDiv w:val="1"/>
      <w:marLeft w:val="0"/>
      <w:marRight w:val="0"/>
      <w:marTop w:val="0"/>
      <w:marBottom w:val="0"/>
      <w:divBdr>
        <w:top w:val="none" w:sz="0" w:space="0" w:color="auto"/>
        <w:left w:val="none" w:sz="0" w:space="0" w:color="auto"/>
        <w:bottom w:val="none" w:sz="0" w:space="0" w:color="auto"/>
        <w:right w:val="none" w:sz="0" w:space="0" w:color="auto"/>
      </w:divBdr>
    </w:div>
    <w:div w:id="1826045980">
      <w:bodyDiv w:val="1"/>
      <w:marLeft w:val="0"/>
      <w:marRight w:val="0"/>
      <w:marTop w:val="0"/>
      <w:marBottom w:val="0"/>
      <w:divBdr>
        <w:top w:val="none" w:sz="0" w:space="0" w:color="auto"/>
        <w:left w:val="none" w:sz="0" w:space="0" w:color="auto"/>
        <w:bottom w:val="none" w:sz="0" w:space="0" w:color="auto"/>
        <w:right w:val="none" w:sz="0" w:space="0" w:color="auto"/>
      </w:divBdr>
    </w:div>
    <w:div w:id="1962421150">
      <w:bodyDiv w:val="1"/>
      <w:marLeft w:val="0"/>
      <w:marRight w:val="0"/>
      <w:marTop w:val="0"/>
      <w:marBottom w:val="0"/>
      <w:divBdr>
        <w:top w:val="none" w:sz="0" w:space="0" w:color="auto"/>
        <w:left w:val="none" w:sz="0" w:space="0" w:color="auto"/>
        <w:bottom w:val="none" w:sz="0" w:space="0" w:color="auto"/>
        <w:right w:val="none" w:sz="0" w:space="0" w:color="auto"/>
      </w:divBdr>
    </w:div>
    <w:div w:id="203614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pbox.com/movement-data" TargetMode="External"/><Relationship Id="rId13" Type="http://schemas.microsoft.com/office/2018/08/relationships/commentsExtensible" Target="commentsExtensible.xml"/><Relationship Id="rId18" Type="http://schemas.openxmlformats.org/officeDocument/2006/relationships/hyperlink" Target="http://www.alltrails.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brucetrail.org/"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afilazzola/CUERecreationEcology" TargetMode="External"/><Relationship Id="rId20" Type="http://schemas.openxmlformats.org/officeDocument/2006/relationships/hyperlink" Target="www150.statcan.gc.c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onservationhalton.ca/mapping-and-data"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hyperlink" Target="file:///D:\RStudio\CUERecreationEcology\manuscript\www150.statcan.gc.c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nservationhalton.ca" TargetMode="External"/><Relationship Id="rId14" Type="http://schemas.openxmlformats.org/officeDocument/2006/relationships/hyperlink" Target="http://www.computecanada.ca/" TargetMode="External"/><Relationship Id="rId22" Type="http://schemas.openxmlformats.org/officeDocument/2006/relationships/image" Target="media/image2.png"/><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F6CAE-C817-4706-AF34-993A33ED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38</Pages>
  <Words>25151</Words>
  <Characters>143367</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Filazzola</dc:creator>
  <cp:keywords/>
  <dc:description/>
  <cp:lastModifiedBy>Alex Filazzola</cp:lastModifiedBy>
  <cp:revision>80</cp:revision>
  <dcterms:created xsi:type="dcterms:W3CDTF">2022-02-15T17:41:00Z</dcterms:created>
  <dcterms:modified xsi:type="dcterms:W3CDTF">2022-02-16T21:47:00Z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5e8a9200-2887-3197-8297-04566c137020</vt:lpwstr>
  </property>
  <property fmtid="{D5CDD505-2E9C-101B-9397-08002B2CF9AE}" pid="24" name="Mendeley Citation Style_1">
    <vt:lpwstr>http://www.zotero.org/styles/methods-in-ecology-and-evolution</vt:lpwstr>
  </property>
</Properties>
</file>