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five-sided PENTA in history is synonymous with the five senses, knowledge and mystery. The symbolism in this shape is craftfully embodied tile.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