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48"/>
          <w:szCs w:val="48"/>
        </w:rPr>
      </w:pPr>
      <w:r w:rsidDel="00000000" w:rsidR="00000000" w:rsidRPr="00000000">
        <w:rPr>
          <w:sz w:val="48"/>
          <w:szCs w:val="48"/>
          <w:rtl w:val="0"/>
        </w:rPr>
        <w:t xml:space="preserve">CHAR</w:t>
      </w:r>
    </w:p>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The human soul is a wanderer. It yearns to ride the waves and fly away with the wind. With CHAR you can do so even from within your space. The multifaceted tile visually transports the eye to an uninhibited imagination.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