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KHEWRA</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The unique multicolored and multifaceted KHEWRA is a tribute to the unique Himalayan Salt Mine. The captivating and playful colors, enriched with minerals and healing properties restore youth and vitality. This is the idea that we want to capture for the tile and the wall it graces.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