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KIRTHAR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rtl w:val="0"/>
        </w:rPr>
        <w:t xml:space="preserve">Gracing the sea line of the Arabian Sea like an elegant studded choker, the KIRTHAR range is the inspiration for the tile. The playful tile can be placed in endless arrangements to give paramount zeniths to the living spaces.</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