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6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292100</wp:posOffset>
            </wp:positionH>
            <wp:positionV relativeFrom="page">
              <wp:posOffset>355600</wp:posOffset>
            </wp:positionV>
            <wp:extent cx="6997700" cy="19939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97700" cy="1993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4" w:lineRule="auto" w:before="0" w:after="0"/>
        <w:ind w:left="0" w:right="0" w:firstLine="0"/>
        <w:jc w:val="center"/>
      </w:pPr>
      <w:r>
        <w:rPr>
          <w:rFonts w:ascii="" w:hAnsi="" w:eastAsia=""/>
          <w:b w:val="0"/>
          <w:i w:val="0"/>
          <w:color w:val="94A2B8"/>
          <w:sz w:val="10"/>
        </w:rPr>
        <w:t>RESEARCH REPORT</w:t>
      </w:r>
    </w:p>
    <w:p>
      <w:pPr>
        <w:autoSpaceDN w:val="0"/>
        <w:autoSpaceDE w:val="0"/>
        <w:widowControl/>
        <w:spacing w:line="206" w:lineRule="auto" w:before="264" w:after="0"/>
        <w:ind w:left="0" w:right="0" w:firstLine="0"/>
        <w:jc w:val="center"/>
      </w:pPr>
      <w:r>
        <w:rPr>
          <w:rFonts w:ascii="" w:hAnsi="" w:eastAsia=""/>
          <w:b w:val="0"/>
          <w:i w:val="0"/>
          <w:color w:val="FFFFFF"/>
          <w:sz w:val="43"/>
        </w:rPr>
        <w:t>Enterprise AI Adoption Report 2025</w:t>
      </w:r>
    </w:p>
    <w:p>
      <w:pPr>
        <w:autoSpaceDN w:val="0"/>
        <w:autoSpaceDE w:val="0"/>
        <w:widowControl/>
        <w:spacing w:line="206" w:lineRule="auto" w:before="140" w:after="392"/>
        <w:ind w:left="0" w:right="0" w:firstLine="0"/>
        <w:jc w:val="center"/>
      </w:pPr>
      <w:r>
        <w:rPr>
          <w:w w:val="102.71955217633928"/>
          <w:rFonts w:ascii="" w:hAnsi="" w:eastAsia=""/>
          <w:b w:val="0"/>
          <w:i w:val="0"/>
          <w:color w:val="CBD5E1"/>
          <w:sz w:val="14"/>
        </w:rPr>
        <w:t>Global Patterns, Barriers, and Future Outlook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2.0" w:type="dxa"/>
      </w:tblPr>
      <w:tblGrid>
        <w:gridCol w:w="3565"/>
        <w:gridCol w:w="3565"/>
        <w:gridCol w:w="3565"/>
      </w:tblGrid>
      <w:tr>
        <w:trPr>
          <w:trHeight w:hRule="exact" w:val="230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4738B"/>
                <w:sz w:val="10"/>
              </w:rPr>
              <w:t>Published:</w:t>
            </w:r>
            <w:r>
              <w:rPr>
                <w:rFonts w:ascii="" w:hAnsi="" w:eastAsia=""/>
                <w:b w:val="0"/>
                <w:i w:val="0"/>
                <w:color w:val="CBD5E1"/>
                <w:sz w:val="10"/>
              </w:rPr>
              <w:t xml:space="preserve"> March 2026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4738B"/>
                <w:sz w:val="10"/>
              </w:rPr>
              <w:t>Coverage:</w:t>
            </w:r>
            <w:r>
              <w:rPr>
                <w:rFonts w:ascii="" w:hAnsi="" w:eastAsia=""/>
                <w:b w:val="0"/>
                <w:i w:val="0"/>
                <w:color w:val="CBD5E1"/>
                <w:sz w:val="10"/>
              </w:rPr>
              <w:t xml:space="preserve"> Global Enterprise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12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4738B"/>
                <w:sz w:val="10"/>
              </w:rPr>
              <w:t>Sources:</w:t>
            </w:r>
            <w:r>
              <w:rPr>
                <w:rFonts w:ascii="" w:hAnsi="" w:eastAsia=""/>
                <w:b w:val="0"/>
                <w:i w:val="0"/>
                <w:color w:val="CBD5E1"/>
                <w:sz w:val="10"/>
              </w:rPr>
              <w:t xml:space="preserve"> 413 research publications</w:t>
            </w:r>
          </w:p>
        </w:tc>
      </w:tr>
    </w:tbl>
    <w:p>
      <w:pPr>
        <w:autoSpaceDN w:val="0"/>
        <w:autoSpaceDE w:val="0"/>
        <w:widowControl/>
        <w:spacing w:line="209" w:lineRule="auto" w:before="548" w:after="0"/>
        <w:ind w:left="0" w:right="0" w:firstLine="0"/>
        <w:jc w:val="left"/>
      </w:pPr>
      <w:r>
        <w:rPr>
          <w:rFonts w:ascii="" w:hAnsi="" w:eastAsia=""/>
          <w:b w:val="0"/>
          <w:i w:val="0"/>
          <w:color w:val="1F9FDF"/>
          <w:sz w:val="10"/>
        </w:rPr>
        <w:t>EXECUTIVE SUMMARY</w:t>
      </w:r>
    </w:p>
    <w:p>
      <w:pPr>
        <w:autoSpaceDN w:val="0"/>
        <w:autoSpaceDE w:val="0"/>
        <w:widowControl/>
        <w:spacing w:line="206" w:lineRule="auto" w:before="162" w:after="0"/>
        <w:ind w:left="0" w:right="0" w:firstLine="0"/>
        <w:jc w:val="left"/>
      </w:pPr>
      <w:r>
        <w:rPr>
          <w:rFonts w:ascii="" w:hAnsi="" w:eastAsia=""/>
          <w:b w:val="0"/>
          <w:i w:val="0"/>
          <w:color w:val="1C262F"/>
          <w:sz w:val="26"/>
        </w:rPr>
        <w:t>Strategic Context</w:t>
      </w:r>
    </w:p>
    <w:p>
      <w:pPr>
        <w:autoSpaceDN w:val="0"/>
        <w:autoSpaceDE w:val="0"/>
        <w:widowControl/>
        <w:spacing w:line="271" w:lineRule="auto" w:before="110" w:after="0"/>
        <w:ind w:left="0" w:right="144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Enterprise AI adoption has reached</w:t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 88% globally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, yet only</w:t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 6% of organizations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qualify as "high performers" capturing significant value. This disconnect between adoption and impact represents 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the defining challenge of enterprise AI in 2025.</w:t>
      </w:r>
    </w:p>
    <w:p>
      <w:pPr>
        <w:autoSpaceDN w:val="0"/>
        <w:autoSpaceDE w:val="0"/>
        <w:widowControl/>
        <w:spacing w:line="271" w:lineRule="auto" w:before="188" w:after="0"/>
        <w:ind w:left="0" w:right="144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This report synthesizes 413 market research sources to analyze global AI adoption patterns, identify key barriers, and understand the factors that differentiate organizations achieving value from 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those stuck in experimentation.</w:t>
      </w:r>
    </w:p>
    <w:p>
      <w:pPr>
        <w:autoSpaceDN w:val="0"/>
        <w:autoSpaceDE w:val="0"/>
        <w:widowControl/>
        <w:spacing w:line="206" w:lineRule="auto" w:before="308" w:after="0"/>
        <w:ind w:left="0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Critical Findings</w:t>
      </w:r>
    </w:p>
    <w:p>
      <w:pPr>
        <w:autoSpaceDN w:val="0"/>
        <w:autoSpaceDE w:val="0"/>
        <w:widowControl/>
        <w:spacing w:line="240" w:lineRule="auto" w:before="184" w:after="0"/>
        <w:ind w:left="430" w:right="144" w:hanging="268"/>
        <w:jc w:val="left"/>
      </w:pPr>
      <w:r>
        <w:drawing>
          <wp:inline xmlns:a="http://schemas.openxmlformats.org/drawingml/2006/main" xmlns:pic="http://schemas.openxmlformats.org/drawingml/2006/picture">
            <wp:extent cx="127000" cy="114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The Value Gap Defines Enterprise AI in 2025 </w:t>
      </w:r>
      <w:r>
        <w:br/>
      </w:r>
      <w:r>
        <w:rPr>
          <w:rFonts w:ascii="" w:hAnsi="" w:eastAsia=""/>
          <w:b w:val="0"/>
          <w:i w:val="0"/>
          <w:color w:val="67727E"/>
          <w:sz w:val="10"/>
        </w:rPr>
        <w:t xml:space="preserve">88% of organizations use AI, but only 39% report any EBIT impact. Nearly two-thirds remain stuck in experimentation/pilot phase. The gap between adoption and value realization represents the defining challenge </w:t>
      </w:r>
      <w:r>
        <w:rPr>
          <w:rFonts w:ascii="" w:hAnsi="" w:eastAsia=""/>
          <w:b w:val="0"/>
          <w:i w:val="0"/>
          <w:color w:val="67727E"/>
          <w:sz w:val="10"/>
        </w:rPr>
        <w:t>of enterprise AI today.</w:t>
      </w:r>
    </w:p>
    <w:p>
      <w:pPr>
        <w:autoSpaceDN w:val="0"/>
        <w:autoSpaceDE w:val="0"/>
        <w:widowControl/>
        <w:spacing w:line="240" w:lineRule="auto" w:before="124" w:after="0"/>
        <w:ind w:left="430" w:right="144" w:hanging="268"/>
        <w:jc w:val="left"/>
      </w:pPr>
      <w:r>
        <w:drawing>
          <wp:inline xmlns:a="http://schemas.openxmlformats.org/drawingml/2006/main" xmlns:pic="http://schemas.openxmlformats.org/drawingml/2006/picture">
            <wp:extent cx="127000" cy="114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The Strategic Planning Gap Is Universal </w:t>
      </w:r>
      <w:r>
        <w:br/>
      </w:r>
      <w:r>
        <w:rPr>
          <w:rFonts w:ascii="" w:hAnsi="" w:eastAsia=""/>
          <w:b w:val="0"/>
          <w:i w:val="0"/>
          <w:color w:val="67727E"/>
          <w:sz w:val="10"/>
        </w:rPr>
        <w:t xml:space="preserve">64% of enterprises lack strategic clarity on AI goals—citing undefined objectives, confusion about use cases, and difficulty prioritizing initiatives. Organizations struggle not with "What is AI?" but with "How should </w:t>
      </w:r>
      <w:r>
        <w:rPr>
          <w:rFonts w:ascii="" w:hAnsi="" w:eastAsia=""/>
          <w:b w:val="0"/>
          <w:i w:val="0"/>
          <w:color w:val="67727E"/>
          <w:sz w:val="10"/>
        </w:rPr>
        <w:t>we apply AI strategically?"</w:t>
      </w:r>
    </w:p>
    <w:p>
      <w:pPr>
        <w:autoSpaceDN w:val="0"/>
        <w:autoSpaceDE w:val="0"/>
        <w:widowControl/>
        <w:spacing w:line="240" w:lineRule="auto" w:before="112" w:after="0"/>
        <w:ind w:left="430" w:right="432" w:hanging="268"/>
        <w:jc w:val="left"/>
      </w:pPr>
      <w:r>
        <w:drawing>
          <wp:inline xmlns:a="http://schemas.openxmlformats.org/drawingml/2006/main" xmlns:pic="http://schemas.openxmlformats.org/drawingml/2006/picture">
            <wp:extent cx="127000" cy="12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Post-Purchase Adoption Failure Is Epidemic </w:t>
      </w:r>
      <w:r>
        <w:br/>
      </w:r>
      <w:r>
        <w:rPr>
          <w:rFonts w:ascii="" w:hAnsi="" w:eastAsia=""/>
          <w:b w:val="0"/>
          <w:i w:val="0"/>
          <w:color w:val="67727E"/>
          <w:sz w:val="10"/>
        </w:rPr>
        <w:t xml:space="preserve">60% of Microsoft Copilot licenses go unused within 90 days. Organizations buy tools, employees try them briefly, encounter friction, and abandon them. Technology deployment without change management </w:t>
      </w:r>
      <w:r>
        <w:rPr>
          <w:rFonts w:ascii="" w:hAnsi="" w:eastAsia=""/>
          <w:b w:val="0"/>
          <w:i w:val="0"/>
          <w:color w:val="67727E"/>
          <w:sz w:val="10"/>
        </w:rPr>
        <w:t>consistently fails to drive adoption.</w:t>
      </w:r>
    </w:p>
    <w:p>
      <w:pPr>
        <w:autoSpaceDN w:val="0"/>
        <w:autoSpaceDE w:val="0"/>
        <w:widowControl/>
        <w:spacing w:line="240" w:lineRule="auto" w:before="114" w:after="0"/>
        <w:ind w:left="430" w:right="144" w:hanging="268"/>
        <w:jc w:val="left"/>
      </w:pPr>
      <w:r>
        <w:drawing>
          <wp:inline xmlns:a="http://schemas.openxmlformats.org/drawingml/2006/main" xmlns:pic="http://schemas.openxmlformats.org/drawingml/2006/picture">
            <wp:extent cx="127000" cy="12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The Skills Gap Is Structural, Not Temporary </w:t>
      </w:r>
      <w:r>
        <w:br/>
      </w:r>
      <w:r>
        <w:rPr>
          <w:rFonts w:ascii="" w:hAnsi="" w:eastAsia=""/>
          <w:b w:val="0"/>
          <w:i w:val="0"/>
          <w:color w:val="67727E"/>
          <w:sz w:val="10"/>
        </w:rPr>
        <w:t xml:space="preserve">Counterintuitively, skills gaps have not narrowed as adoption increased. Markets with 40%+ adoption report skills shortages as severe as markets with 10% adoption. As organizations progress through adoption </w:t>
      </w:r>
      <w:r>
        <w:rPr>
          <w:rFonts w:ascii="" w:hAnsi="" w:eastAsia=""/>
          <w:b w:val="0"/>
          <w:i w:val="0"/>
          <w:color w:val="67727E"/>
          <w:sz w:val="10"/>
        </w:rPr>
        <w:t>stages, they encounter new and more complex skill requirements.</w:t>
      </w:r>
    </w:p>
    <w:p>
      <w:pPr>
        <w:autoSpaceDN w:val="0"/>
        <w:tabs>
          <w:tab w:pos="430" w:val="left"/>
        </w:tabs>
        <w:autoSpaceDE w:val="0"/>
        <w:widowControl/>
        <w:spacing w:line="240" w:lineRule="auto" w:before="154" w:after="0"/>
        <w:ind w:left="20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76200" cy="63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Multi-Vendor Reality Creates Complexity </w:t>
      </w:r>
      <w:r>
        <w:br/>
      </w:r>
      <w:r>
        <w:rPr>
          <w:rFonts w:ascii="" w:hAnsi="" w:eastAsia=""/>
          <w:b w:val="0"/>
          <w:i w:val="0"/>
          <w:color w:val="67727E"/>
          <w:sz w:val="10"/>
        </w:rPr>
        <w:t xml:space="preserve">68% of enterprises use multiple AI vendors. 37% now use 5+ AI models. The multi-vendor reality creates integration complexity, governance challenges, and skills requirements across diverse platforms including </w:t>
      </w:r>
      <w:r>
        <w:rPr>
          <w:rFonts w:ascii="" w:hAnsi="" w:eastAsia=""/>
          <w:b w:val="0"/>
          <w:i w:val="0"/>
          <w:color w:val="67727E"/>
          <w:sz w:val="10"/>
        </w:rPr>
        <w:t>Microsoft, OpenAI, Anthropic, Google, and open-source solutions.</w:t>
      </w:r>
    </w:p>
    <w:p>
      <w:pPr>
        <w:autoSpaceDN w:val="0"/>
        <w:autoSpaceDE w:val="0"/>
        <w:widowControl/>
        <w:spacing w:line="281" w:lineRule="auto" w:before="312" w:after="238"/>
        <w:ind w:left="0" w:right="4752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 xml:space="preserve">Key Metrics Summary </w:t>
      </w:r>
      <w:r>
        <w:br/>
      </w:r>
      <w:r>
        <w:rPr>
          <w:rFonts w:ascii="" w:hAnsi="" w:eastAsia=""/>
          <w:b w:val="0"/>
          <w:i w:val="0"/>
          <w:color w:val="67727E"/>
          <w:sz w:val="10"/>
        </w:rPr>
        <w:t>Data synthesized from 413 market research sources including industry surveys, analyst reports, and government statistics.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2.00000000000003" w:type="dxa"/>
      </w:tblPr>
      <w:tblGrid>
        <w:gridCol w:w="3565"/>
        <w:gridCol w:w="3565"/>
        <w:gridCol w:w="3565"/>
      </w:tblGrid>
      <w:tr>
        <w:trPr>
          <w:trHeight w:hRule="exact" w:val="274"/>
        </w:trPr>
        <w:tc>
          <w:tcPr>
            <w:tcW w:type="dxa" w:w="2550"/>
            <w:tcBorders>
              <w:bottom w:sz="5.599999999999909" w:val="single" w:color="#1C262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Metric</w:t>
            </w:r>
          </w:p>
        </w:tc>
        <w:tc>
          <w:tcPr>
            <w:tcW w:type="dxa" w:w="1600"/>
            <w:tcBorders>
              <w:bottom w:sz="5.599999999999909" w:val="single" w:color="#1C262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Value</w:t>
            </w:r>
          </w:p>
        </w:tc>
        <w:tc>
          <w:tcPr>
            <w:tcW w:type="dxa" w:w="6334"/>
            <w:tcBorders>
              <w:bottom w:sz="5.599999999999909" w:val="single" w:color="#1C262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Finding</w:t>
            </w:r>
          </w:p>
        </w:tc>
      </w:tr>
      <w:tr>
        <w:trPr>
          <w:trHeight w:hRule="exact" w:val="328"/>
        </w:trPr>
        <w:tc>
          <w:tcPr>
            <w:tcW w:type="dxa" w:w="2550"/>
            <w:tcBorders>
              <w:top w:sz="5.599999999999909" w:val="single" w:color="#1C262F"/>
              <w:bottom w:sz="2.4000000000005457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Global Enterprise AI Adoption</w:t>
            </w:r>
          </w:p>
        </w:tc>
        <w:tc>
          <w:tcPr>
            <w:tcW w:type="dxa" w:w="1600"/>
            <w:tcBorders>
              <w:top w:sz="5.599999999999909" w:val="single" w:color="#1C262F"/>
              <w:bottom w:sz="2.4000000000005457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0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88%</w:t>
            </w:r>
          </w:p>
        </w:tc>
        <w:tc>
          <w:tcPr>
            <w:tcW w:type="dxa" w:w="6334"/>
            <w:tcBorders>
              <w:top w:sz="5.599999999999909" w:val="single" w:color="#1C262F"/>
              <w:bottom w:sz="2.4000000000005457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of organizations using AI (up from 78% in 2024)</w:t>
            </w:r>
          </w:p>
        </w:tc>
      </w:tr>
      <w:tr>
        <w:trPr>
          <w:trHeight w:hRule="exact" w:val="324"/>
        </w:trPr>
        <w:tc>
          <w:tcPr>
            <w:tcW w:type="dxa" w:w="2550"/>
            <w:tcBorders>
              <w:top w:sz="2.4000000000005457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Large Enterprise Adoption</w:t>
            </w:r>
          </w:p>
        </w:tc>
        <w:tc>
          <w:tcPr>
            <w:tcW w:type="dxa" w:w="1600"/>
            <w:tcBorders>
              <w:top w:sz="2.4000000000005457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0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79%</w:t>
            </w:r>
          </w:p>
        </w:tc>
        <w:tc>
          <w:tcPr>
            <w:tcW w:type="dxa" w:w="6334"/>
            <w:tcBorders>
              <w:top w:sz="2.4000000000005457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of enterprises 1,000+ employees actively using AI</w:t>
            </w:r>
          </w:p>
        </w:tc>
      </w:tr>
      <w:tr>
        <w:trPr>
          <w:trHeight w:hRule="exact" w:val="324"/>
        </w:trPr>
        <w:tc>
          <w:tcPr>
            <w:tcW w:type="dxa" w:w="2550"/>
            <w:tcBorders>
              <w:top w:sz="3.199999999999818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SMB Adoption Gap</w:t>
            </w:r>
          </w:p>
        </w:tc>
        <w:tc>
          <w:tcPr>
            <w:tcW w:type="dxa" w:w="1600"/>
            <w:tcBorders>
              <w:top w:sz="3.199999999999818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35%</w:t>
            </w:r>
          </w:p>
        </w:tc>
        <w:tc>
          <w:tcPr>
            <w:tcW w:type="dxa" w:w="6334"/>
            <w:tcBorders>
              <w:top w:sz="3.199999999999818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of small businesses actively using AI tools</w:t>
            </w:r>
          </w:p>
        </w:tc>
      </w:tr>
      <w:tr>
        <w:trPr>
          <w:trHeight w:hRule="exact" w:val="324"/>
        </w:trPr>
        <w:tc>
          <w:tcPr>
            <w:tcW w:type="dxa" w:w="2550"/>
            <w:tcBorders>
              <w:top w:sz="3.199999999999818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Strategic Planning Gap</w:t>
            </w:r>
          </w:p>
        </w:tc>
        <w:tc>
          <w:tcPr>
            <w:tcW w:type="dxa" w:w="1600"/>
            <w:tcBorders>
              <w:top w:sz="3.199999999999818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64%</w:t>
            </w:r>
          </w:p>
        </w:tc>
        <w:tc>
          <w:tcPr>
            <w:tcW w:type="dxa" w:w="6334"/>
            <w:tcBorders>
              <w:top w:sz="3.199999999999818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of enterprises lack strategic clarity on AI goals</w:t>
            </w:r>
          </w:p>
        </w:tc>
      </w:tr>
      <w:tr>
        <w:trPr>
          <w:trHeight w:hRule="exact" w:val="324"/>
        </w:trPr>
        <w:tc>
          <w:tcPr>
            <w:tcW w:type="dxa" w:w="2550"/>
            <w:tcBorders>
              <w:top w:sz="3.199999999999818" w:val="single" w:color="#E0E5EA"/>
              <w:bottom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Post-Purchase Failure</w:t>
            </w:r>
          </w:p>
        </w:tc>
        <w:tc>
          <w:tcPr>
            <w:tcW w:type="dxa" w:w="1600"/>
            <w:tcBorders>
              <w:top w:sz="3.199999999999818" w:val="single" w:color="#E0E5EA"/>
              <w:bottom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60%</w:t>
            </w:r>
          </w:p>
        </w:tc>
        <w:tc>
          <w:tcPr>
            <w:tcW w:type="dxa" w:w="6334"/>
            <w:tcBorders>
              <w:top w:sz="3.199999999999818" w:val="single" w:color="#E0E5EA"/>
              <w:bottom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of Copilot licenses unused within 90 days</w:t>
            </w:r>
          </w:p>
        </w:tc>
      </w:tr>
      <w:tr>
        <w:trPr>
          <w:trHeight w:hRule="exact" w:val="324"/>
        </w:trPr>
        <w:tc>
          <w:tcPr>
            <w:tcW w:type="dxa" w:w="2550"/>
            <w:tcBorders>
              <w:top w:sz="2.399999999999636" w:val="single" w:color="#E0E5EA"/>
              <w:bottom w:sz="2.4000000000005457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Multi-Vendor Reality</w:t>
            </w:r>
          </w:p>
        </w:tc>
        <w:tc>
          <w:tcPr>
            <w:tcW w:type="dxa" w:w="1600"/>
            <w:tcBorders>
              <w:top w:sz="2.399999999999636" w:val="single" w:color="#E0E5EA"/>
              <w:bottom w:sz="2.4000000000005457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0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68%</w:t>
            </w:r>
          </w:p>
        </w:tc>
        <w:tc>
          <w:tcPr>
            <w:tcW w:type="dxa" w:w="6334"/>
            <w:tcBorders>
              <w:top w:sz="2.399999999999636" w:val="single" w:color="#E0E5EA"/>
              <w:bottom w:sz="2.4000000000005457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of enterprises use multiple AI vendors</w:t>
            </w:r>
          </w:p>
        </w:tc>
      </w:tr>
      <w:tr>
        <w:trPr>
          <w:trHeight w:hRule="exact" w:val="322"/>
        </w:trPr>
        <w:tc>
          <w:tcPr>
            <w:tcW w:type="dxa" w:w="2550"/>
            <w:tcBorders>
              <w:top w:sz="2.4000000000005457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6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Value Realization Gap</w:t>
            </w:r>
          </w:p>
        </w:tc>
        <w:tc>
          <w:tcPr>
            <w:tcW w:type="dxa" w:w="1600"/>
            <w:tcBorders>
              <w:top w:sz="2.4000000000005457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39%</w:t>
            </w:r>
          </w:p>
        </w:tc>
        <w:tc>
          <w:tcPr>
            <w:tcW w:type="dxa" w:w="6334"/>
            <w:tcBorders>
              <w:top w:sz="2.4000000000005457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report any EBIT impact (only 6% are "high performers")</w:t>
            </w:r>
          </w:p>
        </w:tc>
      </w:tr>
      <w:tr>
        <w:trPr>
          <w:trHeight w:hRule="exact" w:val="324"/>
        </w:trPr>
        <w:tc>
          <w:tcPr>
            <w:tcW w:type="dxa" w:w="2550"/>
            <w:tcBorders>
              <w:top w:sz="3.199999999999818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Skills Gap Persistence</w:t>
            </w:r>
          </w:p>
        </w:tc>
        <w:tc>
          <w:tcPr>
            <w:tcW w:type="dxa" w:w="1600"/>
            <w:tcBorders>
              <w:top w:sz="3.199999999999818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45%</w:t>
            </w:r>
          </w:p>
        </w:tc>
        <w:tc>
          <w:tcPr>
            <w:tcW w:type="dxa" w:w="6334"/>
            <w:tcBorders>
              <w:top w:sz="3.199999999999818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report knowledge/skills gaps as primary adoption barrier</w:t>
            </w:r>
          </w:p>
        </w:tc>
      </w:tr>
      <w:tr>
        <w:trPr>
          <w:trHeight w:hRule="exact" w:val="324"/>
        </w:trPr>
        <w:tc>
          <w:tcPr>
            <w:tcW w:type="dxa" w:w="2550"/>
            <w:tcBorders>
              <w:top w:sz="3.199999999999818" w:val="single" w:color="#E0E5EA"/>
              <w:bottom w:sz="3.200000000000727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GenAI Investment Growth</w:t>
            </w:r>
          </w:p>
        </w:tc>
        <w:tc>
          <w:tcPr>
            <w:tcW w:type="dxa" w:w="1600"/>
            <w:tcBorders>
              <w:top w:sz="3.199999999999818" w:val="single" w:color="#E0E5EA"/>
              <w:bottom w:sz="3.200000000000727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0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$60B+</w:t>
            </w:r>
          </w:p>
        </w:tc>
        <w:tc>
          <w:tcPr>
            <w:tcW w:type="dxa" w:w="6334"/>
            <w:tcBorders>
              <w:top w:sz="3.199999999999818" w:val="single" w:color="#E0E5EA"/>
              <w:bottom w:sz="3.200000000000727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1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projected enterprise GenAI spending by 2027</w:t>
            </w:r>
          </w:p>
        </w:tc>
      </w:tr>
    </w:tbl>
    <w:p>
      <w:pPr>
        <w:autoSpaceDN w:val="0"/>
        <w:autoSpaceDE w:val="0"/>
        <w:widowControl/>
        <w:spacing w:line="209" w:lineRule="auto" w:before="288" w:after="174"/>
        <w:ind w:left="0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Strategic Imperatives for 2025-2027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.00000000000009" w:type="dxa"/>
      </w:tblPr>
      <w:tblGrid>
        <w:gridCol w:w="5348"/>
        <w:gridCol w:w="5348"/>
      </w:tblGrid>
      <w:tr>
        <w:trPr>
          <w:trHeight w:hRule="exact" w:val="78"/>
        </w:trPr>
        <w:tc>
          <w:tcPr>
            <w:tcW w:type="dxa" w:w="10398"/>
            <w:gridSpan w:val="2"/>
            <w:tcBorders>
              <w:top w:sz="2.876147508621216" w:val="single" w:color="#E0E5EA"/>
            </w:tcBorders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70"/>
        </w:trPr>
        <w:tc>
          <w:tcPr>
            <w:tcW w:type="dxa" w:w="506"/>
            <w:tcBorders>
              <w:start w:sz="2.876147508621216" w:val="single" w:color="#E0E5EA"/>
              <w:bottom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90500" cy="1905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892"/>
            <w:tcBorders>
              <w:bottom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auto" w:before="140" w:after="0"/>
              <w:ind w:left="72" w:right="144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Strategic Clarity Before Technology Deployment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Organizations achieving AI value consistently report having clear strategic objectives, defined success metrics, and executive alignment before technology selection—not after.</w:t>
            </w:r>
          </w:p>
        </w:tc>
      </w:tr>
      <w:tr>
        <w:trPr>
          <w:trHeight w:hRule="exact" w:val="762"/>
        </w:trPr>
        <w:tc>
          <w:tcPr>
            <w:tcW w:type="dxa" w:w="506"/>
            <w:tcBorders>
              <w:start w:sz="2.876147508621216" w:val="single" w:color="#E0E5EA"/>
              <w:top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58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90500" cy="1905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892"/>
            <w:tcBorders>
              <w:top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auto" w:before="306" w:after="0"/>
              <w:ind w:left="72" w:right="288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Change Management Is Non-Negotiable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Technology deployment alone does not drive adoption. Successful organizations invest equally in change management, user enablement, and ongoing support alongside technology implementation.</w:t>
            </w:r>
          </w:p>
        </w:tc>
      </w:tr>
      <w:tr>
        <w:trPr>
          <w:trHeight w:hRule="exact" w:val="58"/>
        </w:trPr>
        <w:tc>
          <w:tcPr>
            <w:tcW w:type="dxa" w:w="10398"/>
            <w:gridSpan w:val="2"/>
            <w:tcBorders>
              <w:bottom w:sz="2.876147508621216" w:val="single" w:color="#E0E5EA"/>
            </w:tcBorders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870" w:right="584" w:bottom="716" w:left="63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0.00000000000006" w:type="dxa"/>
      </w:tblPr>
      <w:tblGrid>
        <w:gridCol w:w="5511"/>
        <w:gridCol w:w="5511"/>
      </w:tblGrid>
      <w:tr>
        <w:trPr>
          <w:trHeight w:hRule="exact" w:val="78"/>
        </w:trPr>
        <w:tc>
          <w:tcPr>
            <w:tcW w:type="dxa" w:w="10398"/>
            <w:gridSpan w:val="2"/>
            <w:tcBorders>
              <w:top w:sz="2.876147508621216" w:val="single" w:color="#E0E5EA"/>
            </w:tcBorders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90"/>
        </w:trPr>
        <w:tc>
          <w:tcPr>
            <w:tcW w:type="dxa" w:w="506"/>
            <w:tcBorders>
              <w:start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90500" cy="190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89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auto" w:before="140" w:after="0"/>
              <w:ind w:left="72" w:right="144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Skills Development Must Match Adoption Maturity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As organizations progress from experimentation to scaling, skill requirements evolve. Foundational awareness gives way to implementation expertise, governance capability, and advanced technical skills.</w:t>
            </w:r>
          </w:p>
        </w:tc>
      </w:tr>
      <w:tr>
        <w:trPr>
          <w:trHeight w:hRule="exact" w:val="80"/>
        </w:trPr>
        <w:tc>
          <w:tcPr>
            <w:tcW w:type="dxa" w:w="10398"/>
            <w:gridSpan w:val="2"/>
            <w:tcBorders>
              <w:bottom w:sz="2.876147508621216" w:val="single" w:color="#E0E5EA"/>
            </w:tcBorders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6" w:lineRule="auto" w:before="630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26"/>
        </w:rPr>
        <w:t>Methodology</w:t>
      </w:r>
    </w:p>
    <w:p>
      <w:pPr>
        <w:autoSpaceDN w:val="0"/>
        <w:autoSpaceDE w:val="0"/>
        <w:widowControl/>
        <w:spacing w:line="271" w:lineRule="auto" w:before="136" w:after="192"/>
        <w:ind w:left="174" w:right="144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This report synthesizes findings from 413 research sources published between 2023 and 2025. Data was collected through systematic review of industry surveys, government statistics, academic 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research, and market analysis reports. Where sources reported conflicting figures, we prioritized recent data, larger sample sizes, and methodologically rigorous studies.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1022"/>
      </w:tblGrid>
      <w:tr>
        <w:trPr>
          <w:trHeight w:hRule="exact" w:val="338"/>
        </w:trPr>
        <w:tc>
          <w:tcPr>
            <w:tcW w:type="dxa" w:w="10660"/>
            <w:tcBorders/>
            <w:shd w:fill="1f9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68" w:after="0"/>
              <w:ind w:left="126" w:right="0" w:firstLine="0"/>
              <w:jc w:val="left"/>
            </w:pPr>
            <w:r>
              <w:rPr>
                <w:w w:val="103.32092453289849"/>
                <w:rFonts w:ascii="" w:hAnsi="" w:eastAsia=""/>
                <w:b w:val="0"/>
                <w:i w:val="0"/>
                <w:color w:val="1C262F"/>
                <w:sz w:val="11"/>
              </w:rPr>
              <w:t>LLPA Member Survey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11022"/>
      </w:tblGrid>
      <w:tr>
        <w:trPr>
          <w:trHeight w:hRule="exact" w:val="190"/>
        </w:trPr>
        <w:tc>
          <w:tcPr>
            <w:tcW w:type="dxa" w:w="10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5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Alongside published research, LLPA conducted structured interviews with 22 member training providers spanning the LLPA membership during August–September 2025 to capture frontline observations on enterprise AI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11022"/>
      </w:tblGrid>
      <w:tr>
        <w:trPr>
          <w:trHeight w:hRule="exact" w:val="162"/>
        </w:trPr>
        <w:tc>
          <w:tcPr>
            <w:tcW w:type="dxa" w:w="10680"/>
            <w:tcBorders/>
            <w:shd w:fill="1f9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adoption patterns. The interview cohort covered more than 20 country markets in scope; 15 of those markets are profiled in detail on the Market Profiles page. Individual participants and their organizations are reported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11022"/>
      </w:tblGrid>
      <w:tr>
        <w:trPr>
          <w:trHeight w:hRule="exact" w:val="160"/>
        </w:trPr>
        <w:tc>
          <w:tcPr>
            <w:tcW w:type="dxa" w:w="10640"/>
            <w:tcBorders/>
            <w:shd w:fill="1f9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anonymously to preserve the candor of client-facing observations. Contributions are aggregated by region (Nordic, Western Europe, Central Europe, Eastern Europe, Southern Europe, Asia-Pacific, Latin America, and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11022"/>
      </w:tblGrid>
      <w:tr>
        <w:trPr>
          <w:trHeight w:hRule="exact" w:val="194"/>
        </w:trPr>
        <w:tc>
          <w:tcPr>
            <w:tcW w:type="dxa" w:w="8000"/>
            <w:tcBorders/>
            <w:shd w:fill="1f9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4" w:after="0"/>
              <w:ind w:left="16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Africa). Interview participant names and questions are held confidentially by LLPA and are not published.</w:t>
            </w:r>
          </w:p>
        </w:tc>
      </w:tr>
    </w:tbl>
    <w:p>
      <w:pPr>
        <w:autoSpaceDN w:val="0"/>
        <w:autoSpaceDE w:val="0"/>
        <w:widowControl/>
        <w:spacing w:line="209" w:lineRule="auto" w:before="358" w:after="182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17"/>
        </w:rPr>
        <w:t>Data Sources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74"/>
        <w:gridCol w:w="3674"/>
        <w:gridCol w:w="3674"/>
      </w:tblGrid>
      <w:tr>
        <w:trPr>
          <w:trHeight w:hRule="exact" w:val="274"/>
        </w:trPr>
        <w:tc>
          <w:tcPr>
            <w:tcW w:type="dxa" w:w="1322"/>
            <w:tcBorders>
              <w:bottom w:sz="5.599999999999909" w:val="single" w:color="#1C262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Category</w:t>
            </w:r>
          </w:p>
        </w:tc>
        <w:tc>
          <w:tcPr>
            <w:tcW w:type="dxa" w:w="6820"/>
            <w:tcBorders>
              <w:bottom w:sz="5.599999999999909" w:val="single" w:color="#1C262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0" w:after="0"/>
              <w:ind w:left="52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Description</w:t>
            </w:r>
          </w:p>
        </w:tc>
        <w:tc>
          <w:tcPr>
            <w:tcW w:type="dxa" w:w="2514"/>
            <w:tcBorders>
              <w:bottom w:sz="5.599999999999909" w:val="single" w:color="#1C262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0" w:right="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Count</w:t>
            </w:r>
          </w:p>
        </w:tc>
      </w:tr>
      <w:tr>
        <w:trPr>
          <w:trHeight w:hRule="exact" w:val="256"/>
        </w:trPr>
        <w:tc>
          <w:tcPr>
            <w:tcW w:type="dxa" w:w="1322"/>
            <w:tcBorders>
              <w:top w:sz="5.599999999999909" w:val="single" w:color="#1C262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Industry Surveys</w:t>
            </w:r>
          </w:p>
        </w:tc>
        <w:tc>
          <w:tcPr>
            <w:tcW w:type="dxa" w:w="6820"/>
            <w:tcBorders>
              <w:top w:sz="5.599999999999909" w:val="single" w:color="#1C262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52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Enterprise AI adoption surveys from major consulting firms and research organizations</w:t>
            </w:r>
          </w:p>
        </w:tc>
        <w:tc>
          <w:tcPr>
            <w:tcW w:type="dxa" w:w="2514"/>
            <w:tcBorders>
              <w:top w:sz="5.599999999999909" w:val="single" w:color="#1C262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0" w:right="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45+</w:t>
            </w:r>
          </w:p>
        </w:tc>
      </w:tr>
    </w:tbl>
    <w:p>
      <w:pPr>
        <w:autoSpaceDN w:val="0"/>
        <w:autoSpaceDE w:val="0"/>
        <w:widowControl/>
        <w:spacing w:line="206" w:lineRule="auto" w:before="32" w:after="94"/>
        <w:ind w:left="2020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Examples: McKinsey Global Survey, Deloitte State of AI, IBM Global AI Adoption Index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74"/>
        <w:gridCol w:w="3674"/>
        <w:gridCol w:w="3674"/>
      </w:tblGrid>
      <w:tr>
        <w:trPr>
          <w:trHeight w:hRule="exact" w:val="254"/>
        </w:trPr>
        <w:tc>
          <w:tcPr>
            <w:tcW w:type="dxa" w:w="1442"/>
            <w:tcBorders>
              <w:top w:sz="3.200000000000273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Government Statistics</w:t>
            </w:r>
          </w:p>
        </w:tc>
        <w:tc>
          <w:tcPr>
            <w:tcW w:type="dxa" w:w="6480"/>
            <w:tcBorders>
              <w:top w:sz="3.200000000000273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40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Official statistics on business technology adoption and labor productivity</w:t>
            </w:r>
          </w:p>
        </w:tc>
        <w:tc>
          <w:tcPr>
            <w:tcW w:type="dxa" w:w="2734"/>
            <w:tcBorders>
              <w:top w:sz="3.200000000000273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4" w:after="0"/>
              <w:ind w:left="0" w:right="8" w:firstLine="0"/>
              <w:jc w:val="right"/>
            </w:pPr>
            <w:r>
              <w:rPr>
                <w:w w:val="101.91846627670466"/>
                <w:rFonts w:ascii="" w:hAnsi="" w:eastAsia=""/>
                <w:b w:val="0"/>
                <w:i w:val="0"/>
                <w:color w:val="1C262F"/>
                <w:sz w:val="9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206" w:lineRule="auto" w:before="26" w:after="96"/>
        <w:ind w:left="2020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Examples: Eurostat, US Census Bureau BTOS, UK ONS, Statistics Canada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74"/>
        <w:gridCol w:w="3674"/>
        <w:gridCol w:w="3674"/>
      </w:tblGrid>
      <w:tr>
        <w:trPr>
          <w:trHeight w:hRule="exact" w:val="252"/>
        </w:trPr>
        <w:tc>
          <w:tcPr>
            <w:tcW w:type="dxa" w:w="1402"/>
            <w:tcBorders>
              <w:top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0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Academic Research</w:t>
            </w:r>
          </w:p>
        </w:tc>
        <w:tc>
          <w:tcPr>
            <w:tcW w:type="dxa" w:w="6440"/>
            <w:tcBorders>
              <w:top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0" w:after="0"/>
              <w:ind w:left="4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Peer-reviewed studies on AI productivity impacts and adoption patterns</w:t>
            </w:r>
          </w:p>
        </w:tc>
        <w:tc>
          <w:tcPr>
            <w:tcW w:type="dxa" w:w="2814"/>
            <w:tcBorders>
              <w:top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0" w:after="0"/>
              <w:ind w:left="0" w:right="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85+</w:t>
            </w:r>
          </w:p>
        </w:tc>
      </w:tr>
    </w:tbl>
    <w:p>
      <w:pPr>
        <w:autoSpaceDN w:val="0"/>
        <w:autoSpaceDE w:val="0"/>
        <w:widowControl/>
        <w:spacing w:line="206" w:lineRule="auto" w:before="28" w:after="96"/>
        <w:ind w:left="2020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Examples: Brynjolfsson et al. (QJE), Dell'Acqua et al. (HBS), Peng et 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74"/>
        <w:gridCol w:w="3674"/>
        <w:gridCol w:w="3674"/>
      </w:tblGrid>
      <w:tr>
        <w:trPr>
          <w:trHeight w:hRule="exact" w:val="254"/>
        </w:trPr>
        <w:tc>
          <w:tcPr>
            <w:tcW w:type="dxa" w:w="1302"/>
            <w:tcBorders>
              <w:top w:sz="2.400000000000091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0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Market Analysis</w:t>
            </w:r>
          </w:p>
        </w:tc>
        <w:tc>
          <w:tcPr>
            <w:tcW w:type="dxa" w:w="6580"/>
            <w:tcBorders>
              <w:top w:sz="2.400000000000091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0" w:after="0"/>
              <w:ind w:left="5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Industry analyst reports on enterprise AI spending and vendor landscape</w:t>
            </w:r>
          </w:p>
        </w:tc>
        <w:tc>
          <w:tcPr>
            <w:tcW w:type="dxa" w:w="2774"/>
            <w:tcBorders>
              <w:top w:sz="2.400000000000091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0" w:after="0"/>
              <w:ind w:left="0" w:right="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60+</w:t>
            </w:r>
          </w:p>
        </w:tc>
      </w:tr>
    </w:tbl>
    <w:p>
      <w:pPr>
        <w:autoSpaceDN w:val="0"/>
        <w:autoSpaceDE w:val="0"/>
        <w:widowControl/>
        <w:spacing w:line="206" w:lineRule="auto" w:before="26" w:after="94"/>
        <w:ind w:left="2020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Examples: Gartner, IDC, Forrester, CB Insights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74"/>
        <w:gridCol w:w="3674"/>
        <w:gridCol w:w="3674"/>
      </w:tblGrid>
      <w:tr>
        <w:trPr>
          <w:trHeight w:hRule="exact" w:val="252"/>
        </w:trPr>
        <w:tc>
          <w:tcPr>
            <w:tcW w:type="dxa" w:w="1562"/>
            <w:tcBorders>
              <w:top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LLPA Member Survey 2025</w:t>
            </w:r>
          </w:p>
        </w:tc>
        <w:tc>
          <w:tcPr>
            <w:tcW w:type="dxa" w:w="7960"/>
            <w:tcBorders>
              <w:top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28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Anonymized primary research from structured interviews with LLPA member training providers, aggregated by region (see paragraph above)</w:t>
            </w:r>
          </w:p>
        </w:tc>
        <w:tc>
          <w:tcPr>
            <w:tcW w:type="dxa" w:w="1134"/>
            <w:tcBorders>
              <w:top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0" w:right="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9"/>
              </w:rPr>
              <w:t>51</w:t>
            </w:r>
          </w:p>
        </w:tc>
      </w:tr>
    </w:tbl>
    <w:p>
      <w:pPr>
        <w:autoSpaceDN w:val="0"/>
        <w:autoSpaceDE w:val="0"/>
        <w:widowControl/>
        <w:spacing w:line="206" w:lineRule="auto" w:before="28" w:after="94"/>
        <w:ind w:left="2020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Examples: Nordic, Western/Central/Eastern/Southern Europe, Asia-Pacific, Latin America, Africa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74"/>
        <w:gridCol w:w="3674"/>
        <w:gridCol w:w="3674"/>
      </w:tblGrid>
      <w:tr>
        <w:trPr>
          <w:trHeight w:hRule="exact" w:val="252"/>
        </w:trPr>
        <w:tc>
          <w:tcPr>
            <w:tcW w:type="dxa" w:w="1542"/>
            <w:tcBorders>
              <w:top w:sz="3.200000000000273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Forecasting Aggregations</w:t>
            </w:r>
          </w:p>
        </w:tc>
        <w:tc>
          <w:tcPr>
            <w:tcW w:type="dxa" w:w="5820"/>
            <w:tcBorders>
              <w:top w:sz="3.200000000000273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30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Aggregated predictions on AI capability timelines</w:t>
            </w:r>
          </w:p>
        </w:tc>
        <w:tc>
          <w:tcPr>
            <w:tcW w:type="dxa" w:w="3294"/>
            <w:tcBorders>
              <w:top w:sz="3.200000000000273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206" w:lineRule="auto" w:before="26" w:after="96"/>
        <w:ind w:left="2020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Examples: Metaculus, AI Impacts Survey, Cotra Bio Anchors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1022"/>
      </w:tblGrid>
      <w:tr>
        <w:trPr>
          <w:trHeight w:hRule="exact" w:val="522"/>
        </w:trPr>
        <w:tc>
          <w:tcPr>
            <w:tcW w:type="dxa" w:w="10656"/>
            <w:tcBorders>
              <w:top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6" w:after="0"/>
              <w:ind w:left="1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Limitations: Enterprise AI adoption data relies heavily on self-reported surveys, which may overstate adoption rates. Productivity impact studies are predominantly conducted in controlled settings that may not reflect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837"/>
        <w:gridCol w:w="1837"/>
        <w:gridCol w:w="1837"/>
        <w:gridCol w:w="1837"/>
        <w:gridCol w:w="1837"/>
        <w:gridCol w:w="1837"/>
      </w:tblGrid>
      <w:tr>
        <w:trPr>
          <w:trHeight w:hRule="exact" w:val="266"/>
        </w:trPr>
        <w:tc>
          <w:tcPr>
            <w:tcW w:type="dxa" w:w="10656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2" w:after="0"/>
              <w:ind w:left="1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real-world deployment conditions. AGI timeline forecasts represent aggregated expert predictions, not empirical projections.</w:t>
            </w:r>
          </w:p>
        </w:tc>
      </w:tr>
      <w:tr>
        <w:trPr>
          <w:trHeight w:hRule="exact" w:val="888"/>
        </w:trPr>
        <w:tc>
          <w:tcPr>
            <w:tcW w:type="dxa" w:w="14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1600" cy="101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514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48" w:after="0"/>
              <w:ind w:left="116" w:right="0" w:firstLine="0"/>
              <w:jc w:val="left"/>
            </w:pPr>
            <w:r>
              <w:rPr>
                <w:w w:val="98.05048162286933"/>
                <w:rFonts w:ascii="" w:hAnsi="" w:eastAsia=""/>
                <w:b w:val="0"/>
                <w:i w:val="0"/>
                <w:color w:val="1C262F"/>
                <w:sz w:val="22"/>
              </w:rPr>
              <w:t>Table of Contents</w:t>
            </w:r>
          </w:p>
        </w:tc>
      </w:tr>
      <w:tr>
        <w:trPr>
          <w:trHeight w:hRule="exact" w:val="300"/>
        </w:trPr>
        <w:tc>
          <w:tcPr>
            <w:tcW w:type="dxa" w:w="14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400" cy="381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0" w:after="0"/>
              <w:ind w:left="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Executive Summary</w:t>
            </w:r>
          </w:p>
        </w:tc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381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0" w:after="0"/>
              <w:ind w:left="4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Section 4: Productivity Evidence Gap</w:t>
            </w:r>
          </w:p>
        </w:tc>
      </w:tr>
      <w:tr>
        <w:trPr>
          <w:trHeight w:hRule="exact" w:val="300"/>
        </w:trPr>
        <w:tc>
          <w:tcPr>
            <w:tcW w:type="dxa" w:w="282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3429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342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auto" w:before="134" w:after="0"/>
              <w:ind w:left="0" w:right="2448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Strategic Context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Critical Findings</w:t>
            </w:r>
          </w:p>
        </w:tc>
        <w:tc>
          <w:tcPr>
            <w:tcW w:type="dxa" w:w="2020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" cy="508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4" w:after="0"/>
              <w:ind w:left="4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4.1 Task-Level Evidence</w:t>
            </w:r>
          </w:p>
        </w:tc>
      </w:tr>
      <w:tr>
        <w:trPr>
          <w:trHeight w:hRule="exact" w:val="300"/>
        </w:trPr>
        <w:tc>
          <w:tcPr>
            <w:tcW w:type="dxa" w:w="3674"/>
            <w:gridSpan w:val="2"/>
            <w:vMerge/>
            <w:tcBorders/>
          </w:tcPr>
          <w:p/>
        </w:tc>
        <w:tc>
          <w:tcPr>
            <w:tcW w:type="dxa" w:w="1837"/>
            <w:vMerge/>
            <w:tcBorders/>
          </w:tcPr>
          <w:p/>
        </w:tc>
        <w:tc>
          <w:tcPr>
            <w:tcW w:type="dxa" w:w="3674"/>
            <w:gridSpan w:val="2"/>
            <w:vMerge/>
            <w:tcBorders/>
          </w:tcPr>
          <w:p/>
        </w:tc>
        <w:tc>
          <w:tcPr>
            <w:tcW w:type="dxa" w:w="48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94" w:after="0"/>
              <w:ind w:left="4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4.2 Aggregate Evidence</w:t>
            </w:r>
          </w:p>
        </w:tc>
      </w:tr>
      <w:tr>
        <w:trPr>
          <w:trHeight w:hRule="exact" w:val="280"/>
        </w:trPr>
        <w:tc>
          <w:tcPr>
            <w:tcW w:type="dxa" w:w="14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400" cy="508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96" w:after="0"/>
              <w:ind w:left="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Methodology</w:t>
            </w:r>
          </w:p>
        </w:tc>
        <w:tc>
          <w:tcPr>
            <w:tcW w:type="dxa" w:w="3674"/>
            <w:gridSpan w:val="2"/>
            <w:vMerge/>
            <w:tcBorders/>
          </w:tcPr>
          <w:p/>
        </w:tc>
        <w:tc>
          <w:tcPr>
            <w:tcW w:type="dxa" w:w="48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" w:after="0"/>
              <w:ind w:left="4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4.3 Solow Paradox</w:t>
            </w:r>
          </w:p>
        </w:tc>
      </w:tr>
      <w:tr>
        <w:trPr>
          <w:trHeight w:hRule="exact" w:val="240"/>
        </w:trPr>
        <w:tc>
          <w:tcPr>
            <w:tcW w:type="dxa" w:w="14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400" cy="381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6" w:after="0"/>
              <w:ind w:left="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Section 1: Global AI Landscape</w:t>
            </w:r>
          </w:p>
        </w:tc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508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4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Section 5: Future Outlook</w:t>
            </w:r>
          </w:p>
        </w:tc>
      </w:tr>
      <w:tr>
        <w:trPr>
          <w:trHeight w:hRule="exact" w:val="280"/>
        </w:trPr>
        <w:tc>
          <w:tcPr>
            <w:tcW w:type="dxa" w:w="282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3302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330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auto" w:before="166" w:after="0"/>
              <w:ind w:left="26" w:right="1728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1.1 Market Maturity Framework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1.2 Cross-Market Patterns</w:t>
            </w:r>
          </w:p>
        </w:tc>
        <w:tc>
          <w:tcPr>
            <w:tcW w:type="dxa" w:w="2020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" cy="4953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495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6" w:after="0"/>
              <w:ind w:left="4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5.1 Capability Progress</w:t>
            </w:r>
          </w:p>
        </w:tc>
      </w:tr>
      <w:tr>
        <w:trPr>
          <w:trHeight w:hRule="exact" w:val="320"/>
        </w:trPr>
        <w:tc>
          <w:tcPr>
            <w:tcW w:type="dxa" w:w="3674"/>
            <w:gridSpan w:val="2"/>
            <w:vMerge/>
            <w:tcBorders/>
          </w:tcPr>
          <w:p/>
        </w:tc>
        <w:tc>
          <w:tcPr>
            <w:tcW w:type="dxa" w:w="1837"/>
            <w:vMerge/>
            <w:tcBorders/>
          </w:tcPr>
          <w:p/>
        </w:tc>
        <w:tc>
          <w:tcPr>
            <w:tcW w:type="dxa" w:w="3674"/>
            <w:gridSpan w:val="2"/>
            <w:vMerge/>
            <w:tcBorders/>
          </w:tcPr>
          <w:p/>
        </w:tc>
        <w:tc>
          <w:tcPr>
            <w:tcW w:type="dxa" w:w="48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4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5.2 AGI Timeline</w:t>
            </w:r>
          </w:p>
        </w:tc>
      </w:tr>
      <w:tr>
        <w:trPr>
          <w:trHeight w:hRule="exact" w:val="260"/>
        </w:trPr>
        <w:tc>
          <w:tcPr>
            <w:tcW w:type="dxa" w:w="14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400" cy="381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6" w:after="0"/>
              <w:ind w:left="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Section 2: Barriers to Adoption</w:t>
            </w:r>
          </w:p>
        </w:tc>
        <w:tc>
          <w:tcPr>
            <w:tcW w:type="dxa" w:w="3674"/>
            <w:gridSpan w:val="2"/>
            <w:vMerge/>
            <w:tcBorders/>
          </w:tcPr>
          <w:p/>
        </w:tc>
        <w:tc>
          <w:tcPr>
            <w:tcW w:type="dxa" w:w="48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4" w:after="0"/>
              <w:ind w:left="4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5.3 Phase Transitions</w:t>
            </w:r>
          </w:p>
        </w:tc>
      </w:tr>
      <w:tr>
        <w:trPr>
          <w:trHeight w:hRule="exact" w:val="300"/>
        </w:trPr>
        <w:tc>
          <w:tcPr>
            <w:tcW w:type="dxa" w:w="282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3429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342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8" w:after="0"/>
              <w:ind w:left="26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Financial Constraints</w:t>
            </w:r>
          </w:p>
        </w:tc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381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56" w:after="0"/>
              <w:ind w:left="4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Conclusion</w:t>
            </w:r>
          </w:p>
        </w:tc>
      </w:tr>
      <w:tr>
        <w:trPr>
          <w:trHeight w:hRule="exact" w:val="340"/>
        </w:trPr>
        <w:tc>
          <w:tcPr>
            <w:tcW w:type="dxa" w:w="3674"/>
            <w:gridSpan w:val="2"/>
            <w:vMerge/>
            <w:tcBorders/>
          </w:tcPr>
          <w:p/>
        </w:tc>
        <w:tc>
          <w:tcPr>
            <w:tcW w:type="dxa" w:w="3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98" w:after="0"/>
              <w:ind w:left="26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Organizational Inertia</w:t>
            </w:r>
          </w:p>
        </w:tc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381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4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References</w:t>
            </w:r>
          </w:p>
        </w:tc>
      </w:tr>
      <w:tr>
        <w:trPr>
          <w:trHeight w:hRule="exact" w:val="200"/>
        </w:trPr>
        <w:tc>
          <w:tcPr>
            <w:tcW w:type="dxa" w:w="14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400" cy="381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514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Section 3: Industry Adoption</w:t>
            </w:r>
          </w:p>
        </w:tc>
      </w:tr>
      <w:tr>
        <w:trPr>
          <w:trHeight w:hRule="exact" w:val="1660"/>
        </w:trPr>
        <w:tc>
          <w:tcPr>
            <w:tcW w:type="dxa" w:w="28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" cy="9906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990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74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auto" w:before="122" w:after="0"/>
              <w:ind w:left="26" w:right="9072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Financial Services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Healthcare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Manufacturing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Retail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 xml:space="preserve">Professional Services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Public Sector</w:t>
            </w:r>
          </w:p>
        </w:tc>
      </w:tr>
    </w:tbl>
    <w:p>
      <w:pPr>
        <w:autoSpaceDN w:val="0"/>
        <w:autoSpaceDE w:val="0"/>
        <w:widowControl/>
        <w:spacing w:line="204" w:lineRule="auto" w:before="480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E85B30"/>
          <w:sz w:val="10"/>
        </w:rPr>
        <w:t>SECTION 1</w:t>
      </w:r>
    </w:p>
    <w:p>
      <w:pPr>
        <w:autoSpaceDN w:val="0"/>
        <w:autoSpaceDE w:val="0"/>
        <w:widowControl/>
        <w:spacing w:line="206" w:lineRule="auto" w:before="164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26"/>
        </w:rPr>
        <w:t>Global AI Adoption Landscape</w:t>
      </w:r>
    </w:p>
    <w:p>
      <w:pPr>
        <w:autoSpaceDN w:val="0"/>
        <w:autoSpaceDE w:val="0"/>
        <w:widowControl/>
        <w:spacing w:line="209" w:lineRule="auto" w:before="260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1.1 Maturity Tier Framework &amp; Methodology</w:t>
      </w:r>
    </w:p>
    <w:p>
      <w:pPr>
        <w:autoSpaceDN w:val="0"/>
        <w:autoSpaceDE w:val="0"/>
        <w:widowControl/>
        <w:spacing w:line="271" w:lineRule="auto" w:before="222" w:after="0"/>
        <w:ind w:left="144" w:right="288" w:firstLine="0"/>
        <w:jc w:val="center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Enterprise AI adoption is accelerating rapidly across global markets. The latest Eurostat data (December 2025) shows EU enterprise AI adoption reached 20.0% — a 6.5% increase from 13.5% in 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January 2025 and nearly triple the 7.7% recorded in 2021.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[375]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This growth is unevenly distributed: Nordic markets lead with 35-42% adoption, while parts of Eastern and Southern Europe remain</w:t>
      </w:r>
    </w:p>
    <w:p>
      <w:pPr>
        <w:sectPr>
          <w:pgSz w:w="11918" w:h="16838"/>
          <w:pgMar w:top="278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"/>
        <w:ind w:left="0" w:right="0"/>
      </w:pPr>
    </w:p>
    <w:p>
      <w:pPr>
        <w:autoSpaceDN w:val="0"/>
        <w:autoSpaceDE w:val="0"/>
        <w:widowControl/>
        <w:spacing w:line="226" w:lineRule="auto" w:before="28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below 10%.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[375]</w:t>
      </w:r>
    </w:p>
    <w:p>
      <w:pPr>
        <w:autoSpaceDN w:val="0"/>
        <w:autoSpaceDE w:val="0"/>
        <w:widowControl/>
        <w:spacing w:line="271" w:lineRule="auto" w:before="198" w:after="0"/>
        <w:ind w:left="174" w:right="576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This acceleration highlights the critical gap between AI adoption and AI value realization.  The following maturity tier framework helps understand which markets are ready for advanced AI 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implementations and which are still building foundational capabilities.</w:t>
      </w:r>
    </w:p>
    <w:p>
      <w:pPr>
        <w:autoSpaceDN w:val="0"/>
        <w:autoSpaceDE w:val="0"/>
        <w:widowControl/>
        <w:spacing w:line="204" w:lineRule="auto" w:before="306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13"/>
        </w:rPr>
        <w:t>Maturity Tier Framework</w:t>
      </w:r>
    </w:p>
    <w:p>
      <w:pPr>
        <w:autoSpaceDN w:val="0"/>
        <w:autoSpaceDE w:val="0"/>
        <w:widowControl/>
        <w:spacing w:line="271" w:lineRule="auto" w:before="156" w:after="184"/>
        <w:ind w:left="174" w:right="144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Markets are classified into four tiers using a four-factor assessment framework. This framework was recalibrated in December 2025 to reflect market evolution and incorporates qualitative factors 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beyond raw adoption statistics.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6.0" w:type="dxa"/>
      </w:tblPr>
      <w:tblGrid>
        <w:gridCol w:w="3674"/>
        <w:gridCol w:w="3674"/>
        <w:gridCol w:w="3674"/>
      </w:tblGrid>
      <w:tr>
        <w:trPr>
          <w:trHeight w:hRule="exact" w:val="276"/>
        </w:trPr>
        <w:tc>
          <w:tcPr>
            <w:tcW w:type="dxa" w:w="530"/>
            <w:tcBorders>
              <w:bottom w:sz="6.399999999999864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</w:t>
            </w:r>
          </w:p>
        </w:tc>
        <w:tc>
          <w:tcPr>
            <w:tcW w:type="dxa" w:w="980"/>
            <w:tcBorders>
              <w:bottom w:sz="6.399999999999864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42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Name</w:t>
            </w:r>
          </w:p>
        </w:tc>
        <w:tc>
          <w:tcPr>
            <w:tcW w:type="dxa" w:w="8974"/>
            <w:tcBorders>
              <w:bottom w:sz="6.399999999999864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2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Profile</w:t>
            </w:r>
          </w:p>
        </w:tc>
      </w:tr>
      <w:tr>
        <w:trPr>
          <w:trHeight w:hRule="exact" w:val="328"/>
        </w:trPr>
        <w:tc>
          <w:tcPr>
            <w:tcW w:type="dxa" w:w="530"/>
            <w:tcBorders>
              <w:top w:sz="6.399999999999864" w:val="single" w:color="#1C262F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 1</w:t>
            </w:r>
          </w:p>
        </w:tc>
        <w:tc>
          <w:tcPr>
            <w:tcW w:type="dxa" w:w="980"/>
            <w:tcBorders>
              <w:top w:sz="6.399999999999864" w:val="single" w:color="#1C262F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Leaders</w:t>
            </w:r>
          </w:p>
        </w:tc>
        <w:tc>
          <w:tcPr>
            <w:tcW w:type="dxa" w:w="8974"/>
            <w:tcBorders>
              <w:top w:sz="6.399999999999864" w:val="single" w:color="#1C262F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8974"/>
            </w:tblGrid>
            <w:tr>
              <w:trPr>
                <w:trHeight w:hRule="exact" w:val="310"/>
              </w:trPr>
              <w:tc>
                <w:tcPr>
                  <w:tcW w:type="dxa" w:w="8874"/>
                  <w:tcBorders/>
                  <w:shd w:fill="68c539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126" w:after="0"/>
                    <w:ind w:left="11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High enterprise adoption (40%+), mature AI governance, significant public/private investment, advanced implementation across industries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2"/>
        </w:trPr>
        <w:tc>
          <w:tcPr>
            <w:tcW w:type="dxa" w:w="530"/>
            <w:tcBorders>
              <w:top w:sz="2.400000000000091" w:val="single" w:color="#E0E5EA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 2</w:t>
            </w:r>
          </w:p>
        </w:tc>
        <w:tc>
          <w:tcPr>
            <w:tcW w:type="dxa" w:w="980"/>
            <w:tcBorders>
              <w:top w:sz="2.400000000000091" w:val="single" w:color="#E0E5EA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Advanced</w:t>
            </w:r>
          </w:p>
        </w:tc>
        <w:tc>
          <w:tcPr>
            <w:tcW w:type="dxa" w:w="8974"/>
            <w:tcBorders>
              <w:top w:sz="2.400000000000091" w:val="single" w:color="#E0E5EA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8974"/>
            </w:tblGrid>
            <w:tr>
              <w:trPr>
                <w:trHeight w:hRule="exact" w:val="304"/>
              </w:trPr>
              <w:tc>
                <w:tcPr>
                  <w:tcW w:type="dxa" w:w="8874"/>
                  <w:tcBorders/>
                  <w:shd w:fill="1f9fd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18" w:after="0"/>
                    <w:ind w:left="11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Growing adoption (25-40%), active enterprise experimentation, emerging governance frameworks, strong government AI initiatives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530"/>
            <w:tcBorders>
              <w:top w:sz="2.400000000000091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 3</w:t>
            </w:r>
          </w:p>
        </w:tc>
        <w:tc>
          <w:tcPr>
            <w:tcW w:type="dxa" w:w="980"/>
            <w:tcBorders>
              <w:top w:sz="2.400000000000091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Emerging</w:t>
            </w:r>
          </w:p>
        </w:tc>
        <w:tc>
          <w:tcPr>
            <w:tcW w:type="dxa" w:w="8974"/>
            <w:tcBorders>
              <w:top w:sz="2.400000000000091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8974"/>
            </w:tblGrid>
            <w:tr>
              <w:trPr>
                <w:trHeight w:hRule="exact" w:val="304"/>
              </w:trPr>
              <w:tc>
                <w:tcPr>
                  <w:tcW w:type="dxa" w:w="8874"/>
                  <w:tcBorders/>
                  <w:shd w:fill="f9b71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18" w:after="0"/>
                    <w:ind w:left="11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Moderate adoption (15-25%), awareness-level engagement, limited but growing AI initiatives, early governance development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530"/>
            <w:tcBorders>
              <w:top w:sz="3.199999999999818" w:val="single" w:color="#E0E5EA"/>
              <w:bottom w:sz="3.2000000000000455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 4</w:t>
            </w:r>
          </w:p>
        </w:tc>
        <w:tc>
          <w:tcPr>
            <w:tcW w:type="dxa" w:w="980"/>
            <w:tcBorders>
              <w:top w:sz="3.199999999999818" w:val="single" w:color="#E0E5EA"/>
              <w:bottom w:sz="3.2000000000000455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Nascent</w:t>
            </w:r>
          </w:p>
        </w:tc>
        <w:tc>
          <w:tcPr>
            <w:tcW w:type="dxa" w:w="8974"/>
            <w:tcBorders>
              <w:top w:sz="3.199999999999818" w:val="single" w:color="#E0E5EA"/>
              <w:bottom w:sz="3.2000000000000455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2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Early adoption (&lt;15%), foundational awareness stage, minimal AI initiatives, governance frameworks not yet developed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6.0" w:type="dxa"/>
      </w:tblPr>
      <w:tblGrid>
        <w:gridCol w:w="11022"/>
      </w:tblGrid>
      <w:tr>
        <w:trPr>
          <w:trHeight w:hRule="exact" w:val="546"/>
        </w:trPr>
        <w:tc>
          <w:tcPr>
            <w:tcW w:type="dxa" w:w="10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484"/>
            </w:tblGrid>
            <w:tr>
              <w:trPr>
                <w:trHeight w:hRule="exact" w:val="354"/>
              </w:trPr>
              <w:tc>
                <w:tcPr>
                  <w:tcW w:type="dxa" w:w="10484"/>
                  <w:tcBorders/>
                  <w:shd w:fill="f0f2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46" w:after="0"/>
                    <w:ind w:left="11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Note: Only markets with sufficient validated data across all four assessment factors are included in the tier classification.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6" w:lineRule="auto" w:before="282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13"/>
        </w:rPr>
        <w:t>Global Markets: Tier Classification Summary</w:t>
      </w:r>
    </w:p>
    <w:p>
      <w:pPr>
        <w:autoSpaceDN w:val="0"/>
        <w:autoSpaceDE w:val="0"/>
        <w:widowControl/>
        <w:spacing w:line="204" w:lineRule="auto" w:before="116" w:after="190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The following tier distributions are based on available market data across enterprise AI adoption, investment intensity, ecosystem maturity, and policy environment.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6.0" w:type="dxa"/>
      </w:tblPr>
      <w:tblGrid>
        <w:gridCol w:w="3674"/>
        <w:gridCol w:w="3674"/>
        <w:gridCol w:w="3674"/>
      </w:tblGrid>
      <w:tr>
        <w:trPr>
          <w:trHeight w:hRule="exact" w:val="276"/>
        </w:trPr>
        <w:tc>
          <w:tcPr>
            <w:tcW w:type="dxa" w:w="1070"/>
            <w:tcBorders>
              <w:bottom w:sz="5.599999999999909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</w:t>
            </w:r>
          </w:p>
        </w:tc>
        <w:tc>
          <w:tcPr>
            <w:tcW w:type="dxa" w:w="880"/>
            <w:tcBorders>
              <w:bottom w:sz="5.599999999999909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19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Count</w:t>
            </w:r>
          </w:p>
        </w:tc>
        <w:tc>
          <w:tcPr>
            <w:tcW w:type="dxa" w:w="8534"/>
            <w:tcBorders>
              <w:bottom w:sz="5.599999999999909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23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Markets</w:t>
            </w:r>
          </w:p>
        </w:tc>
      </w:tr>
      <w:tr>
        <w:trPr>
          <w:trHeight w:hRule="exact" w:val="326"/>
        </w:trPr>
        <w:tc>
          <w:tcPr>
            <w:tcW w:type="dxa" w:w="1070"/>
            <w:tcBorders>
              <w:top w:sz="5.599999999999909" w:val="single" w:color="#1C262F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70"/>
            </w:tblGrid>
            <w:tr>
              <w:trPr>
                <w:trHeight w:hRule="exact" w:val="302"/>
              </w:trPr>
              <w:tc>
                <w:tcPr>
                  <w:tcW w:type="dxa" w:w="910"/>
                  <w:tcBorders/>
                  <w:shd w:fill="68c539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124" w:after="0"/>
                    <w:ind w:left="8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Tier 1 (Leaders)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80"/>
            <w:tcBorders>
              <w:top w:sz="5.599999999999909" w:val="single" w:color="#1C262F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5 markets</w:t>
            </w:r>
          </w:p>
        </w:tc>
        <w:tc>
          <w:tcPr>
            <w:tcW w:type="dxa" w:w="8534"/>
            <w:tcBorders>
              <w:top w:sz="5.599999999999909" w:val="single" w:color="#1C262F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23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Denmark, Singapore, Netherlands, Switzerland, Australia</w:t>
            </w:r>
          </w:p>
        </w:tc>
      </w:tr>
      <w:tr>
        <w:trPr>
          <w:trHeight w:hRule="exact" w:val="324"/>
        </w:trPr>
        <w:tc>
          <w:tcPr>
            <w:tcW w:type="dxa" w:w="1070"/>
            <w:tcBorders>
              <w:top w:sz="3.199999999999818" w:val="single" w:color="#E0E5EA"/>
              <w:bottom w:sz="3.200000000000273" w:val="single" w:color="#E0E5EA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70"/>
            </w:tblGrid>
            <w:tr>
              <w:trPr>
                <w:trHeight w:hRule="exact" w:val="304"/>
              </w:trPr>
              <w:tc>
                <w:tcPr>
                  <w:tcW w:type="dxa" w:w="970"/>
                  <w:tcBorders/>
                  <w:shd w:fill="1f9fd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126" w:after="0"/>
                    <w:ind w:left="8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Tier 2 (Advanced)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80"/>
            <w:tcBorders>
              <w:top w:sz="3.199999999999818" w:val="single" w:color="#E0E5EA"/>
              <w:bottom w:sz="3.200000000000273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8 markets</w:t>
            </w:r>
          </w:p>
        </w:tc>
        <w:tc>
          <w:tcPr>
            <w:tcW w:type="dxa" w:w="8534"/>
            <w:tcBorders>
              <w:top w:sz="3.199999999999818" w:val="single" w:color="#E0E5EA"/>
              <w:bottom w:sz="3.200000000000273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23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Germany, UK, Mexico, Brazil, Croatia, Romania, South Africa, North Macedonia</w:t>
            </w:r>
          </w:p>
        </w:tc>
      </w:tr>
      <w:tr>
        <w:trPr>
          <w:trHeight w:hRule="exact" w:val="322"/>
        </w:trPr>
        <w:tc>
          <w:tcPr>
            <w:tcW w:type="dxa" w:w="1070"/>
            <w:tcBorders>
              <w:top w:sz="3.200000000000273" w:val="single" w:color="#E0E5EA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70"/>
            </w:tblGrid>
            <w:tr>
              <w:trPr>
                <w:trHeight w:hRule="exact" w:val="304"/>
              </w:trPr>
              <w:tc>
                <w:tcPr>
                  <w:tcW w:type="dxa" w:w="950"/>
                  <w:tcBorders/>
                  <w:shd w:fill="f9b71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126" w:after="0"/>
                    <w:ind w:left="8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Tier 3 (Emerging)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80"/>
            <w:tcBorders>
              <w:top w:sz="3.200000000000273" w:val="single" w:color="#E0E5EA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1 markets</w:t>
            </w:r>
          </w:p>
        </w:tc>
        <w:tc>
          <w:tcPr>
            <w:tcW w:type="dxa" w:w="8534"/>
            <w:tcBorders>
              <w:top w:sz="3.200000000000273" w:val="single" w:color="#E0E5EA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23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Portugal</w:t>
            </w:r>
          </w:p>
        </w:tc>
      </w:tr>
      <w:tr>
        <w:trPr>
          <w:trHeight w:hRule="exact" w:val="326"/>
        </w:trPr>
        <w:tc>
          <w:tcPr>
            <w:tcW w:type="dxa" w:w="1070"/>
            <w:tcBorders>
              <w:top w:sz="2.400000000000091" w:val="single" w:color="#E0E5EA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70"/>
            </w:tblGrid>
            <w:tr>
              <w:trPr>
                <w:trHeight w:hRule="exact" w:val="304"/>
              </w:trPr>
              <w:tc>
                <w:tcPr>
                  <w:tcW w:type="dxa" w:w="930"/>
                  <w:tcBorders/>
                  <w:shd w:fill="e85b3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24" w:after="0"/>
                    <w:ind w:left="8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Tier 4 (Nascent)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80"/>
            <w:tcBorders>
              <w:top w:sz="2.400000000000091" w:val="single" w:color="#E0E5EA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1 markets</w:t>
            </w:r>
          </w:p>
        </w:tc>
        <w:tc>
          <w:tcPr>
            <w:tcW w:type="dxa" w:w="8534"/>
            <w:tcBorders>
              <w:top w:sz="2.400000000000091" w:val="single" w:color="#E0E5EA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0" w:after="0"/>
              <w:ind w:left="23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Slovenia</w:t>
            </w:r>
          </w:p>
        </w:tc>
      </w:tr>
    </w:tbl>
    <w:p>
      <w:pPr>
        <w:autoSpaceDN w:val="0"/>
        <w:autoSpaceDE w:val="0"/>
        <w:widowControl/>
        <w:spacing w:line="206" w:lineRule="auto" w:before="138" w:after="0"/>
        <w:ind w:left="174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Source: Eurostat December 2025, Stanford HAI AI Index 2025, Oxford Insights AI Readiness Index 2024, national statistical offices.</w:t>
      </w:r>
    </w:p>
    <w:p>
      <w:pPr>
        <w:autoSpaceDN w:val="0"/>
        <w:autoSpaceDE w:val="0"/>
        <w:widowControl/>
        <w:spacing w:line="206" w:lineRule="auto" w:before="292" w:after="192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13"/>
        </w:rPr>
        <w:t>Training Demand by Tier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6.00000000000001" w:type="dxa"/>
      </w:tblPr>
      <w:tblGrid>
        <w:gridCol w:w="2204"/>
        <w:gridCol w:w="2204"/>
        <w:gridCol w:w="2204"/>
        <w:gridCol w:w="2204"/>
        <w:gridCol w:w="2204"/>
      </w:tblGrid>
      <w:tr>
        <w:trPr>
          <w:trHeight w:hRule="exact" w:val="166"/>
        </w:trPr>
        <w:tc>
          <w:tcPr>
            <w:tcW w:type="dxa" w:w="540"/>
            <w:gridSpan w:val="2"/>
            <w:vMerge w:val="restart"/>
            <w:tcBorders>
              <w:bottom w:sz="5.599999999999909" w:val="single" w:color="#1C262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2" w:after="0"/>
              <w:ind w:left="0" w:right="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</w:t>
            </w:r>
          </w:p>
        </w:tc>
        <w:tc>
          <w:tcPr>
            <w:tcW w:type="dxa" w:w="3980"/>
            <w:vMerge w:val="restart"/>
            <w:tcBorders>
              <w:bottom w:sz="5.599999999999909" w:val="single" w:color="#1C262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0" w:after="0"/>
              <w:ind w:left="42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Primary Training Demand</w:t>
            </w:r>
          </w:p>
        </w:tc>
        <w:tc>
          <w:tcPr>
            <w:tcW w:type="dxa" w:w="4040"/>
            <w:vMerge w:val="restart"/>
            <w:tcBorders>
              <w:bottom w:sz="5.599999999999909" w:val="single" w:color="#1C262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0" w:after="0"/>
              <w:ind w:left="0" w:right="157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Secondary Training Demand</w:t>
            </w:r>
          </w:p>
        </w:tc>
        <w:tc>
          <w:tcPr>
            <w:tcW w:type="dxa" w:w="21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0" w:right="406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training providers</w:t>
            </w:r>
          </w:p>
        </w:tc>
      </w:tr>
      <w:tr>
        <w:trPr>
          <w:trHeight w:hRule="exact" w:val="242"/>
        </w:trPr>
        <w:tc>
          <w:tcPr>
            <w:tcW w:type="dxa" w:w="4408"/>
            <w:gridSpan w:val="2"/>
            <w:vMerge/>
            <w:tcBorders>
              <w:bottom w:sz="5.599999999999909" w:val="single" w:color="#1C262F"/>
            </w:tcBorders>
          </w:tcPr>
          <w:p/>
        </w:tc>
        <w:tc>
          <w:tcPr>
            <w:tcW w:type="dxa" w:w="2204"/>
            <w:vMerge/>
            <w:tcBorders>
              <w:bottom w:sz="5.599999999999909" w:val="single" w:color="#1C262F"/>
            </w:tcBorders>
          </w:tcPr>
          <w:p/>
        </w:tc>
        <w:tc>
          <w:tcPr>
            <w:tcW w:type="dxa" w:w="2204"/>
            <w:vMerge/>
            <w:tcBorders>
              <w:bottom w:sz="5.599999999999909" w:val="single" w:color="#1C262F"/>
            </w:tcBorders>
          </w:tcPr>
          <w:p/>
        </w:tc>
        <w:tc>
          <w:tcPr>
            <w:tcW w:type="dxa" w:w="2194"/>
            <w:tcBorders>
              <w:bottom w:sz="5.599999999999909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0" w:right="70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Portfolio Fit</w:t>
            </w:r>
          </w:p>
        </w:tc>
      </w:tr>
      <w:tr>
        <w:trPr>
          <w:trHeight w:hRule="exact" w:val="238"/>
        </w:trPr>
        <w:tc>
          <w:tcPr>
            <w:tcW w:type="dxa" w:w="540"/>
            <w:gridSpan w:val="2"/>
            <w:vMerge w:val="restart"/>
            <w:tcBorders>
              <w:top w:sz="5.599999999999909" w:val="single" w:color="#1C262F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 1</w:t>
            </w:r>
          </w:p>
        </w:tc>
        <w:tc>
          <w:tcPr>
            <w:tcW w:type="dxa" w:w="3980"/>
            <w:vMerge w:val="restart"/>
            <w:tcBorders>
              <w:top w:sz="5.599999999999909" w:val="single" w:color="#1C262F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3980"/>
            </w:tblGrid>
            <w:tr>
              <w:trPr>
                <w:trHeight w:hRule="exact" w:val="448"/>
              </w:trPr>
              <w:tc>
                <w:tcPr>
                  <w:tcW w:type="dxa" w:w="3240"/>
                  <w:tcBorders/>
                  <w:shd w:fill="68c539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96" w:after="0"/>
                    <w:ind w:left="22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Advanced implementation (RAG, agents, fine-tuning)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040"/>
            <w:vMerge w:val="restart"/>
            <w:tcBorders>
              <w:top w:sz="5.599999999999909" w:val="single" w:color="#1C262F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8" w:after="0"/>
              <w:ind w:left="0" w:right="896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Multi-model strategy, governance, LLMOps</w:t>
            </w:r>
          </w:p>
        </w:tc>
        <w:tc>
          <w:tcPr>
            <w:tcW w:type="dxa" w:w="2194"/>
            <w:tcBorders>
              <w:top w:sz="5.599999999999909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0" w:right="6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Gap: Advanced technical</w:t>
            </w:r>
          </w:p>
        </w:tc>
      </w:tr>
      <w:tr>
        <w:trPr>
          <w:trHeight w:hRule="exact" w:val="234"/>
        </w:trPr>
        <w:tc>
          <w:tcPr>
            <w:tcW w:type="dxa" w:w="4408"/>
            <w:gridSpan w:val="2"/>
            <w:vMerge/>
            <w:tcBorders>
              <w:top w:sz="5.599999999999909" w:val="single" w:color="#1C262F"/>
              <w:bottom w:sz="3.199999999999818" w:val="single" w:color="#E0E5EA"/>
            </w:tcBorders>
          </w:tcPr>
          <w:p/>
        </w:tc>
        <w:tc>
          <w:tcPr>
            <w:tcW w:type="dxa" w:w="2204"/>
            <w:vMerge/>
            <w:tcBorders>
              <w:top w:sz="5.599999999999909" w:val="single" w:color="#1C262F"/>
              <w:bottom w:sz="3.199999999999818" w:val="single" w:color="#E0E5EA"/>
            </w:tcBorders>
          </w:tcPr>
          <w:p/>
        </w:tc>
        <w:tc>
          <w:tcPr>
            <w:tcW w:type="dxa" w:w="2204"/>
            <w:vMerge/>
            <w:tcBorders>
              <w:top w:sz="5.599999999999909" w:val="single" w:color="#1C262F"/>
              <w:bottom w:sz="3.199999999999818" w:val="single" w:color="#E0E5EA"/>
            </w:tcBorders>
          </w:tcPr>
          <w:p/>
        </w:tc>
        <w:tc>
          <w:tcPr>
            <w:tcW w:type="dxa" w:w="2194"/>
            <w:tcBorders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2" w:after="0"/>
              <w:ind w:left="0" w:right="51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content needed</w:t>
            </w:r>
          </w:p>
        </w:tc>
      </w:tr>
      <w:tr>
        <w:trPr>
          <w:trHeight w:hRule="exact" w:val="226"/>
        </w:trPr>
        <w:tc>
          <w:tcPr>
            <w:tcW w:type="dxa" w:w="540"/>
            <w:gridSpan w:val="2"/>
            <w:vMerge w:val="restart"/>
            <w:tcBorders>
              <w:top w:sz="3.199999999999818" w:val="single" w:color="#E0E5EA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8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 2</w:t>
            </w:r>
          </w:p>
        </w:tc>
        <w:tc>
          <w:tcPr>
            <w:tcW w:type="dxa" w:w="3980"/>
            <w:vMerge w:val="restart"/>
            <w:tcBorders>
              <w:top w:sz="3.199999999999818" w:val="single" w:color="#E0E5EA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3980"/>
            </w:tblGrid>
            <w:tr>
              <w:trPr>
                <w:trHeight w:hRule="exact" w:val="448"/>
              </w:trPr>
              <w:tc>
                <w:tcPr>
                  <w:tcW w:type="dxa" w:w="3100"/>
                  <w:tcBorders/>
                  <w:shd w:fill="1f9fd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96" w:after="0"/>
                    <w:ind w:left="22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Role-based AI applications, pilot-to-production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040"/>
            <w:vMerge w:val="restart"/>
            <w:tcBorders>
              <w:top w:sz="3.199999999999818" w:val="single" w:color="#E0E5EA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Change management, ROI measurement</w:t>
            </w:r>
          </w:p>
        </w:tc>
        <w:tc>
          <w:tcPr>
            <w:tcW w:type="dxa" w:w="2194"/>
            <w:tcBorders>
              <w:top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35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Partial: Role-based</w:t>
            </w:r>
          </w:p>
        </w:tc>
      </w:tr>
      <w:tr>
        <w:trPr>
          <w:trHeight w:hRule="exact" w:val="240"/>
        </w:trPr>
        <w:tc>
          <w:tcPr>
            <w:tcW w:type="dxa" w:w="4408"/>
            <w:gridSpan w:val="2"/>
            <w:vMerge/>
            <w:tcBorders>
              <w:top w:sz="3.199999999999818" w:val="single" w:color="#E0E5EA"/>
              <w:bottom w:sz="2.400000000000091" w:val="single" w:color="#E0E5EA"/>
            </w:tcBorders>
          </w:tcPr>
          <w:p/>
        </w:tc>
        <w:tc>
          <w:tcPr>
            <w:tcW w:type="dxa" w:w="2204"/>
            <w:vMerge/>
            <w:tcBorders>
              <w:top w:sz="3.199999999999818" w:val="single" w:color="#E0E5EA"/>
              <w:bottom w:sz="2.400000000000091" w:val="single" w:color="#E0E5EA"/>
            </w:tcBorders>
          </w:tcPr>
          <w:p/>
        </w:tc>
        <w:tc>
          <w:tcPr>
            <w:tcW w:type="dxa" w:w="2204"/>
            <w:vMerge/>
            <w:tcBorders>
              <w:top w:sz="3.199999999999818" w:val="single" w:color="#E0E5EA"/>
              <w:bottom w:sz="2.400000000000091" w:val="single" w:color="#E0E5EA"/>
            </w:tcBorders>
          </w:tcPr>
          <w:p/>
        </w:tc>
        <w:tc>
          <w:tcPr>
            <w:tcW w:type="dxa" w:w="2194"/>
            <w:tcBorders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0" w:after="0"/>
              <w:ind w:left="0" w:right="60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content exists</w:t>
            </w:r>
          </w:p>
        </w:tc>
      </w:tr>
      <w:tr>
        <w:trPr>
          <w:trHeight w:hRule="exact" w:val="240"/>
        </w:trPr>
        <w:tc>
          <w:tcPr>
            <w:tcW w:type="dxa" w:w="540"/>
            <w:gridSpan w:val="2"/>
            <w:vMerge w:val="restart"/>
            <w:tcBorders>
              <w:top w:sz="2.400000000000091" w:val="single" w:color="#E0E5EA"/>
              <w:bottom w:sz="3.200000000000273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2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 3</w:t>
            </w:r>
          </w:p>
        </w:tc>
        <w:tc>
          <w:tcPr>
            <w:tcW w:type="dxa" w:w="3980"/>
            <w:vMerge w:val="restart"/>
            <w:tcBorders>
              <w:top w:sz="2.400000000000091" w:val="single" w:color="#E0E5EA"/>
              <w:bottom w:sz="3.200000000000273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3980"/>
            </w:tblGrid>
            <w:tr>
              <w:trPr>
                <w:trHeight w:hRule="exact" w:val="446"/>
              </w:trPr>
              <w:tc>
                <w:tcPr>
                  <w:tcW w:type="dxa" w:w="3120"/>
                  <w:tcBorders/>
                  <w:shd w:fill="f9b71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196" w:after="0"/>
                    <w:ind w:left="22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Foundational GenAI, prompt engineering basics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040"/>
            <w:vMerge w:val="restart"/>
            <w:tcBorders>
              <w:top w:sz="2.400000000000091" w:val="single" w:color="#E0E5EA"/>
              <w:bottom w:sz="3.200000000000273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92" w:after="0"/>
              <w:ind w:left="0" w:right="97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Use case discovery, executive awareness</w:t>
            </w:r>
          </w:p>
        </w:tc>
        <w:tc>
          <w:tcPr>
            <w:tcW w:type="dxa" w:w="2194"/>
            <w:tcBorders>
              <w:top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0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Strong: Core curriculum</w:t>
            </w:r>
          </w:p>
        </w:tc>
      </w:tr>
      <w:tr>
        <w:trPr>
          <w:trHeight w:hRule="exact" w:val="228"/>
        </w:trPr>
        <w:tc>
          <w:tcPr>
            <w:tcW w:type="dxa" w:w="4408"/>
            <w:gridSpan w:val="2"/>
            <w:vMerge/>
            <w:tcBorders>
              <w:top w:sz="2.400000000000091" w:val="single" w:color="#E0E5EA"/>
              <w:bottom w:sz="3.200000000000273" w:val="single" w:color="#E0E5EA"/>
            </w:tcBorders>
          </w:tcPr>
          <w:p/>
        </w:tc>
        <w:tc>
          <w:tcPr>
            <w:tcW w:type="dxa" w:w="2204"/>
            <w:vMerge/>
            <w:tcBorders>
              <w:top w:sz="2.400000000000091" w:val="single" w:color="#E0E5EA"/>
              <w:bottom w:sz="3.200000000000273" w:val="single" w:color="#E0E5EA"/>
            </w:tcBorders>
          </w:tcPr>
          <w:p/>
        </w:tc>
        <w:tc>
          <w:tcPr>
            <w:tcW w:type="dxa" w:w="2204"/>
            <w:vMerge/>
            <w:tcBorders>
              <w:top w:sz="2.400000000000091" w:val="single" w:color="#E0E5EA"/>
              <w:bottom w:sz="3.200000000000273" w:val="single" w:color="#E0E5EA"/>
            </w:tcBorders>
          </w:tcPr>
          <w:p/>
        </w:tc>
        <w:tc>
          <w:tcPr>
            <w:tcW w:type="dxa" w:w="2194"/>
            <w:tcBorders>
              <w:bottom w:sz="3.200000000000273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aligned</w:t>
            </w:r>
          </w:p>
        </w:tc>
      </w:tr>
      <w:tr>
        <w:trPr>
          <w:trHeight w:hRule="exact" w:val="232"/>
        </w:trPr>
        <w:tc>
          <w:tcPr>
            <w:tcW w:type="dxa" w:w="540"/>
            <w:gridSpan w:val="2"/>
            <w:vMerge w:val="restart"/>
            <w:tcBorders>
              <w:top w:sz="3.200000000000273" w:val="single" w:color="#E0E5EA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8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Tier 4</w:t>
            </w:r>
          </w:p>
        </w:tc>
        <w:tc>
          <w:tcPr>
            <w:tcW w:type="dxa" w:w="3980"/>
            <w:vMerge w:val="restart"/>
            <w:tcBorders>
              <w:top w:sz="3.200000000000273" w:val="single" w:color="#E0E5EA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3980"/>
            </w:tblGrid>
            <w:tr>
              <w:trPr>
                <w:trHeight w:hRule="exact" w:val="448"/>
              </w:trPr>
              <w:tc>
                <w:tcPr>
                  <w:tcW w:type="dxa" w:w="2700"/>
                  <w:tcBorders/>
                  <w:shd w:fill="e85b3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198" w:after="0"/>
                    <w:ind w:left="22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AI literacy, digital foundations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040"/>
            <w:vMerge w:val="restart"/>
            <w:tcBorders>
              <w:top w:sz="3.200000000000273" w:val="single" w:color="#E0E5EA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86" w:after="0"/>
              <w:ind w:left="0" w:right="96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Executive education, infrastructure basics</w:t>
            </w:r>
          </w:p>
        </w:tc>
        <w:tc>
          <w:tcPr>
            <w:tcW w:type="dxa" w:w="2194"/>
            <w:tcBorders>
              <w:top w:sz="3.200000000000273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0" w:right="36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Strong: Awareness</w:t>
            </w:r>
          </w:p>
        </w:tc>
      </w:tr>
      <w:tr>
        <w:trPr>
          <w:trHeight w:hRule="exact" w:val="236"/>
        </w:trPr>
        <w:tc>
          <w:tcPr>
            <w:tcW w:type="dxa" w:w="4408"/>
            <w:gridSpan w:val="2"/>
            <w:vMerge/>
            <w:tcBorders>
              <w:top w:sz="3.200000000000273" w:val="single" w:color="#E0E5EA"/>
              <w:bottom w:sz="2.399999999999636" w:val="single" w:color="#E0E5EA"/>
            </w:tcBorders>
          </w:tcPr>
          <w:p/>
        </w:tc>
        <w:tc>
          <w:tcPr>
            <w:tcW w:type="dxa" w:w="2204"/>
            <w:vMerge/>
            <w:tcBorders>
              <w:top w:sz="3.200000000000273" w:val="single" w:color="#E0E5EA"/>
              <w:bottom w:sz="2.399999999999636" w:val="single" w:color="#E0E5EA"/>
            </w:tcBorders>
          </w:tcPr>
          <w:p/>
        </w:tc>
        <w:tc>
          <w:tcPr>
            <w:tcW w:type="dxa" w:w="2204"/>
            <w:vMerge/>
            <w:tcBorders>
              <w:top w:sz="3.200000000000273" w:val="single" w:color="#E0E5EA"/>
              <w:bottom w:sz="2.399999999999636" w:val="single" w:color="#E0E5EA"/>
            </w:tcBorders>
          </w:tcPr>
          <w:p/>
        </w:tc>
        <w:tc>
          <w:tcPr>
            <w:tcW w:type="dxa" w:w="2194"/>
            <w:tcBorders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4" w:after="0"/>
              <w:ind w:left="0" w:right="46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content available</w:t>
            </w:r>
          </w:p>
        </w:tc>
      </w:tr>
      <w:tr>
        <w:trPr>
          <w:trHeight w:hRule="exact" w:val="344"/>
        </w:trPr>
        <w:tc>
          <w:tcPr>
            <w:tcW w:type="dxa" w:w="270"/>
            <w:tcBorders>
              <w:top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2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7000" cy="127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" cy="12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50"/>
            <w:gridSpan w:val="2"/>
            <w:tcBorders>
              <w:top w:sz="2.399999999999636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58" w:after="0"/>
              <w:ind w:left="5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Strategic Implication</w:t>
            </w:r>
          </w:p>
        </w:tc>
        <w:tc>
          <w:tcPr>
            <w:tcW w:type="dxa" w:w="4040"/>
            <w:tcBorders>
              <w:top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194"/>
            <w:tcBorders>
              <w:top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74" w:lineRule="auto" w:before="42" w:after="0"/>
        <w:ind w:left="174" w:right="432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Organizations in Tier 3-4 markets focus on foundational AI capabilities. Tier 1-2 markets — where enterprises have significant AI budgets and are actively seeking implementation support — represent the highest-value </w:t>
      </w:r>
      <w:r>
        <w:rPr>
          <w:rFonts w:ascii="" w:hAnsi="" w:eastAsia=""/>
          <w:b w:val="0"/>
          <w:i w:val="0"/>
          <w:color w:val="67727E"/>
          <w:sz w:val="10"/>
        </w:rPr>
        <w:t>opportunities but require more advanced capabilities to serve effectively.</w:t>
      </w:r>
    </w:p>
    <w:p>
      <w:pPr>
        <w:autoSpaceDN w:val="0"/>
        <w:autoSpaceDE w:val="0"/>
        <w:widowControl/>
        <w:spacing w:line="240" w:lineRule="auto" w:before="250" w:after="0"/>
        <w:ind w:left="15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27000" cy="127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" w:hAnsi="" w:eastAsia=""/>
          <w:b w:val="0"/>
          <w:i w:val="0"/>
          <w:color w:val="1C262F"/>
          <w:sz w:val="13"/>
        </w:rPr>
        <w:t>Methodology</w:t>
      </w:r>
    </w:p>
    <w:p>
      <w:pPr>
        <w:autoSpaceDN w:val="0"/>
        <w:autoSpaceDE w:val="0"/>
        <w:widowControl/>
        <w:spacing w:line="204" w:lineRule="auto" w:before="154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This methodology describes how the maturity tier framework was created. It establishes standardized criteria for classifying markets into tiers, enabling consistent comparison of market readiness and AI adoption maturity.</w:t>
      </w:r>
    </w:p>
    <w:p>
      <w:pPr>
        <w:autoSpaceDN w:val="0"/>
        <w:autoSpaceDE w:val="0"/>
        <w:widowControl/>
        <w:spacing w:line="204" w:lineRule="auto" w:before="172" w:after="162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Four-Factor Assessment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74"/>
        <w:gridCol w:w="3674"/>
        <w:gridCol w:w="3674"/>
      </w:tblGrid>
      <w:tr>
        <w:trPr>
          <w:trHeight w:hRule="exact" w:val="276"/>
        </w:trPr>
        <w:tc>
          <w:tcPr>
            <w:tcW w:type="dxa" w:w="1342"/>
            <w:tcBorders>
              <w:bottom w:sz="5.600000000000364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Factor</w:t>
            </w:r>
          </w:p>
        </w:tc>
        <w:tc>
          <w:tcPr>
            <w:tcW w:type="dxa" w:w="4360"/>
            <w:tcBorders>
              <w:bottom w:sz="5.600000000000364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What It Measures</w:t>
            </w:r>
          </w:p>
        </w:tc>
        <w:tc>
          <w:tcPr>
            <w:tcW w:type="dxa" w:w="4954"/>
            <w:tcBorders>
              <w:bottom w:sz="5.600000000000364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8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Data Source</w:t>
            </w:r>
          </w:p>
        </w:tc>
      </w:tr>
      <w:tr>
        <w:trPr>
          <w:trHeight w:hRule="exact" w:val="326"/>
        </w:trPr>
        <w:tc>
          <w:tcPr>
            <w:tcW w:type="dxa" w:w="1342"/>
            <w:tcBorders>
              <w:top w:sz="5.600000000000364" w:val="single" w:color="#1C262F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Enterprise Adoption</w:t>
            </w:r>
          </w:p>
        </w:tc>
        <w:tc>
          <w:tcPr>
            <w:tcW w:type="dxa" w:w="4360"/>
            <w:tcBorders>
              <w:top w:sz="5.600000000000364" w:val="single" w:color="#1C262F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AI usage rates by company size and sector</w:t>
            </w:r>
          </w:p>
        </w:tc>
        <w:tc>
          <w:tcPr>
            <w:tcW w:type="dxa" w:w="4954"/>
            <w:tcBorders>
              <w:top w:sz="5.600000000000364" w:val="single" w:color="#1C262F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8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Eurostat, national statistics, industry surveys</w:t>
            </w:r>
          </w:p>
        </w:tc>
      </w:tr>
      <w:tr>
        <w:trPr>
          <w:trHeight w:hRule="exact" w:val="324"/>
        </w:trPr>
        <w:tc>
          <w:tcPr>
            <w:tcW w:type="dxa" w:w="1342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Investment Intensity</w:t>
            </w:r>
          </w:p>
        </w:tc>
        <w:tc>
          <w:tcPr>
            <w:tcW w:type="dxa" w:w="4360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Private AI investment, venture capital, R&amp;D spending</w:t>
            </w:r>
          </w:p>
        </w:tc>
        <w:tc>
          <w:tcPr>
            <w:tcW w:type="dxa" w:w="4954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8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Stanford HAI AI Index, Crunchbase, CB Insights</w:t>
            </w:r>
          </w:p>
        </w:tc>
      </w:tr>
      <w:tr>
        <w:trPr>
          <w:trHeight w:hRule="exact" w:val="324"/>
        </w:trPr>
        <w:tc>
          <w:tcPr>
            <w:tcW w:type="dxa" w:w="1342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Ecosystem Maturity</w:t>
            </w:r>
          </w:p>
        </w:tc>
        <w:tc>
          <w:tcPr>
            <w:tcW w:type="dxa" w:w="4360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AI talent availability, research output, startup density</w:t>
            </w:r>
          </w:p>
        </w:tc>
        <w:tc>
          <w:tcPr>
            <w:tcW w:type="dxa" w:w="4954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8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LinkedIn Economic Graph, academic databases</w:t>
            </w:r>
          </w:p>
        </w:tc>
      </w:tr>
      <w:tr>
        <w:trPr>
          <w:trHeight w:hRule="exact" w:val="324"/>
        </w:trPr>
        <w:tc>
          <w:tcPr>
            <w:tcW w:type="dxa" w:w="1342"/>
            <w:tcBorders>
              <w:top w:sz="3.199999999999818" w:val="single" w:color="#E0E5EA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Policy Environment</w:t>
            </w:r>
          </w:p>
        </w:tc>
        <w:tc>
          <w:tcPr>
            <w:tcW w:type="dxa" w:w="4360"/>
            <w:tcBorders>
              <w:top w:sz="3.199999999999818" w:val="single" w:color="#E0E5EA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Government programs, regulatory frameworks, public investment</w:t>
            </w:r>
          </w:p>
        </w:tc>
        <w:tc>
          <w:tcPr>
            <w:tcW w:type="dxa" w:w="4954"/>
            <w:tcBorders>
              <w:top w:sz="3.199999999999818" w:val="single" w:color="#E0E5EA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8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National AI strategies, Oxford Insights AI Readiness Index</w:t>
            </w:r>
          </w:p>
        </w:tc>
      </w:tr>
    </w:tbl>
    <w:p>
      <w:pPr>
        <w:autoSpaceDN w:val="0"/>
        <w:autoSpaceDE w:val="0"/>
        <w:widowControl/>
        <w:spacing w:line="204" w:lineRule="auto" w:before="160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Weighted Composite Index</w:t>
      </w:r>
    </w:p>
    <w:p>
      <w:pPr>
        <w:autoSpaceDN w:val="0"/>
        <w:autoSpaceDE w:val="0"/>
        <w:widowControl/>
        <w:spacing w:line="204" w:lineRule="auto" w:before="142" w:after="160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Enterprise AI maturity is assessed using a weighted composite index: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837"/>
        <w:gridCol w:w="1837"/>
        <w:gridCol w:w="1837"/>
        <w:gridCol w:w="1837"/>
        <w:gridCol w:w="1837"/>
        <w:gridCol w:w="1837"/>
      </w:tblGrid>
      <w:tr>
        <w:trPr>
          <w:trHeight w:hRule="exact" w:val="276"/>
        </w:trPr>
        <w:tc>
          <w:tcPr>
            <w:tcW w:type="dxa" w:w="1562"/>
            <w:tcBorders>
              <w:bottom w:sz="5.600000000000364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Factor</w:t>
            </w:r>
          </w:p>
        </w:tc>
        <w:tc>
          <w:tcPr>
            <w:tcW w:type="dxa" w:w="840"/>
            <w:tcBorders>
              <w:bottom w:sz="5.600000000000364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0" w:after="0"/>
              <w:ind w:left="0" w:right="18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Weight</w:t>
            </w:r>
          </w:p>
        </w:tc>
        <w:tc>
          <w:tcPr>
            <w:tcW w:type="dxa" w:w="3740"/>
            <w:gridSpan w:val="3"/>
            <w:tcBorders>
              <w:bottom w:sz="5.600000000000364" w:val="single" w:color="#1C262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2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Data Source</w:t>
            </w:r>
          </w:p>
        </w:tc>
        <w:tc>
          <w:tcPr>
            <w:tcW w:type="dxa" w:w="4514"/>
            <w:tcBorders>
              <w:bottom w:sz="5.600000000000364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5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Rationale</w:t>
            </w:r>
          </w:p>
        </w:tc>
      </w:tr>
      <w:tr>
        <w:trPr>
          <w:trHeight w:hRule="exact" w:val="328"/>
        </w:trPr>
        <w:tc>
          <w:tcPr>
            <w:tcW w:type="dxa" w:w="1562"/>
            <w:tcBorders>
              <w:top w:sz="5.600000000000364" w:val="single" w:color="#1C262F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Enterprise AI Usage</w:t>
            </w:r>
          </w:p>
        </w:tc>
        <w:tc>
          <w:tcPr>
            <w:tcW w:type="dxa" w:w="840"/>
            <w:tcBorders>
              <w:top w:sz="5.600000000000364" w:val="single" w:color="#1C262F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50%</w:t>
            </w:r>
          </w:p>
        </w:tc>
        <w:tc>
          <w:tcPr>
            <w:tcW w:type="dxa" w:w="2138"/>
            <w:gridSpan w:val="2"/>
            <w:tcBorders>
              <w:top w:sz="5.600000000000364" w:val="single" w:color="#1C262F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2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Eurostat (EU), national statistical offices</w:t>
            </w:r>
          </w:p>
        </w:tc>
        <w:tc>
          <w:tcPr>
            <w:tcW w:type="dxa" w:w="1602"/>
            <w:tcBorders>
              <w:top w:sz="5.600000000000364" w:val="single" w:color="#1C262F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4" w:after="0"/>
              <w:ind w:left="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[375] [10] [11] [12] [13] [14]</w:t>
            </w:r>
          </w:p>
        </w:tc>
        <w:tc>
          <w:tcPr>
            <w:tcW w:type="dxa" w:w="4514"/>
            <w:tcBorders>
              <w:top w:sz="5.600000000000364" w:val="single" w:color="#1C262F"/>
              <w:bottom w:sz="2.39999999999963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5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Direct measure of firm-level adoption</w:t>
            </w:r>
          </w:p>
        </w:tc>
      </w:tr>
      <w:tr>
        <w:trPr>
          <w:trHeight w:hRule="exact" w:val="322"/>
        </w:trPr>
        <w:tc>
          <w:tcPr>
            <w:tcW w:type="dxa" w:w="1562"/>
            <w:tcBorders>
              <w:top w:sz="2.399999999999636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Private AI Investment</w:t>
            </w:r>
          </w:p>
        </w:tc>
        <w:tc>
          <w:tcPr>
            <w:tcW w:type="dxa" w:w="840"/>
            <w:tcBorders>
              <w:top w:sz="2.399999999999636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30%</w:t>
            </w:r>
          </w:p>
        </w:tc>
        <w:tc>
          <w:tcPr>
            <w:tcW w:type="dxa" w:w="1500"/>
            <w:tcBorders>
              <w:top w:sz="2.399999999999636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2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Stanford HAI AI Index 2025</w:t>
            </w:r>
          </w:p>
        </w:tc>
        <w:tc>
          <w:tcPr>
            <w:tcW w:type="dxa" w:w="2240"/>
            <w:gridSpan w:val="2"/>
            <w:tcBorders>
              <w:top w:sz="2.399999999999636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6" w:after="0"/>
              <w:ind w:left="22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[17]</w:t>
            </w:r>
          </w:p>
        </w:tc>
        <w:tc>
          <w:tcPr>
            <w:tcW w:type="dxa" w:w="4514"/>
            <w:tcBorders>
              <w:top w:sz="2.399999999999636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8" w:after="0"/>
              <w:ind w:left="5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Proxy for ecosystem strength and future growth</w:t>
            </w:r>
          </w:p>
        </w:tc>
      </w:tr>
      <w:tr>
        <w:trPr>
          <w:trHeight w:hRule="exact" w:val="324"/>
        </w:trPr>
        <w:tc>
          <w:tcPr>
            <w:tcW w:type="dxa" w:w="1562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Government AI Readiness</w:t>
            </w:r>
          </w:p>
        </w:tc>
        <w:tc>
          <w:tcPr>
            <w:tcW w:type="dxa" w:w="840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20%</w:t>
            </w:r>
          </w:p>
        </w:tc>
        <w:tc>
          <w:tcPr>
            <w:tcW w:type="dxa" w:w="2138"/>
            <w:gridSpan w:val="2"/>
            <w:tcBorders>
              <w:top w:sz="3.199999999999818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2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Oxford Insights AI Readiness Index 2024</w:t>
            </w:r>
          </w:p>
        </w:tc>
        <w:tc>
          <w:tcPr>
            <w:tcW w:type="dxa" w:w="1602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6" w:after="0"/>
              <w:ind w:left="26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[18]</w:t>
            </w:r>
          </w:p>
        </w:tc>
        <w:tc>
          <w:tcPr>
            <w:tcW w:type="dxa" w:w="4514"/>
            <w:tcBorders>
              <w:top w:sz="3.199999999999818" w:val="single" w:color="#E0E5EA"/>
              <w:bottom w:sz="3.199999999999818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5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Digital infrastructure, policy frameworks, public data availability</w:t>
            </w:r>
          </w:p>
        </w:tc>
      </w:tr>
    </w:tbl>
    <w:p>
      <w:pPr>
        <w:autoSpaceDN w:val="0"/>
        <w:autoSpaceDE w:val="0"/>
        <w:widowControl/>
        <w:spacing w:line="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1022"/>
      </w:tblGrid>
      <w:tr>
        <w:trPr>
          <w:trHeight w:hRule="exact" w:val="374"/>
        </w:trPr>
        <w:tc>
          <w:tcPr>
            <w:tcW w:type="dxa" w:w="10656"/>
            <w:tcBorders/>
            <w:shd w:fill="f0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46" w:after="0"/>
              <w:ind w:left="1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Note: Oxford Insights 2024 is the most recent published index (released December 20, 2024). The 2025 framework has been announced but the index has not yet been published.</w:t>
            </w:r>
          </w:p>
        </w:tc>
      </w:tr>
    </w:tbl>
    <w:p>
      <w:pPr>
        <w:autoSpaceDN w:val="0"/>
        <w:autoSpaceDE w:val="0"/>
        <w:widowControl/>
        <w:spacing w:line="204" w:lineRule="auto" w:before="148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Qualitative Validation</w:t>
      </w:r>
    </w:p>
    <w:p>
      <w:pPr>
        <w:autoSpaceDN w:val="0"/>
        <w:autoSpaceDE w:val="0"/>
        <w:widowControl/>
        <w:spacing w:line="204" w:lineRule="auto" w:before="122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Industry surveys and enterprise interviews provide ground-level validation through reported AI adoption patterns, implementation challenges, and value realization metrics.</w:t>
      </w:r>
    </w:p>
    <w:p>
      <w:pPr>
        <w:sectPr>
          <w:pgSz w:w="11918" w:h="16838"/>
          <w:pgMar w:top="284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393700</wp:posOffset>
            </wp:positionH>
            <wp:positionV relativeFrom="page">
              <wp:posOffset>2032000</wp:posOffset>
            </wp:positionV>
            <wp:extent cx="6781800" cy="45720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393700</wp:posOffset>
            </wp:positionH>
            <wp:positionV relativeFrom="page">
              <wp:posOffset>3454400</wp:posOffset>
            </wp:positionV>
            <wp:extent cx="6781800" cy="15621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15621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6" w:lineRule="auto" w:before="32" w:after="60"/>
        <w:ind w:left="174" w:right="0" w:firstLine="0"/>
        <w:jc w:val="left"/>
      </w:pPr>
      <w:r>
        <w:rPr>
          <w:w w:val="103.24439562624231"/>
          <w:rFonts w:ascii="" w:hAnsi="" w:eastAsia=""/>
          <w:b w:val="0"/>
          <w:i w:val="0"/>
          <w:color w:val="1C262F"/>
          <w:sz w:val="11"/>
        </w:rPr>
        <w:t>Data Sources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6.00000000000001" w:type="dxa"/>
      </w:tblPr>
      <w:tblGrid>
        <w:gridCol w:w="1575"/>
        <w:gridCol w:w="1575"/>
        <w:gridCol w:w="1575"/>
        <w:gridCol w:w="1575"/>
        <w:gridCol w:w="1575"/>
        <w:gridCol w:w="1575"/>
        <w:gridCol w:w="1575"/>
      </w:tblGrid>
      <w:tr>
        <w:trPr>
          <w:trHeight w:hRule="exact" w:val="272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8C539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Firm usage: Eurostat enterprise AI survey (December 2025 release)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0" w:right="0" w:firstLine="0"/>
              <w:jc w:val="center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[375]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, UK Office for National Statistics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60" w:after="0"/>
              <w:ind w:left="0" w:right="0" w:firstLine="0"/>
              <w:jc w:val="center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 xml:space="preserve">[12] 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, US Census Bureau Business Trends and Outlook Survey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60" w:after="0"/>
              <w:ind w:left="0" w:right="0" w:firstLine="0"/>
              <w:jc w:val="center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 xml:space="preserve">[13] 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, Statistics Canada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60" w:after="0"/>
              <w:ind w:left="0" w:right="0" w:firstLine="0"/>
              <w:jc w:val="center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 xml:space="preserve">[14] 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, Singapore IMDA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26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[15] [16]</w:t>
            </w:r>
          </w:p>
        </w:tc>
      </w:tr>
    </w:tbl>
    <w:p>
      <w:pPr>
        <w:autoSpaceDN w:val="0"/>
        <w:autoSpaceDE w:val="0"/>
        <w:widowControl/>
        <w:spacing w:line="245" w:lineRule="auto" w:before="72" w:after="50"/>
        <w:ind w:left="174" w:right="0" w:firstLine="0"/>
        <w:jc w:val="left"/>
      </w:pPr>
      <w:r>
        <w:rPr>
          <w:rFonts w:ascii="" w:hAnsi="" w:eastAsia=""/>
          <w:b w:val="0"/>
          <w:i w:val="0"/>
          <w:color w:val="1F9FDF"/>
          <w:sz w:val="10"/>
        </w:rPr>
        <w:t>•</w:t>
      </w:r>
      <w:r>
        <w:rPr>
          <w:rFonts w:ascii="" w:hAnsi="" w:eastAsia=""/>
          <w:b w:val="0"/>
          <w:i w:val="0"/>
          <w:color w:val="67727E"/>
          <w:sz w:val="10"/>
        </w:rPr>
        <w:t>Enterprise surveys: Industry research providing qualitative validation of enterprise AI adoption patterns, implementation sophistication, and market readiness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74"/>
        <w:gridCol w:w="3674"/>
        <w:gridCol w:w="3674"/>
      </w:tblGrid>
      <w:tr>
        <w:trPr>
          <w:trHeight w:hRule="exact" w:val="230"/>
        </w:trPr>
        <w:tc>
          <w:tcPr>
            <w:tcW w:type="dxa" w:w="38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F9B71F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Investment: Stanford HAI AI Index 2025 country-level private investment data</w:t>
            </w:r>
          </w:p>
        </w:tc>
        <w:tc>
          <w:tcPr>
            <w:tcW w:type="dxa" w:w="683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8" w:after="0"/>
              <w:ind w:left="12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[17]</w:t>
            </w:r>
          </w:p>
        </w:tc>
      </w:tr>
      <w:tr>
        <w:trPr>
          <w:trHeight w:hRule="exact" w:val="366"/>
        </w:trPr>
        <w:tc>
          <w:tcPr>
            <w:tcW w:type="dxa" w:w="32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E85B30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Readiness: Oxford Insights Government AI Readiness Index 2024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4" w:after="0"/>
              <w:ind w:left="26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[18]</w:t>
            </w:r>
          </w:p>
        </w:tc>
        <w:tc>
          <w:tcPr>
            <w:tcW w:type="dxa" w:w="367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1022"/>
      </w:tblGrid>
      <w:tr>
        <w:trPr>
          <w:trHeight w:hRule="exact" w:val="322"/>
        </w:trPr>
        <w:tc>
          <w:tcPr>
            <w:tcW w:type="dxa" w:w="10656"/>
            <w:tcBorders/>
            <w:shd w:fill="f0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46" w:after="0"/>
              <w:ind w:left="114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Data Limitations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11022"/>
      </w:tblGrid>
      <w:tr>
        <w:trPr>
          <w:trHeight w:hRule="exact" w:val="240"/>
        </w:trPr>
        <w:tc>
          <w:tcPr>
            <w:tcW w:type="dxa" w:w="8960"/>
            <w:tcBorders/>
            <w:shd w:fill="f0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F9FDF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Markets without official enterprise AI statistics are classified as "estimated" and scored using investment (60%) and readiness (40%) data only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11022"/>
      </w:tblGrid>
      <w:tr>
        <w:trPr>
          <w:trHeight w:hRule="exact" w:val="240"/>
        </w:trPr>
        <w:tc>
          <w:tcPr>
            <w:tcW w:type="dxa" w:w="7880"/>
            <w:tcBorders/>
            <w:shd w:fill="f0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9B71F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Survey data reflects enterprise self-reporting, which may overstate actual AI deployment maturity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5511"/>
        <w:gridCol w:w="5511"/>
      </w:tblGrid>
      <w:tr>
        <w:trPr>
          <w:trHeight w:hRule="exact" w:val="1068"/>
        </w:trPr>
        <w:tc>
          <w:tcPr>
            <w:tcW w:type="dxa" w:w="68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E85B30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Eurostat methodology covers enterprises with 10+ employees; micro-enterprises excluded</w:t>
            </w:r>
          </w:p>
          <w:p>
            <w:pPr>
              <w:autoSpaceDN w:val="0"/>
              <w:autoSpaceDE w:val="0"/>
              <w:widowControl/>
              <w:spacing w:line="209" w:lineRule="auto" w:before="536" w:after="0"/>
              <w:ind w:left="21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Explore Individual Market Profiles</w:t>
            </w:r>
          </w:p>
          <w:p>
            <w:pPr>
              <w:autoSpaceDN w:val="0"/>
              <w:autoSpaceDE w:val="0"/>
              <w:widowControl/>
              <w:spacing w:line="204" w:lineRule="auto" w:before="76" w:after="0"/>
              <w:ind w:left="2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Detailed analysis of each market with statistics, insights, and comparative context.</w:t>
            </w:r>
          </w:p>
        </w:tc>
        <w:tc>
          <w:tcPr>
            <w:tcW w:type="dxa" w:w="37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92" w:after="0"/>
              <w:ind w:left="0" w:right="342" w:firstLine="0"/>
              <w:jc w:val="righ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hyperlink r:id="rId36" w:history="1">
                <w:r>
                  <w:rPr>
                    <w:rStyle w:val="Hyperlink"/>
                  </w:rPr>
                  <w:t>View Market Profiles</w:t>
                </w:r>
              </w:hyperlink>
            </w:r>
          </w:p>
        </w:tc>
      </w:tr>
    </w:tbl>
    <w:p>
      <w:pPr>
        <w:autoSpaceDN w:val="0"/>
        <w:autoSpaceDE w:val="0"/>
        <w:widowControl/>
        <w:spacing w:line="206" w:lineRule="auto" w:before="418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1.2 Cross-Market Adoption Patterns</w:t>
      </w:r>
    </w:p>
    <w:p>
      <w:pPr>
        <w:autoSpaceDN w:val="0"/>
        <w:autoSpaceDE w:val="0"/>
        <w:widowControl/>
        <w:spacing w:line="240" w:lineRule="auto" w:before="18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" cy="1143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Methodology: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Analysis of enterprise AI adoption data across global markets spanning Europe, Asia-Pacific, Americas, Middle East, and Africa. Patterns identified through statistical correlation</w:t>
      </w:r>
    </w:p>
    <w:p>
      <w:pPr>
        <w:autoSpaceDN w:val="0"/>
        <w:autoSpaceDE w:val="0"/>
        <w:widowControl/>
        <w:spacing w:line="209" w:lineRule="auto" w:before="42" w:after="0"/>
        <w:ind w:left="432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analysis and market research synthesis from 413 sources.</w:t>
      </w:r>
    </w:p>
    <w:p>
      <w:pPr>
        <w:autoSpaceDN w:val="0"/>
        <w:autoSpaceDE w:val="0"/>
        <w:widowControl/>
        <w:spacing w:line="240" w:lineRule="auto" w:before="142" w:after="0"/>
        <w:ind w:left="15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27000" cy="1143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Objective: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Identify recurring adoption dynamics that transcend individual markets to understand enterprise AI maturity patterns and value realization challenges.</w:t>
      </w:r>
    </w:p>
    <w:p>
      <w:pPr>
        <w:autoSpaceDN w:val="0"/>
        <w:autoSpaceDE w:val="0"/>
        <w:widowControl/>
        <w:spacing w:line="204" w:lineRule="auto" w:before="444" w:after="0"/>
        <w:ind w:left="55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Romania in cross-market context</w:t>
      </w:r>
    </w:p>
    <w:p>
      <w:pPr>
        <w:autoSpaceDN w:val="0"/>
        <w:autoSpaceDE w:val="0"/>
        <w:widowControl/>
        <w:spacing w:line="204" w:lineRule="auto" w:before="152" w:after="0"/>
        <w:ind w:left="35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Cross-market patterns above apply to Romania as a </w:t>
      </w:r>
      <w:r>
        <w:rPr>
          <w:rFonts w:ascii="" w:hAnsi="" w:eastAsia=""/>
          <w:b w:val="0"/>
          <w:i w:val="0"/>
          <w:color w:val="1C262F"/>
          <w:sz w:val="10"/>
        </w:rPr>
        <w:t>Tier 2 (Advanced)</w:t>
      </w:r>
      <w:r>
        <w:rPr>
          <w:rFonts w:ascii="" w:hAnsi="" w:eastAsia=""/>
          <w:b w:val="0"/>
          <w:i w:val="0"/>
          <w:color w:val="67727E"/>
          <w:sz w:val="10"/>
        </w:rPr>
        <w:t xml:space="preserve"> market in our framework: strong IT services and technical talent, but</w:t>
      </w:r>
      <w:r>
        <w:rPr>
          <w:rFonts w:ascii="" w:hAnsi="" w:eastAsia=""/>
          <w:b w:val="0"/>
          <w:i w:val="0"/>
          <w:color w:val="1C262F"/>
          <w:sz w:val="10"/>
        </w:rPr>
        <w:t xml:space="preserve"> enterprise AI adoption is the lowest in the EU and concentrated in large</w:t>
      </w:r>
    </w:p>
    <w:p>
      <w:pPr>
        <w:autoSpaceDN w:val="0"/>
        <w:autoSpaceDE w:val="0"/>
        <w:widowControl/>
        <w:spacing w:line="204" w:lineRule="auto" w:before="66" w:after="0"/>
        <w:ind w:left="354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enterprises</w:t>
      </w:r>
      <w:r>
        <w:rPr>
          <w:rFonts w:ascii="" w:hAnsi="" w:eastAsia=""/>
          <w:b w:val="0"/>
          <w:i w:val="0"/>
          <w:color w:val="67727E"/>
          <w:sz w:val="10"/>
        </w:rPr>
        <w:t>. The headline gap looks small because the floor is so low; the size-class divide is actually more pronounced than the EU average.</w:t>
      </w:r>
    </w:p>
    <w:p>
      <w:pPr>
        <w:autoSpaceDN w:val="0"/>
        <w:autoSpaceDE w:val="0"/>
        <w:widowControl/>
        <w:spacing w:line="274" w:lineRule="auto" w:before="118" w:after="0"/>
        <w:ind w:left="49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Eurostat enterprise AI usage: </w:t>
      </w:r>
      <w:r>
        <w:rPr>
          <w:rFonts w:ascii="" w:hAnsi="" w:eastAsia=""/>
          <w:b w:val="0"/>
          <w:i w:val="0"/>
          <w:color w:val="1C262F"/>
          <w:sz w:val="10"/>
        </w:rPr>
        <w:t>5.21%</w:t>
      </w:r>
      <w:r>
        <w:rPr>
          <w:rFonts w:ascii="" w:hAnsi="" w:eastAsia=""/>
          <w:b w:val="0"/>
          <w:i w:val="0"/>
          <w:color w:val="67727E"/>
          <w:sz w:val="10"/>
        </w:rPr>
        <w:t xml:space="preserve"> of Romanian enterprises (2025 data)—lowest in the EU versus the EU average of ~20%; Denmark leads at 42.03% for contrast.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[375]</w:t>
      </w:r>
    </w:p>
    <w:p>
      <w:pPr>
        <w:autoSpaceDN w:val="0"/>
        <w:autoSpaceDE w:val="0"/>
        <w:widowControl/>
        <w:spacing w:line="226" w:lineRule="auto" w:before="112" w:after="0"/>
        <w:ind w:left="49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Size-class breakdown: </w:t>
      </w:r>
      <w:r>
        <w:rPr>
          <w:rFonts w:ascii="" w:hAnsi="" w:eastAsia=""/>
          <w:b w:val="0"/>
          <w:i w:val="0"/>
          <w:color w:val="1C262F"/>
          <w:sz w:val="10"/>
        </w:rPr>
        <w:t>large enterprises 20.75%</w:t>
      </w:r>
      <w:r>
        <w:rPr>
          <w:rFonts w:ascii="" w:hAnsi="" w:eastAsia=""/>
          <w:b w:val="0"/>
          <w:i w:val="0"/>
          <w:color w:val="67727E"/>
          <w:sz w:val="10"/>
        </w:rPr>
        <w:t xml:space="preserve"> vs </w:t>
      </w:r>
      <w:r>
        <w:rPr>
          <w:rFonts w:ascii="" w:hAnsi="" w:eastAsia=""/>
          <w:b w:val="0"/>
          <w:i w:val="0"/>
          <w:color w:val="1C262F"/>
          <w:sz w:val="10"/>
        </w:rPr>
        <w:t>small (10–49) 4.13%</w:t>
      </w:r>
      <w:r>
        <w:rPr>
          <w:rFonts w:ascii="" w:hAnsi="" w:eastAsia=""/>
          <w:b w:val="0"/>
          <w:i w:val="0"/>
          <w:color w:val="67727E"/>
          <w:sz w:val="10"/>
        </w:rPr>
        <w:t xml:space="preserve"> — a </w:t>
      </w:r>
      <w:r>
        <w:rPr>
          <w:rFonts w:ascii="" w:hAnsi="" w:eastAsia=""/>
          <w:b w:val="0"/>
          <w:i w:val="0"/>
          <w:color w:val="1C262F"/>
          <w:sz w:val="10"/>
        </w:rPr>
        <w:t>5.0x ratio</w:t>
      </w:r>
      <w:r>
        <w:rPr>
          <w:rFonts w:ascii="" w:hAnsi="" w:eastAsia=""/>
          <w:b w:val="0"/>
          <w:i w:val="0"/>
          <w:color w:val="67727E"/>
          <w:sz w:val="10"/>
        </w:rPr>
        <w:t>, the most concentrated divide in the Pattern 1 table above (EU average is 3.7x). The 17pp absolute gap understates the</w:t>
      </w:r>
    </w:p>
    <w:p>
      <w:pPr>
        <w:autoSpaceDN w:val="0"/>
        <w:autoSpaceDE w:val="0"/>
        <w:widowControl/>
        <w:spacing w:line="271" w:lineRule="auto" w:before="26" w:after="0"/>
        <w:ind w:left="49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structural distance between large and small Romanian firms.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[375]</w:t>
      </w:r>
    </w:p>
    <w:p>
      <w:pPr>
        <w:autoSpaceDN w:val="0"/>
        <w:autoSpaceDE w:val="0"/>
        <w:widowControl/>
        <w:spacing w:line="274" w:lineRule="auto" w:before="90" w:after="0"/>
        <w:ind w:left="49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Individual use of generative AI tools among citizens was </w:t>
      </w:r>
      <w:r>
        <w:rPr>
          <w:rFonts w:ascii="" w:hAnsi="" w:eastAsia=""/>
          <w:b w:val="0"/>
          <w:i w:val="0"/>
          <w:color w:val="1C262F"/>
          <w:sz w:val="10"/>
        </w:rPr>
        <w:t>17.8%</w:t>
      </w:r>
      <w:r>
        <w:rPr>
          <w:rFonts w:ascii="" w:hAnsi="" w:eastAsia=""/>
          <w:b w:val="0"/>
          <w:i w:val="0"/>
          <w:color w:val="67727E"/>
          <w:sz w:val="10"/>
        </w:rPr>
        <w:t xml:space="preserve"> in 2025—the lowest in the EU, signalling room for literacy and enablement programs.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[517]</w:t>
      </w:r>
    </w:p>
    <w:p>
      <w:pPr>
        <w:autoSpaceDN w:val="0"/>
        <w:autoSpaceDE w:val="0"/>
        <w:widowControl/>
        <w:spacing w:line="204" w:lineRule="auto" w:before="122" w:after="0"/>
        <w:ind w:left="49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Romania sits with Poland (8.4%) and Bulgaria (8.5%) in the lower band of EU adoption; the IT outsourcing sector creates a bridge to scale delivery once enterprise demand accelerates among small and mid-market</w:t>
      </w:r>
    </w:p>
    <w:p>
      <w:pPr>
        <w:autoSpaceDN w:val="0"/>
        <w:autoSpaceDE w:val="0"/>
        <w:widowControl/>
        <w:spacing w:line="254" w:lineRule="auto" w:before="32" w:after="0"/>
        <w:ind w:left="49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firms.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[375]</w:t>
      </w:r>
    </w:p>
    <w:p>
      <w:pPr>
        <w:autoSpaceDN w:val="0"/>
        <w:autoSpaceDE w:val="0"/>
        <w:widowControl/>
        <w:spacing w:line="245" w:lineRule="auto" w:before="176" w:after="0"/>
        <w:ind w:left="35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For event collateral and country-specific talking points, see the full</w:t>
      </w:r>
      <w:r>
        <w:rPr>
          <w:rFonts w:ascii="" w:hAnsi="" w:eastAsia=""/>
          <w:b w:val="0"/>
          <w:i w:val="0"/>
          <w:color w:val="1F9FDF"/>
          <w:sz w:val="10"/>
        </w:rPr>
        <w:t xml:space="preserve"> </w:t>
      </w:r>
      <w:r>
        <w:rPr>
          <w:rFonts w:ascii="" w:hAnsi="" w:eastAsia=""/>
          <w:b w:val="0"/>
          <w:i w:val="0"/>
          <w:color w:val="1F9FDF"/>
          <w:sz w:val="10"/>
        </w:rPr>
        <w:hyperlink r:id="rId36" w:history="1">
          <w:r>
            <w:rPr>
              <w:rStyle w:val="Hyperlink"/>
            </w:rPr>
            <w:t>Romania market profile</w:t>
          </w:r>
        </w:hyperlink>
      </w:r>
      <w:r>
        <w:rPr>
          <w:rFonts w:ascii="" w:hAnsi="" w:eastAsia=""/>
          <w:b w:val="0"/>
          <w:i w:val="0"/>
          <w:color w:val="67727E"/>
          <w:sz w:val="10"/>
        </w:rPr>
        <w:t>.</w:t>
      </w:r>
    </w:p>
    <w:p>
      <w:pPr>
        <w:sectPr>
          <w:pgSz w:w="11918" w:h="16838"/>
          <w:pgMar w:top="284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1066800</wp:posOffset>
            </wp:positionV>
            <wp:extent cx="6553200" cy="2413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241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6.0" w:type="dxa"/>
      </w:tblPr>
      <w:tblGrid>
        <w:gridCol w:w="5511"/>
        <w:gridCol w:w="5511"/>
      </w:tblGrid>
      <w:tr>
        <w:trPr>
          <w:trHeight w:hRule="exact" w:val="466"/>
        </w:trPr>
        <w:tc>
          <w:tcPr>
            <w:tcW w:type="dxa" w:w="360"/>
            <w:tcBorders>
              <w:top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100" cy="1524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32"/>
            <w:tcBorders>
              <w:top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34" w:after="0"/>
              <w:ind w:left="54" w:right="0" w:firstLine="0"/>
              <w:jc w:val="left"/>
            </w:pPr>
            <w:r>
              <w:rPr>
                <w:w w:val="102.71955217633928"/>
                <w:rFonts w:ascii="" w:hAnsi="" w:eastAsia=""/>
                <w:b w:val="0"/>
                <w:i w:val="0"/>
                <w:color w:val="1C262F"/>
                <w:sz w:val="14"/>
              </w:rPr>
              <w:t>Pattern 1: The Size-Class Divide Persists Despite Overall Growth</w:t>
            </w:r>
          </w:p>
        </w:tc>
      </w:tr>
    </w:tbl>
    <w:p>
      <w:pPr>
        <w:autoSpaceDN w:val="0"/>
        <w:autoSpaceDE w:val="0"/>
        <w:widowControl/>
        <w:spacing w:line="204" w:lineRule="auto" w:before="72" w:after="0"/>
        <w:ind w:left="35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Across all markets with available data, AI adoption shows pronounced size-class disparity that has not narrowed despite overall market acceleration.</w:t>
      </w:r>
    </w:p>
    <w:p>
      <w:pPr>
        <w:autoSpaceDN w:val="0"/>
        <w:autoSpaceDE w:val="0"/>
        <w:widowControl/>
        <w:spacing w:line="240" w:lineRule="auto" w:before="190" w:after="170"/>
        <w:ind w:left="33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27000" cy="1143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143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3.07661328535809"/>
          <w:rFonts w:ascii="" w:hAnsi="" w:eastAsia=""/>
          <w:b w:val="0"/>
          <w:i w:val="0"/>
          <w:color w:val="1C262F"/>
          <w:sz w:val="11"/>
        </w:rPr>
        <w:t>Evidence (December 2025)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4.0" w:type="dxa"/>
      </w:tblPr>
      <w:tblGrid>
        <w:gridCol w:w="2204"/>
        <w:gridCol w:w="2204"/>
        <w:gridCol w:w="2204"/>
        <w:gridCol w:w="2204"/>
        <w:gridCol w:w="2204"/>
      </w:tblGrid>
      <w:tr>
        <w:trPr>
          <w:trHeight w:hRule="exact" w:val="310"/>
        </w:trPr>
        <w:tc>
          <w:tcPr>
            <w:tcW w:type="dxa" w:w="4562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0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Note: Gap measured in percentage points (pp).</w:t>
            </w:r>
          </w:p>
        </w:tc>
        <w:tc>
          <w:tcPr>
            <w:tcW w:type="dxa" w:w="2060"/>
            <w:vMerge w:val="restart"/>
            <w:tcBorders>
              <w:bottom w:sz="6.399999999999977" w:val="single" w:color="#1C262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492" w:after="0"/>
              <w:ind w:left="0" w:right="6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Gap</w:t>
            </w:r>
          </w:p>
        </w:tc>
        <w:tc>
          <w:tcPr>
            <w:tcW w:type="dxa" w:w="3674"/>
            <w:vMerge w:val="restart"/>
            <w:tcBorders>
              <w:bottom w:sz="6.399999999999977" w:val="single" w:color="#1C262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82" w:after="0"/>
              <w:ind w:left="6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SME/Small</w:t>
            </w:r>
          </w:p>
        </w:tc>
      </w:tr>
      <w:tr>
        <w:trPr>
          <w:trHeight w:hRule="exact" w:val="388"/>
        </w:trPr>
        <w:tc>
          <w:tcPr>
            <w:tcW w:type="dxa" w:w="1442"/>
            <w:gridSpan w:val="2"/>
            <w:tcBorders>
              <w:bottom w:sz="6.399999999999977" w:val="single" w:color="#1C262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72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Market</w:t>
            </w:r>
          </w:p>
        </w:tc>
        <w:tc>
          <w:tcPr>
            <w:tcW w:type="dxa" w:w="3120"/>
            <w:tcBorders>
              <w:bottom w:sz="6.399999999999977" w:val="single" w:color="#1C262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2" w:after="0"/>
              <w:ind w:left="0" w:right="153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Large Enterprise</w:t>
            </w:r>
          </w:p>
        </w:tc>
        <w:tc>
          <w:tcPr>
            <w:tcW w:type="dxa" w:w="2204"/>
            <w:vMerge/>
            <w:tcBorders>
              <w:bottom w:sz="6.399999999999977" w:val="single" w:color="#1C262F"/>
            </w:tcBorders>
          </w:tcPr>
          <w:p/>
        </w:tc>
        <w:tc>
          <w:tcPr>
            <w:tcW w:type="dxa" w:w="2204"/>
            <w:vMerge/>
            <w:tcBorders>
              <w:bottom w:sz="6.399999999999977" w:val="single" w:color="#1C262F"/>
            </w:tcBorders>
          </w:tcPr>
          <w:p/>
        </w:tc>
      </w:tr>
      <w:tr>
        <w:trPr>
          <w:trHeight w:hRule="exact" w:val="328"/>
        </w:trPr>
        <w:tc>
          <w:tcPr>
            <w:tcW w:type="dxa" w:w="1442"/>
            <w:gridSpan w:val="2"/>
            <w:tcBorders>
              <w:top w:sz="6.399999999999977" w:val="single" w:color="#1C262F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EU Average</w:t>
            </w:r>
          </w:p>
        </w:tc>
        <w:tc>
          <w:tcPr>
            <w:tcW w:type="dxa" w:w="3120"/>
            <w:tcBorders>
              <w:top w:sz="6.399999999999977" w:val="single" w:color="#1C262F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0" w:right="123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41% (250+ employees)</w:t>
            </w:r>
          </w:p>
        </w:tc>
        <w:tc>
          <w:tcPr>
            <w:tcW w:type="dxa" w:w="2060"/>
            <w:tcBorders>
              <w:top w:sz="6.399999999999977" w:val="single" w:color="#1C262F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0" w:right="63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F9B71F"/>
                <w:sz w:val="10"/>
              </w:rPr>
              <w:t>30pp</w:t>
            </w:r>
          </w:p>
        </w:tc>
        <w:tc>
          <w:tcPr>
            <w:tcW w:type="dxa" w:w="3674"/>
            <w:tcBorders>
              <w:top w:sz="6.399999999999977" w:val="single" w:color="#1C262F"/>
              <w:bottom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6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11% (10-49 employees)</w:t>
            </w:r>
          </w:p>
        </w:tc>
      </w:tr>
      <w:tr>
        <w:trPr>
          <w:trHeight w:hRule="exact" w:val="262"/>
        </w:trPr>
        <w:tc>
          <w:tcPr>
            <w:tcW w:type="dxa" w:w="450"/>
            <w:tcBorders>
              <w:top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Denmark</w:t>
            </w:r>
          </w:p>
        </w:tc>
        <w:tc>
          <w:tcPr>
            <w:tcW w:type="dxa" w:w="992"/>
            <w:tcBorders>
              <w:top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4" w:after="0"/>
              <w:ind w:left="6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[375]</w:t>
            </w:r>
          </w:p>
        </w:tc>
        <w:tc>
          <w:tcPr>
            <w:tcW w:type="dxa" w:w="3120"/>
            <w:tcBorders>
              <w:top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0" w:right="113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74.5% (250+ employees)</w:t>
            </w:r>
          </w:p>
        </w:tc>
        <w:tc>
          <w:tcPr>
            <w:tcW w:type="dxa" w:w="2060"/>
            <w:tcBorders>
              <w:top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0" w:right="646" w:firstLine="0"/>
              <w:jc w:val="right"/>
            </w:pPr>
            <w:r>
              <w:rPr>
                <w:rFonts w:ascii="" w:hAnsi="" w:eastAsia=""/>
                <w:b w:val="0"/>
                <w:i w:val="0"/>
                <w:color w:val="F9B71F"/>
                <w:sz w:val="10"/>
              </w:rPr>
              <w:t>37pp</w:t>
            </w:r>
          </w:p>
        </w:tc>
        <w:tc>
          <w:tcPr>
            <w:tcW w:type="dxa" w:w="3674"/>
            <w:tcBorders>
              <w:top w:sz="2.400000000000091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8" w:after="0"/>
              <w:ind w:left="6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37.5% (10-49 employees)</w:t>
            </w:r>
          </w:p>
        </w:tc>
      </w:tr>
    </w:tbl>
    <w:p>
      <w:pPr>
        <w:autoSpaceDN w:val="0"/>
        <w:autoSpaceDE w:val="0"/>
        <w:widowControl/>
        <w:spacing w:line="240" w:lineRule="auto" w:before="4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553200" cy="254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726" w:val="left"/>
          <w:tab w:pos="2580" w:val="left"/>
          <w:tab w:pos="6090" w:val="left"/>
          <w:tab w:pos="7614" w:val="left"/>
        </w:tabs>
        <w:autoSpaceDE w:val="0"/>
        <w:widowControl/>
        <w:spacing w:line="274" w:lineRule="auto" w:before="68" w:after="40"/>
        <w:ind w:left="360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 xml:space="preserve">Finland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 xml:space="preserve">[81] </w:t>
      </w:r>
      <w:r>
        <w:rPr>
          <w:rFonts w:ascii="" w:hAnsi="" w:eastAsia=""/>
          <w:b w:val="0"/>
          <w:i w:val="0"/>
          <w:color w:val="67727E"/>
          <w:sz w:val="10"/>
        </w:rPr>
        <w:t xml:space="preserve">70% </w:t>
      </w:r>
      <w:r>
        <w:tab/>
      </w:r>
      <w:r>
        <w:rPr>
          <w:rFonts w:ascii="" w:hAnsi="" w:eastAsia=""/>
          <w:b w:val="0"/>
          <w:i w:val="0"/>
          <w:color w:val="F9B71F"/>
          <w:sz w:val="10"/>
        </w:rPr>
        <w:t xml:space="preserve">50-55pp </w:t>
      </w:r>
      <w:r>
        <w:tab/>
      </w:r>
      <w:r>
        <w:rPr>
          <w:rFonts w:ascii="" w:hAnsi="" w:eastAsia=""/>
          <w:b w:val="0"/>
          <w:i w:val="0"/>
          <w:color w:val="67727E"/>
          <w:sz w:val="10"/>
        </w:rPr>
        <w:t>~15-20% (estimated)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575"/>
        <w:gridCol w:w="1575"/>
        <w:gridCol w:w="1575"/>
        <w:gridCol w:w="1575"/>
        <w:gridCol w:w="1575"/>
        <w:gridCol w:w="1575"/>
        <w:gridCol w:w="1575"/>
      </w:tblGrid>
      <w:tr>
        <w:trPr>
          <w:trHeight w:hRule="exact" w:val="98"/>
        </w:trPr>
        <w:tc>
          <w:tcPr>
            <w:tcW w:type="dxa" w:w="10694"/>
            <w:gridSpan w:val="7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53200" cy="254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0" cy="25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83"/>
        </w:trPr>
        <w:tc>
          <w:tcPr>
            <w:tcW w:type="dxa" w:w="80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6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Netherlands</w:t>
            </w:r>
          </w:p>
        </w:tc>
        <w:tc>
          <w:tcPr>
            <w:tcW w:type="dxa" w:w="902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2" w:after="0"/>
              <w:ind w:left="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[39]</w:t>
            </w:r>
          </w:p>
        </w:tc>
        <w:tc>
          <w:tcPr>
            <w:tcW w:type="dxa" w:w="3058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4" w:after="0"/>
              <w:ind w:left="72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67.6% (100+ employees)</w:t>
            </w:r>
          </w:p>
        </w:tc>
        <w:tc>
          <w:tcPr>
            <w:tcW w:type="dxa" w:w="142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F9B71F"/>
                <w:sz w:val="10"/>
              </w:rPr>
              <w:t>50pp</w:t>
            </w:r>
          </w:p>
        </w:tc>
        <w:tc>
          <w:tcPr>
            <w:tcW w:type="dxa" w:w="451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4" w:after="0"/>
              <w:ind w:left="0" w:right="206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17.8% (10-19 employees)</w:t>
            </w:r>
          </w:p>
        </w:tc>
      </w:tr>
      <w:tr>
        <w:trPr>
          <w:trHeight w:hRule="exact" w:val="317"/>
        </w:trPr>
        <w:tc>
          <w:tcPr>
            <w:tcW w:type="dxa" w:w="80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Slovenia</w:t>
            </w:r>
          </w:p>
        </w:tc>
        <w:tc>
          <w:tcPr>
            <w:tcW w:type="dxa" w:w="3960"/>
            <w:gridSpan w:val="3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4" w:after="0"/>
              <w:ind w:left="0" w:right="211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72%</w:t>
            </w:r>
          </w:p>
        </w:tc>
        <w:tc>
          <w:tcPr>
            <w:tcW w:type="dxa" w:w="142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4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F9B71F"/>
                <w:sz w:val="10"/>
              </w:rPr>
              <w:t>54pp</w:t>
            </w:r>
          </w:p>
        </w:tc>
        <w:tc>
          <w:tcPr>
            <w:tcW w:type="dxa" w:w="451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4" w:after="0"/>
              <w:ind w:left="0" w:right="303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18%</w:t>
            </w:r>
          </w:p>
        </w:tc>
      </w:tr>
      <w:tr>
        <w:trPr>
          <w:trHeight w:hRule="exact" w:val="320"/>
        </w:trPr>
        <w:tc>
          <w:tcPr>
            <w:tcW w:type="dxa" w:w="65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0" w:after="0"/>
              <w:ind w:left="0" w:right="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Germany</w:t>
            </w:r>
          </w:p>
        </w:tc>
        <w:tc>
          <w:tcPr>
            <w:tcW w:type="dxa" w:w="976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98" w:after="0"/>
              <w:ind w:left="6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[68]</w:t>
            </w:r>
          </w:p>
        </w:tc>
        <w:tc>
          <w:tcPr>
            <w:tcW w:type="dxa" w:w="3134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2" w:after="0"/>
              <w:ind w:left="0" w:right="210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48%</w:t>
            </w:r>
          </w:p>
        </w:tc>
        <w:tc>
          <w:tcPr>
            <w:tcW w:type="dxa" w:w="142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32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F9B71F"/>
                <w:sz w:val="10"/>
              </w:rPr>
              <w:t>33pp</w:t>
            </w:r>
          </w:p>
        </w:tc>
        <w:tc>
          <w:tcPr>
            <w:tcW w:type="dxa" w:w="451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32" w:after="0"/>
              <w:ind w:left="0" w:right="240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~15% (estimated)</w:t>
            </w:r>
          </w:p>
        </w:tc>
      </w:tr>
      <w:tr>
        <w:trPr>
          <w:trHeight w:hRule="exact" w:val="278"/>
        </w:trPr>
        <w:tc>
          <w:tcPr>
            <w:tcW w:type="dxa" w:w="80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Austria</w:t>
            </w:r>
          </w:p>
        </w:tc>
        <w:tc>
          <w:tcPr>
            <w:tcW w:type="dxa" w:w="3960"/>
            <w:gridSpan w:val="3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6" w:after="0"/>
              <w:ind w:left="0" w:right="2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50%</w:t>
            </w:r>
          </w:p>
        </w:tc>
        <w:tc>
          <w:tcPr>
            <w:tcW w:type="dxa" w:w="142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36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F9B71F"/>
                <w:sz w:val="10"/>
              </w:rPr>
              <w:t>32pp</w:t>
            </w:r>
          </w:p>
        </w:tc>
        <w:tc>
          <w:tcPr>
            <w:tcW w:type="dxa" w:w="451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6" w:after="0"/>
              <w:ind w:left="0" w:right="303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18%</w:t>
            </w:r>
          </w:p>
        </w:tc>
      </w:tr>
    </w:tbl>
    <w:p>
      <w:pPr>
        <w:autoSpaceDN w:val="0"/>
        <w:autoSpaceDE w:val="0"/>
        <w:widowControl/>
        <w:spacing w:line="240" w:lineRule="auto" w:before="4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553200" cy="254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864" w:val="left"/>
          <w:tab w:pos="2580" w:val="left"/>
          <w:tab w:pos="6090" w:val="left"/>
          <w:tab w:pos="7614" w:val="left"/>
        </w:tabs>
        <w:autoSpaceDE w:val="0"/>
        <w:widowControl/>
        <w:spacing w:line="274" w:lineRule="auto" w:before="66" w:after="38"/>
        <w:ind w:left="360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 xml:space="preserve">Singapore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 xml:space="preserve">[15] </w:t>
      </w:r>
      <w:r>
        <w:rPr>
          <w:rFonts w:ascii="" w:hAnsi="" w:eastAsia=""/>
          <w:b w:val="0"/>
          <w:i w:val="0"/>
          <w:color w:val="67727E"/>
          <w:sz w:val="10"/>
        </w:rPr>
        <w:t xml:space="preserve">62.5% (non-SME) </w:t>
      </w:r>
      <w:r>
        <w:tab/>
      </w:r>
      <w:r>
        <w:rPr>
          <w:rFonts w:ascii="" w:hAnsi="" w:eastAsia=""/>
          <w:b w:val="0"/>
          <w:i w:val="0"/>
          <w:color w:val="F9B71F"/>
          <w:sz w:val="10"/>
        </w:rPr>
        <w:t xml:space="preserve">48pp </w:t>
      </w:r>
      <w:r>
        <w:tab/>
      </w:r>
      <w:r>
        <w:rPr>
          <w:rFonts w:ascii="" w:hAnsi="" w:eastAsia=""/>
          <w:b w:val="0"/>
          <w:i w:val="0"/>
          <w:color w:val="67727E"/>
          <w:sz w:val="10"/>
        </w:rPr>
        <w:t>14.5% (SME)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4.0" w:type="dxa"/>
      </w:tblPr>
      <w:tblGrid>
        <w:gridCol w:w="2204"/>
        <w:gridCol w:w="2204"/>
        <w:gridCol w:w="2204"/>
        <w:gridCol w:w="2204"/>
        <w:gridCol w:w="2204"/>
      </w:tblGrid>
      <w:tr>
        <w:trPr>
          <w:trHeight w:hRule="exact" w:val="102"/>
        </w:trPr>
        <w:tc>
          <w:tcPr>
            <w:tcW w:type="dxa" w:w="1029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40500" cy="254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0500" cy="25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84"/>
        </w:trPr>
        <w:tc>
          <w:tcPr>
            <w:tcW w:type="dxa" w:w="422"/>
            <w:tcBorders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Romania</w:t>
            </w:r>
          </w:p>
        </w:tc>
        <w:tc>
          <w:tcPr>
            <w:tcW w:type="dxa" w:w="1000"/>
            <w:tcBorders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0" w:after="0"/>
              <w:ind w:left="14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[375]</w:t>
            </w:r>
          </w:p>
        </w:tc>
        <w:tc>
          <w:tcPr>
            <w:tcW w:type="dxa" w:w="3180"/>
            <w:tcBorders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2" w:after="0"/>
              <w:ind w:left="0" w:right="111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20.75% (250+ employees)</w:t>
            </w:r>
          </w:p>
        </w:tc>
        <w:tc>
          <w:tcPr>
            <w:tcW w:type="dxa" w:w="2000"/>
            <w:tcBorders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4" w:after="0"/>
              <w:ind w:left="0" w:right="648" w:firstLine="0"/>
              <w:jc w:val="right"/>
            </w:pPr>
            <w:r>
              <w:rPr>
                <w:w w:val="98.02158374259744"/>
                <w:rFonts w:ascii="" w:hAnsi="" w:eastAsia=""/>
                <w:b w:val="0"/>
                <w:i w:val="0"/>
                <w:color w:val="F9B71F"/>
                <w:sz w:val="10"/>
              </w:rPr>
              <w:t>17pp</w:t>
            </w:r>
          </w:p>
        </w:tc>
        <w:tc>
          <w:tcPr>
            <w:tcW w:type="dxa" w:w="3694"/>
            <w:tcBorders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2" w:after="0"/>
              <w:ind w:left="6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4.13% (10-49 employees)</w:t>
            </w:r>
          </w:p>
        </w:tc>
      </w:tr>
    </w:tbl>
    <w:p>
      <w:pPr>
        <w:autoSpaceDN w:val="0"/>
        <w:autoSpaceDE w:val="0"/>
        <w:widowControl/>
        <w:spacing w:line="1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848"/>
        <w:gridCol w:w="848"/>
        <w:gridCol w:w="848"/>
        <w:gridCol w:w="848"/>
        <w:gridCol w:w="848"/>
      </w:tblGrid>
      <w:tr>
        <w:trPr>
          <w:trHeight w:hRule="exact" w:val="268"/>
        </w:trPr>
        <w:tc>
          <w:tcPr>
            <w:tcW w:type="dxa" w:w="10580"/>
            <w:gridSpan w:val="1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1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Adoption Gap Visualization (sorted by gap magnitude)</w:t>
            </w:r>
          </w:p>
        </w:tc>
      </w:tr>
      <w:tr>
        <w:trPr>
          <w:trHeight w:hRule="exact" w:val="1220"/>
        </w:trPr>
        <w:tc>
          <w:tcPr>
            <w:tcW w:type="dxa" w:w="5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2" w:after="0"/>
              <w:ind w:left="0" w:right="4" w:firstLine="0"/>
              <w:jc w:val="right"/>
            </w:pPr>
            <w:r>
              <w:rPr>
                <w:w w:val="103.63117456436157"/>
                <w:rFonts w:ascii="" w:hAnsi="" w:eastAsia=""/>
                <w:b w:val="0"/>
                <w:i w:val="0"/>
                <w:color w:val="67727E"/>
                <w:sz w:val="8"/>
              </w:rPr>
              <w:t>80%</w:t>
            </w:r>
          </w:p>
          <w:p>
            <w:pPr>
              <w:autoSpaceDN w:val="0"/>
              <w:autoSpaceDE w:val="0"/>
              <w:widowControl/>
              <w:spacing w:line="204" w:lineRule="auto" w:before="172" w:after="0"/>
              <w:ind w:left="0" w:right="4" w:firstLine="0"/>
              <w:jc w:val="right"/>
            </w:pPr>
            <w:r>
              <w:rPr>
                <w:w w:val="103.63117456436157"/>
                <w:rFonts w:ascii="" w:hAnsi="" w:eastAsia=""/>
                <w:b w:val="0"/>
                <w:i w:val="0"/>
                <w:color w:val="67727E"/>
                <w:sz w:val="8"/>
              </w:rPr>
              <w:t>60%</w:t>
            </w:r>
          </w:p>
          <w:p>
            <w:pPr>
              <w:autoSpaceDN w:val="0"/>
              <w:autoSpaceDE w:val="0"/>
              <w:widowControl/>
              <w:spacing w:line="204" w:lineRule="auto" w:before="174" w:after="0"/>
              <w:ind w:left="0" w:right="4" w:firstLine="0"/>
              <w:jc w:val="right"/>
            </w:pPr>
            <w:r>
              <w:rPr>
                <w:w w:val="103.63117456436157"/>
                <w:rFonts w:ascii="" w:hAnsi="" w:eastAsia=""/>
                <w:b w:val="0"/>
                <w:i w:val="0"/>
                <w:color w:val="67727E"/>
                <w:sz w:val="8"/>
              </w:rPr>
              <w:t>40%</w:t>
            </w:r>
          </w:p>
          <w:p>
            <w:pPr>
              <w:autoSpaceDN w:val="0"/>
              <w:autoSpaceDE w:val="0"/>
              <w:widowControl/>
              <w:spacing w:line="204" w:lineRule="auto" w:before="174" w:after="0"/>
              <w:ind w:left="0" w:right="4" w:firstLine="0"/>
              <w:jc w:val="right"/>
            </w:pPr>
            <w:r>
              <w:rPr>
                <w:w w:val="103.63117456436157"/>
                <w:rFonts w:ascii="" w:hAnsi="" w:eastAsia=""/>
                <w:b w:val="0"/>
                <w:i w:val="0"/>
                <w:color w:val="67727E"/>
                <w:sz w:val="8"/>
              </w:rPr>
              <w:t>20%</w:t>
            </w:r>
          </w:p>
          <w:p>
            <w:pPr>
              <w:autoSpaceDN w:val="0"/>
              <w:autoSpaceDE w:val="0"/>
              <w:widowControl/>
              <w:spacing w:line="209" w:lineRule="auto" w:before="154" w:after="0"/>
              <w:ind w:left="0" w:right="4" w:firstLine="0"/>
              <w:jc w:val="right"/>
            </w:pPr>
            <w:r>
              <w:rPr>
                <w:w w:val="103.63117456436157"/>
                <w:rFonts w:ascii="" w:hAnsi="" w:eastAsia=""/>
                <w:b w:val="0"/>
                <w:i w:val="0"/>
                <w:color w:val="67727E"/>
                <w:sz w:val="8"/>
              </w:rPr>
              <w:t>0%</w:t>
            </w:r>
          </w:p>
        </w:tc>
        <w:tc>
          <w:tcPr>
            <w:tcW w:type="dxa" w:w="10020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4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159500" cy="6604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9500" cy="66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80"/>
        </w:trPr>
        <w:tc>
          <w:tcPr>
            <w:tcW w:type="dxa" w:w="612"/>
            <w:gridSpan w:val="3"/>
            <w:tcBorders>
              <w:end w:sz="2.7641899585723877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0" w:after="0"/>
              <w:ind w:left="0" w:right="0" w:firstLine="0"/>
              <w:jc w:val="right"/>
            </w:pPr>
            <w:r>
              <w:rPr>
                <w:w w:val="95.0027346611023"/>
                <w:rFonts w:ascii="" w:hAnsi="" w:eastAsia=""/>
                <w:b w:val="0"/>
                <w:i w:val="0"/>
                <w:color w:val="67727E"/>
                <w:sz w:val="8"/>
              </w:rPr>
              <w:t>Slovenia</w:t>
            </w:r>
          </w:p>
        </w:tc>
        <w:tc>
          <w:tcPr>
            <w:tcW w:type="dxa" w:w="1588"/>
            <w:tcBorders>
              <w:start w:sz="2.7641899585723877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0" w:after="0"/>
              <w:ind w:left="0" w:right="378" w:firstLine="0"/>
              <w:jc w:val="right"/>
            </w:pPr>
            <w:r>
              <w:rPr>
                <w:w w:val="95.0027346611023"/>
                <w:rFonts w:ascii="" w:hAnsi="" w:eastAsia=""/>
                <w:b w:val="0"/>
                <w:i w:val="0"/>
                <w:color w:val="67727E"/>
                <w:sz w:val="8"/>
              </w:rPr>
              <w:t>Finland</w:t>
            </w:r>
          </w:p>
        </w:tc>
        <w:tc>
          <w:tcPr>
            <w:tcW w:type="dxa" w:w="12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0" w:after="0"/>
              <w:ind w:left="0" w:right="0" w:firstLine="0"/>
              <w:jc w:val="center"/>
            </w:pPr>
            <w:r>
              <w:rPr>
                <w:w w:val="95.0027346611023"/>
                <w:rFonts w:ascii="" w:hAnsi="" w:eastAsia=""/>
                <w:b w:val="0"/>
                <w:i w:val="0"/>
                <w:color w:val="67727E"/>
                <w:sz w:val="8"/>
              </w:rPr>
              <w:t>Netherlands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8" w:after="0"/>
              <w:ind w:left="0" w:right="340" w:firstLine="0"/>
              <w:jc w:val="right"/>
            </w:pPr>
            <w:r>
              <w:rPr>
                <w:w w:val="95.0027346611023"/>
                <w:rFonts w:ascii="" w:hAnsi="" w:eastAsia=""/>
                <w:b w:val="0"/>
                <w:i w:val="0"/>
                <w:color w:val="67727E"/>
                <w:sz w:val="8"/>
              </w:rPr>
              <w:t>Singapore</w:t>
            </w:r>
          </w:p>
        </w:tc>
        <w:tc>
          <w:tcPr>
            <w:tcW w:type="dxa" w:w="1312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0" w:after="0"/>
              <w:ind w:left="0" w:right="442" w:firstLine="0"/>
              <w:jc w:val="right"/>
            </w:pPr>
            <w:r>
              <w:rPr>
                <w:w w:val="95.0027346611023"/>
                <w:rFonts w:ascii="" w:hAnsi="" w:eastAsia=""/>
                <w:b w:val="0"/>
                <w:i w:val="0"/>
                <w:color w:val="67727E"/>
                <w:sz w:val="8"/>
              </w:rPr>
              <w:t>Denmark</w:t>
            </w:r>
          </w:p>
        </w:tc>
        <w:tc>
          <w:tcPr>
            <w:tcW w:type="dxa" w:w="122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8" w:after="0"/>
              <w:ind w:left="0" w:right="0" w:firstLine="0"/>
              <w:jc w:val="center"/>
            </w:pPr>
            <w:r>
              <w:rPr>
                <w:w w:val="95.0027346611023"/>
                <w:rFonts w:ascii="" w:hAnsi="" w:eastAsia=""/>
                <w:b w:val="0"/>
                <w:i w:val="0"/>
                <w:color w:val="67727E"/>
                <w:sz w:val="8"/>
              </w:rPr>
              <w:t>Germany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0" w:after="0"/>
              <w:ind w:left="0" w:right="392" w:firstLine="0"/>
              <w:jc w:val="right"/>
            </w:pPr>
            <w:r>
              <w:rPr>
                <w:w w:val="95.0027346611023"/>
                <w:rFonts w:ascii="" w:hAnsi="" w:eastAsia=""/>
                <w:b w:val="0"/>
                <w:i w:val="0"/>
                <w:color w:val="67727E"/>
                <w:sz w:val="8"/>
              </w:rPr>
              <w:t>Austria</w:t>
            </w:r>
          </w:p>
        </w:tc>
        <w:tc>
          <w:tcPr>
            <w:tcW w:type="dxa" w:w="1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8" w:after="0"/>
              <w:ind w:left="0" w:right="0" w:firstLine="0"/>
              <w:jc w:val="center"/>
            </w:pPr>
            <w:r>
              <w:rPr>
                <w:w w:val="95.0027346611023"/>
                <w:rFonts w:ascii="" w:hAnsi="" w:eastAsia=""/>
                <w:b w:val="0"/>
                <w:i w:val="0"/>
                <w:color w:val="67727E"/>
                <w:sz w:val="8"/>
              </w:rPr>
              <w:t>EU Average</w:t>
            </w:r>
          </w:p>
        </w:tc>
        <w:tc>
          <w:tcPr>
            <w:tcW w:type="dxa" w:w="1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0" w:after="0"/>
              <w:ind w:left="0" w:right="294" w:firstLine="0"/>
              <w:jc w:val="right"/>
            </w:pPr>
            <w:r>
              <w:rPr>
                <w:w w:val="95.0027346611023"/>
                <w:rFonts w:ascii="" w:hAnsi="" w:eastAsia=""/>
                <w:b w:val="0"/>
                <w:i w:val="0"/>
                <w:color w:val="67727E"/>
                <w:sz w:val="8"/>
              </w:rPr>
              <w:t>Romania</w:t>
            </w:r>
          </w:p>
        </w:tc>
      </w:tr>
      <w:tr>
        <w:trPr>
          <w:trHeight w:hRule="exact" w:val="680"/>
        </w:trPr>
        <w:tc>
          <w:tcPr>
            <w:tcW w:type="dxa" w:w="458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0" w:right="2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6200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66" w:after="0"/>
              <w:ind w:left="0" w:right="0" w:firstLine="0"/>
              <w:jc w:val="center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Large Enterprise</w:t>
            </w:r>
          </w:p>
        </w:tc>
        <w:tc>
          <w:tcPr>
            <w:tcW w:type="dxa" w:w="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6200" cy="76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6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56" w:after="0"/>
              <w:ind w:left="7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E85B30"/>
                <w:sz w:val="9"/>
              </w:rPr>
              <w:t>SME/Small Business</w:t>
            </w:r>
          </w:p>
        </w:tc>
      </w:tr>
      <w:tr>
        <w:trPr>
          <w:trHeight w:hRule="exact" w:val="580"/>
        </w:trPr>
        <w:tc>
          <w:tcPr>
            <w:tcW w:type="dxa" w:w="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0" w:after="0"/>
              <w:ind w:left="0" w:right="2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7000" cy="1143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80"/>
            <w:gridSpan w:val="1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84" w:after="0"/>
              <w:ind w:left="56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Key Finding</w:t>
            </w:r>
          </w:p>
        </w:tc>
      </w:tr>
    </w:tbl>
    <w:p>
      <w:pPr>
        <w:autoSpaceDN w:val="0"/>
        <w:autoSpaceDE w:val="0"/>
        <w:widowControl/>
        <w:spacing w:line="204" w:lineRule="auto" w:before="70" w:after="0"/>
        <w:ind w:left="35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The size-class gap has widened as large enterprises accelerated adoption faster than SMEs. In several markets, large enterprise adoption exceeds 60% while small business adoption</w:t>
      </w:r>
    </w:p>
    <w:p>
      <w:pPr>
        <w:autoSpaceDN w:val="0"/>
        <w:autoSpaceDE w:val="0"/>
        <w:widowControl/>
        <w:spacing w:line="240" w:lineRule="auto" w:before="296" w:after="0"/>
        <w:ind w:left="33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5400" cy="2794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279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6.0" w:type="dxa"/>
      </w:tblPr>
      <w:tblGrid>
        <w:gridCol w:w="5511"/>
        <w:gridCol w:w="5511"/>
      </w:tblGrid>
      <w:tr>
        <w:trPr>
          <w:trHeight w:hRule="exact" w:val="204"/>
        </w:trPr>
        <w:tc>
          <w:tcPr>
            <w:tcW w:type="dxa" w:w="1042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0" w:after="0"/>
              <w:ind w:left="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remains below 20%.</w:t>
            </w:r>
          </w:p>
        </w:tc>
      </w:tr>
      <w:tr>
        <w:trPr>
          <w:trHeight w:hRule="exact" w:val="600"/>
        </w:trPr>
        <w:tc>
          <w:tcPr>
            <w:tcW w:type="dxa" w:w="1042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92" w:after="0"/>
              <w:ind w:left="92" w:right="144" w:firstLine="6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 xml:space="preserve">Reading the table — absolute gap vs. ratio: the "Gap" column is a percentage-point difference, which mechanically shrinks in low-adoption markets. 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Romania's 17pp gap is the smallest in the table, but its large-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to-small ratio (5.0x) is the highest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 xml:space="preserve"> — large Romanian enterprises adopt AI at five times the rate of small ones, more concentrated than the EU average (3.7x), Singapore (4.3x) or the Nordic markets (~4x). The 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divide is not less severe in Romania; it is hidden by the low floor (small-enterprise adoption of just 4.13%). Read the two columns together when comparing low-base markets to the rest.</w:t>
            </w:r>
          </w:p>
        </w:tc>
      </w:tr>
      <w:tr>
        <w:trPr>
          <w:trHeight w:hRule="exact" w:val="358"/>
        </w:trPr>
        <w:tc>
          <w:tcPr>
            <w:tcW w:type="dxa" w:w="20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" cy="1143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2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64" w:after="0"/>
              <w:ind w:left="56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Strategic Recommendations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6.0" w:type="dxa"/>
      </w:tblPr>
      <w:tblGrid>
        <w:gridCol w:w="11022"/>
      </w:tblGrid>
      <w:tr>
        <w:trPr>
          <w:trHeight w:hRule="exact" w:val="596"/>
        </w:trPr>
        <w:tc>
          <w:tcPr>
            <w:tcW w:type="dxa" w:w="10492"/>
            <w:tcBorders>
              <w:bottom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9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See </w:t>
            </w:r>
            <w:r>
              <w:rPr>
                <w:w w:val="95.87158362070718"/>
                <w:rFonts w:ascii="" w:hAnsi="" w:eastAsia=""/>
                <w:b w:val="0"/>
                <w:i w:val="0"/>
                <w:color w:val="1F9FDF"/>
                <w:sz w:val="12"/>
              </w:rPr>
              <w:t>Demand Pattern 1 (Section 2)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 for detailed recommendations addressing this divide.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278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8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393700</wp:posOffset>
            </wp:positionH>
            <wp:positionV relativeFrom="page">
              <wp:posOffset>355600</wp:posOffset>
            </wp:positionV>
            <wp:extent cx="6781800" cy="99822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9982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6" w:lineRule="auto" w:before="0" w:after="0"/>
        <w:ind w:left="316" w:right="0" w:firstLine="0"/>
        <w:jc w:val="left"/>
      </w:pPr>
      <w:r>
        <w:rPr>
          <w:w w:val="102.71955217633928"/>
          <w:rFonts w:ascii="" w:hAnsi="" w:eastAsia=""/>
          <w:b w:val="0"/>
          <w:i w:val="0"/>
          <w:color w:val="1C262F"/>
          <w:sz w:val="14"/>
        </w:rPr>
        <w:t>Pattern 2: Skills Gap Remains Universal Despite Adoption Growth</w:t>
      </w:r>
    </w:p>
    <w:p>
      <w:pPr>
        <w:autoSpaceDN w:val="0"/>
        <w:autoSpaceDE w:val="0"/>
        <w:widowControl/>
        <w:spacing w:line="204" w:lineRule="auto" w:before="160" w:after="0"/>
        <w:ind w:left="0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Counterintuitively, the skills gap has not narrowed as adoption increased. Markets with 30-40% adoption report skills shortages as severe as markets with 10% adoption.</w:t>
      </w:r>
    </w:p>
    <w:p>
      <w:pPr>
        <w:autoSpaceDN w:val="0"/>
        <w:autoSpaceDE w:val="0"/>
        <w:widowControl/>
        <w:spacing w:line="209" w:lineRule="auto" w:before="226" w:after="0"/>
        <w:ind w:left="258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Evidence Across Tiers</w:t>
      </w:r>
    </w:p>
    <w:p>
      <w:pPr>
        <w:autoSpaceDN w:val="0"/>
        <w:autoSpaceDE w:val="0"/>
        <w:widowControl/>
        <w:spacing w:line="209" w:lineRule="auto" w:before="162" w:after="0"/>
        <w:ind w:left="0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The skills gap persists across all market tiers.</w:t>
      </w:r>
    </w:p>
    <w:p>
      <w:pPr>
        <w:autoSpaceDN w:val="0"/>
        <w:autoSpaceDE w:val="0"/>
        <w:widowControl/>
        <w:spacing w:line="204" w:lineRule="auto" w:before="168" w:after="46"/>
        <w:ind w:left="0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Among Tier 1 leaders: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24"/>
        <w:gridCol w:w="3424"/>
        <w:gridCol w:w="3424"/>
      </w:tblGrid>
      <w:tr>
        <w:trPr>
          <w:trHeight w:hRule="exact" w:val="276"/>
        </w:trPr>
        <w:tc>
          <w:tcPr>
            <w:tcW w:type="dxa" w:w="54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66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68C539"/>
                <w:sz w:val="12"/>
              </w:rPr>
              <w:t>•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Denmark reports 42.03% adoption yet 62% of organizations cite lack of AI skills as a major barrier.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4" w:after="0"/>
              <w:ind w:left="22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[375] [26]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18" w:after="0"/>
              <w:ind w:left="22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[42]</w:t>
            </w:r>
          </w:p>
        </w:tc>
      </w:tr>
      <w:tr>
        <w:trPr>
          <w:trHeight w:hRule="exact" w:val="272"/>
        </w:trPr>
        <w:tc>
          <w:tcPr>
            <w:tcW w:type="dxa" w:w="73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64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68C539"/>
                <w:sz w:val="12"/>
              </w:rPr>
              <w:t>•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The Netherlands sees ~25% adoption (above EU average) but a striking 74.6% identify "lack of experience" as their primary obstacle.</w:t>
            </w:r>
          </w:p>
        </w:tc>
        <w:tc>
          <w:tcPr>
            <w:tcW w:type="dxa" w:w="3424"/>
            <w:vMerge/>
            <w:tcBorders/>
          </w:tcPr>
          <w:p/>
        </w:tc>
      </w:tr>
    </w:tbl>
    <w:p>
      <w:pPr>
        <w:autoSpaceDN w:val="0"/>
        <w:tabs>
          <w:tab w:pos="122" w:val="left"/>
        </w:tabs>
        <w:autoSpaceDE w:val="0"/>
        <w:widowControl/>
        <w:spacing w:line="259" w:lineRule="auto" w:before="64" w:after="0"/>
        <w:ind w:left="0" w:right="144" w:firstLine="0"/>
        <w:jc w:val="left"/>
      </w:pPr>
      <w:r>
        <w:rPr>
          <w:w w:val="95.87158362070718"/>
          <w:rFonts w:ascii="" w:hAnsi="" w:eastAsia=""/>
          <w:b w:val="0"/>
          <w:i w:val="0"/>
          <w:color w:val="68C539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Switzerland shows the same pattern among SMEs: the AXA/Sotomo survey of 300 Swiss SMEs finds 55% have started integrating AI (22% fully, 33% experimenting), but integration </w:t>
      </w:r>
      <w:r>
        <w:tab/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skews heavily by firm size — 52% of firms with 50+ employees view AI positively vs just 27% of firms with 5–9 employees — signalling adoption has outpaced organizational capability.</w:t>
      </w:r>
    </w:p>
    <w:p>
      <w:pPr>
        <w:autoSpaceDN w:val="0"/>
        <w:autoSpaceDE w:val="0"/>
        <w:widowControl/>
        <w:spacing w:line="206" w:lineRule="auto" w:before="36" w:after="0"/>
        <w:ind w:left="136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[380]</w:t>
      </w:r>
    </w:p>
    <w:p>
      <w:pPr>
        <w:autoSpaceDN w:val="0"/>
        <w:autoSpaceDE w:val="0"/>
        <w:widowControl/>
        <w:spacing w:line="204" w:lineRule="auto" w:before="204" w:after="50"/>
        <w:ind w:left="0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In Tier 2: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24"/>
        <w:gridCol w:w="3424"/>
        <w:gridCol w:w="3424"/>
      </w:tblGrid>
      <w:tr>
        <w:trPr>
          <w:trHeight w:hRule="exact" w:val="260"/>
        </w:trPr>
        <w:tc>
          <w:tcPr>
            <w:tcW w:type="dxa" w:w="71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70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F9FDF"/>
                <w:sz w:val="12"/>
              </w:rPr>
              <w:t>•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Germany's 20-27% adoption is constrained by skills scarcity, with 33% of organizations citing limited AI talent as their top barrier.</w:t>
            </w:r>
          </w:p>
        </w:tc>
        <w:tc>
          <w:tcPr>
            <w:tcW w:type="dxa" w:w="1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0" w:after="0"/>
              <w:ind w:left="1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[76]</w:t>
            </w:r>
          </w:p>
        </w:tc>
      </w:tr>
      <w:tr>
        <w:trPr>
          <w:trHeight w:hRule="exact" w:val="292"/>
        </w:trPr>
        <w:tc>
          <w:tcPr>
            <w:tcW w:type="dxa" w:w="51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84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F9FDF"/>
                <w:sz w:val="12"/>
              </w:rPr>
              <w:t>•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South Africa remains early-stage with over 60% identifying the skills gap as their key barrier.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2" w:after="0"/>
              <w:ind w:left="12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[390]</w:t>
            </w:r>
          </w:p>
        </w:tc>
        <w:tc>
          <w:tcPr>
            <w:tcW w:type="dxa" w:w="3424"/>
            <w:vMerge/>
            <w:tcBorders/>
          </w:tcPr>
          <w:p/>
        </w:tc>
      </w:tr>
    </w:tbl>
    <w:p>
      <w:pPr>
        <w:autoSpaceDN w:val="0"/>
        <w:tabs>
          <w:tab w:pos="122" w:val="left"/>
          <w:tab w:pos="5288" w:val="left"/>
        </w:tabs>
        <w:autoSpaceDE w:val="0"/>
        <w:widowControl/>
        <w:spacing w:line="257" w:lineRule="auto" w:before="66" w:after="0"/>
        <w:ind w:left="0" w:right="144" w:firstLine="0"/>
        <w:jc w:val="left"/>
      </w:pPr>
      <w:r>
        <w:rPr>
          <w:w w:val="95.87158362070718"/>
          <w:rFonts w:ascii="" w:hAnsi="" w:eastAsia=""/>
          <w:b w:val="0"/>
          <w:i w:val="0"/>
          <w:color w:val="1F9FDF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Mexico has reached 95% enterprise AI adoption, but organizational culture and operational complexity — not software availability — are cited as the primary obstacles to scaling, and </w:t>
      </w:r>
      <w:r>
        <w:tab/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100% of Mexican CEOs identify AI investment as the principal lever for profitability and growth.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[521] [522]</w:t>
      </w:r>
    </w:p>
    <w:p>
      <w:pPr>
        <w:autoSpaceDN w:val="0"/>
        <w:tabs>
          <w:tab w:pos="122" w:val="left"/>
          <w:tab w:pos="5098" w:val="left"/>
        </w:tabs>
        <w:autoSpaceDE w:val="0"/>
        <w:widowControl/>
        <w:spacing w:line="259" w:lineRule="auto" w:before="116" w:after="0"/>
        <w:ind w:left="0" w:right="144" w:firstLine="0"/>
        <w:jc w:val="left"/>
      </w:pPr>
      <w:r>
        <w:rPr>
          <w:w w:val="95.87158362070718"/>
          <w:rFonts w:ascii="" w:hAnsi="" w:eastAsia=""/>
          <w:b w:val="0"/>
          <w:i w:val="0"/>
          <w:color w:val="1F9FDF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Romania — the EU's lowest-adoption market at 5.2% — shows the same skills-gap pattern from a low base: members report low digital literacy and a conservative client mindset, with </w:t>
      </w:r>
      <w:r>
        <w:tab/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demand concentrated on awareness and foundational topics rather than advanced AI skills.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[375] [150]</w:t>
      </w:r>
    </w:p>
    <w:p>
      <w:pPr>
        <w:autoSpaceDN w:val="0"/>
        <w:autoSpaceDE w:val="0"/>
        <w:widowControl/>
        <w:spacing w:line="204" w:lineRule="auto" w:before="162" w:after="46"/>
        <w:ind w:left="0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Tier 3 markets face similar challenges at earlier stages: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36"/>
        <w:gridCol w:w="5136"/>
      </w:tblGrid>
      <w:tr>
        <w:trPr>
          <w:trHeight w:hRule="exact" w:val="274"/>
        </w:trPr>
        <w:tc>
          <w:tcPr>
            <w:tcW w:type="dxa" w:w="5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66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F9B71F"/>
                <w:sz w:val="12"/>
              </w:rPr>
              <w:t>•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Portugal struggles to scale beyond 13-15% adoption with 71% reporting difficulty hiring digital skills.</w:t>
            </w:r>
          </w:p>
        </w:tc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4" w:after="0"/>
              <w:ind w:left="1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[384]</w:t>
            </w:r>
          </w:p>
        </w:tc>
      </w:tr>
    </w:tbl>
    <w:p>
      <w:pPr>
        <w:autoSpaceDN w:val="0"/>
        <w:autoSpaceDE w:val="0"/>
        <w:widowControl/>
        <w:spacing w:line="204" w:lineRule="auto" w:before="418" w:after="0"/>
        <w:ind w:left="438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Interpretation</w:t>
      </w:r>
    </w:p>
    <w:p>
      <w:pPr>
        <w:autoSpaceDN w:val="0"/>
        <w:autoSpaceDE w:val="0"/>
        <w:widowControl/>
        <w:spacing w:line="293" w:lineRule="auto" w:before="150" w:after="0"/>
        <w:ind w:left="180" w:right="144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The evidence demonstrates that skills gaps persist regardless of market maturity level — high-adoption markets (Denmark at 42.03%, Netherlands at ~25%) report skill shortages at 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comparable severity to early-stage markets (South Africa, Portugal). This pattern suggests the skills gap is structural rather than a temporary lag that resolves with increased 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adoption. As organizations progress through adoption stages, they encounter new skill requirements rather than "catching up."</w:t>
      </w:r>
    </w:p>
    <w:p>
      <w:pPr>
        <w:autoSpaceDN w:val="0"/>
        <w:autoSpaceDE w:val="0"/>
        <w:widowControl/>
        <w:spacing w:line="209" w:lineRule="auto" w:before="474" w:after="0"/>
        <w:ind w:left="258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Strategic Recommendations: Learning Pathway Levels</w:t>
      </w:r>
    </w:p>
    <w:p>
      <w:pPr>
        <w:autoSpaceDN w:val="0"/>
        <w:autoSpaceDE w:val="0"/>
        <w:widowControl/>
        <w:spacing w:line="271" w:lineRule="auto" w:before="150" w:after="0"/>
        <w:ind w:left="0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Develop leveled learning pathways spanning the full organizational-maturity spectrum — from strategic transformation work for AI-native enterprises down to foundational literacy for early 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adopters.</w:t>
      </w:r>
    </w:p>
    <w:p>
      <w:pPr>
        <w:autoSpaceDN w:val="0"/>
        <w:autoSpaceDE w:val="0"/>
        <w:widowControl/>
        <w:spacing w:line="250" w:lineRule="auto" w:before="170" w:after="0"/>
        <w:ind w:left="100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Note: the level numbering aligns with Section 1.1's Market Maturity Tiers — Level 1 is for the most advanced organizations, Level 4 for those just starting. The two systems are still independent: tiers describe whole </w:t>
      </w:r>
      <w:r>
        <w:rPr>
          <w:rFonts w:ascii="" w:hAnsi="" w:eastAsia=""/>
          <w:b w:val="0"/>
          <w:i w:val="0"/>
          <w:color w:val="67727E"/>
          <w:sz w:val="10"/>
        </w:rPr>
        <w:t>markets; levels describe individual organizations' learning needs.</w:t>
      </w:r>
    </w:p>
    <w:p>
      <w:pPr>
        <w:autoSpaceDN w:val="0"/>
        <w:autoSpaceDE w:val="0"/>
        <w:widowControl/>
        <w:spacing w:line="209" w:lineRule="auto" w:before="326" w:after="0"/>
        <w:ind w:left="374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E85B30"/>
          <w:sz w:val="9"/>
        </w:rPr>
        <w:t>LEVEL 1</w:t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 Strategic AI Transformation</w:t>
      </w:r>
    </w:p>
    <w:p>
      <w:pPr>
        <w:autoSpaceDN w:val="0"/>
        <w:tabs>
          <w:tab w:pos="244" w:val="left"/>
        </w:tabs>
        <w:autoSpaceDE w:val="0"/>
        <w:widowControl/>
        <w:spacing w:line="336" w:lineRule="auto" w:before="108" w:after="0"/>
        <w:ind w:left="138" w:right="3024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Target: Organizations where AI is embedded across most business functions; multiple production AI systems generating measurable business value; dedicated AI/ML teams </w:t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LEARNING OBJECTIVES: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AI strategy development and roadmapping at enterprise scale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Building and scaling internal AI platforms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Advanced agentic AI architectures and autonomous systems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AI product development and monetization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Organizational design for AI-augmented workforces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Emerging capabilities (multimodal AI, reasoning models, AI agents)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Responsible AI leadership and ethics frameworks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Competitive positioning through AI differentiation</w:t>
      </w:r>
    </w:p>
    <w:p>
      <w:pPr>
        <w:autoSpaceDN w:val="0"/>
        <w:autoSpaceDE w:val="0"/>
        <w:widowControl/>
        <w:spacing w:line="204" w:lineRule="auto" w:before="352" w:after="0"/>
        <w:ind w:left="374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F9B71F"/>
          <w:sz w:val="9"/>
        </w:rPr>
        <w:t>LEVEL 2</w:t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 Production &amp; Governance Expertise</w:t>
      </w:r>
    </w:p>
    <w:p>
      <w:pPr>
        <w:autoSpaceDN w:val="0"/>
        <w:tabs>
          <w:tab w:pos="244" w:val="left"/>
        </w:tabs>
        <w:autoSpaceDE w:val="0"/>
        <w:widowControl/>
        <w:spacing w:line="336" w:lineRule="auto" w:before="108" w:after="0"/>
        <w:ind w:left="138" w:right="4752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Target: Organizations with enterprise-wide AI deployment; multiple AI systems in production; regulatory compliance requirements </w:t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LEARNING OBJECTIVES: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Production RAG architecture and optimization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LLMOps and model lifecycle management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AI governance frameworks and policy development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EU AI Act compliance and risk classification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Bias detection and fairness auditing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Multi-model orchestration and cost optimization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Building and managing AI agents</w:t>
      </w:r>
    </w:p>
    <w:p>
      <w:pPr>
        <w:autoSpaceDN w:val="0"/>
        <w:autoSpaceDE w:val="0"/>
        <w:widowControl/>
        <w:spacing w:line="204" w:lineRule="auto" w:before="352" w:after="0"/>
        <w:ind w:left="374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LEVEL 3</w:t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 Implementation Skills</w:t>
      </w:r>
    </w:p>
    <w:p>
      <w:pPr>
        <w:autoSpaceDN w:val="0"/>
        <w:tabs>
          <w:tab w:pos="244" w:val="left"/>
        </w:tabs>
        <w:autoSpaceDE w:val="0"/>
        <w:widowControl/>
        <w:spacing w:line="336" w:lineRule="auto" w:before="110" w:after="0"/>
        <w:ind w:left="138" w:right="4608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Target: Organizations with successful pilots seeking to expand; 20-50% of workforce using AI tools; dedicated AI initiatives underway </w:t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LEARNING OBJECTIVES: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Use case identification and prioritization frameworks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Workflow redesign to incorporate AI tools effectively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Change management for AI adoption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Measuring and demonstrating ROI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Vendor evaluation and selection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Building internal centers of excellence</w:t>
      </w:r>
    </w:p>
    <w:p>
      <w:pPr>
        <w:autoSpaceDN w:val="0"/>
        <w:autoSpaceDE w:val="0"/>
        <w:widowControl/>
        <w:spacing w:line="204" w:lineRule="auto" w:before="352" w:after="0"/>
        <w:ind w:left="374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8C539"/>
          <w:sz w:val="9"/>
        </w:rPr>
        <w:t>LEVEL 4</w:t>
      </w: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 xml:space="preserve"> Foundational AI Literacy</w:t>
      </w:r>
    </w:p>
    <w:p>
      <w:pPr>
        <w:autoSpaceDN w:val="0"/>
        <w:tabs>
          <w:tab w:pos="244" w:val="left"/>
        </w:tabs>
        <w:autoSpaceDE w:val="0"/>
        <w:widowControl/>
        <w:spacing w:line="334" w:lineRule="auto" w:before="108" w:after="0"/>
        <w:ind w:left="138" w:right="504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Target: Organizations where &lt;20% of employees have used AI tools; leadership exploring AI but no systematic deployment </w:t>
      </w:r>
      <w:r>
        <w:br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LEARNING OBJECTIVES: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Understanding what generative AI can and cannot do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Basic prompt engineering for productivity tools (ChatGPT, Copilot)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Recognizing appropriate vs. inappropriate AI use cases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 xml:space="preserve">Data privacy and security fundamentals </w:t>
      </w:r>
      <w:r>
        <w:br/>
      </w:r>
      <w:r>
        <w:tab/>
      </w: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Identifying low-risk experimentation opportunities</w:t>
      </w:r>
    </w:p>
    <w:p>
      <w:pPr>
        <w:sectPr>
          <w:pgSz w:w="11918" w:h="16838"/>
          <w:pgMar w:top="406" w:right="828" w:bottom="866" w:left="8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393700</wp:posOffset>
            </wp:positionH>
            <wp:positionV relativeFrom="page">
              <wp:posOffset>355600</wp:posOffset>
            </wp:positionV>
            <wp:extent cx="6794500" cy="622300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794500" cy="6223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393700</wp:posOffset>
            </wp:positionH>
            <wp:positionV relativeFrom="page">
              <wp:posOffset>5219700</wp:posOffset>
            </wp:positionV>
            <wp:extent cx="6781800" cy="4737100"/>
            <wp:wrapNone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7371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4" w:lineRule="auto" w:before="0" w:after="0"/>
        <w:ind w:left="456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Key Insight: Organizations don't need every level at once—they need the right learning pathway level for their current organizational maturity (independent of the Market Maturity Tiers</w:t>
      </w:r>
    </w:p>
    <w:p>
      <w:pPr>
        <w:autoSpaceDN w:val="0"/>
        <w:autoSpaceDE w:val="0"/>
        <w:widowControl/>
        <w:spacing w:line="209" w:lineRule="auto" w:before="72" w:after="0"/>
        <w:ind w:left="456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in Section 1.1). An organization stuck in pilot phase doesn't benefit from advanced LLMOps training; they need implementation skills to break out of pilots. Conversely, organizations with</w:t>
      </w:r>
    </w:p>
    <w:p>
      <w:pPr>
        <w:autoSpaceDN w:val="0"/>
        <w:autoSpaceDE w:val="0"/>
        <w:widowControl/>
        <w:spacing w:line="204" w:lineRule="auto" w:before="72" w:after="720"/>
        <w:ind w:left="456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production systems don't need more awareness training—they need governance expertise.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5357"/>
        <w:gridCol w:w="5357"/>
      </w:tblGrid>
      <w:tr>
        <w:trPr>
          <w:trHeight w:hRule="exact" w:val="468"/>
        </w:trPr>
        <w:tc>
          <w:tcPr>
            <w:tcW w:type="dxa" w:w="360"/>
            <w:tcBorders>
              <w:top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100" cy="1524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32"/>
            <w:tcBorders>
              <w:top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36" w:after="0"/>
              <w:ind w:left="54" w:right="0" w:firstLine="0"/>
              <w:jc w:val="left"/>
            </w:pPr>
            <w:r>
              <w:rPr>
                <w:w w:val="102.71955217633928"/>
                <w:rFonts w:ascii="" w:hAnsi="" w:eastAsia=""/>
                <w:b w:val="0"/>
                <w:i w:val="0"/>
                <w:color w:val="1C262F"/>
                <w:sz w:val="14"/>
              </w:rPr>
              <w:t>Pattern 3: Regulated Industries Show Higher Training Investment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571"/>
        <w:gridCol w:w="3571"/>
        <w:gridCol w:w="3571"/>
      </w:tblGrid>
      <w:tr>
        <w:trPr>
          <w:trHeight w:hRule="exact" w:val="266"/>
        </w:trPr>
        <w:tc>
          <w:tcPr>
            <w:tcW w:type="dxa" w:w="10694"/>
            <w:gridSpan w:val="3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9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Regulated sectors (financial services, healthcare, insurance, pharmaceuticals, public sector) show distinct adoption patterns characterized by heightened caution.</w:t>
            </w:r>
          </w:p>
        </w:tc>
      </w:tr>
      <w:tr>
        <w:trPr>
          <w:trHeight w:hRule="exact" w:val="360"/>
        </w:trPr>
        <w:tc>
          <w:tcPr>
            <w:tcW w:type="dxa" w:w="40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2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7000" cy="1143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94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36" w:after="0"/>
              <w:ind w:left="56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Evidence</w:t>
            </w:r>
          </w:p>
        </w:tc>
      </w:tr>
      <w:tr>
        <w:trPr>
          <w:trHeight w:hRule="exact" w:val="262"/>
        </w:trPr>
        <w:tc>
          <w:tcPr>
            <w:tcW w:type="dxa" w:w="86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2" w:after="0"/>
              <w:ind w:left="20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Market</w:t>
            </w:r>
          </w:p>
        </w:tc>
        <w:tc>
          <w:tcPr>
            <w:tcW w:type="dxa" w:w="983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0" w:after="0"/>
              <w:ind w:left="32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Finding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2678"/>
        <w:gridCol w:w="2678"/>
        <w:gridCol w:w="2678"/>
        <w:gridCol w:w="2678"/>
      </w:tblGrid>
      <w:tr>
        <w:trPr>
          <w:trHeight w:hRule="exact" w:val="118"/>
        </w:trPr>
        <w:tc>
          <w:tcPr>
            <w:tcW w:type="dxa" w:w="10520"/>
            <w:gridSpan w:val="4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53200" cy="254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0" cy="25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67"/>
        </w:trPr>
        <w:tc>
          <w:tcPr>
            <w:tcW w:type="dxa" w:w="70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2" w:after="0"/>
              <w:ind w:left="12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Switzerland</w:t>
            </w:r>
          </w:p>
        </w:tc>
        <w:tc>
          <w:tcPr>
            <w:tcW w:type="dxa" w:w="776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2" w:after="0"/>
              <w:ind w:left="40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Regulated industries (banking, healthcare, insurance) move cautiously despite 82% knowledge worker adoption; clients request compliance-ready training</w:t>
            </w:r>
          </w:p>
        </w:tc>
        <w:tc>
          <w:tcPr>
            <w:tcW w:type="dxa" w:w="206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" w:after="0"/>
              <w:ind w:left="2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[50]</w:t>
            </w:r>
          </w:p>
        </w:tc>
      </w:tr>
      <w:tr>
        <w:trPr>
          <w:trHeight w:hRule="exact" w:val="271"/>
        </w:trPr>
        <w:tc>
          <w:tcPr>
            <w:tcW w:type="dxa" w:w="70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0" w:after="0"/>
              <w:ind w:left="12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Netherlands</w:t>
            </w:r>
          </w:p>
        </w:tc>
        <w:tc>
          <w:tcPr>
            <w:tcW w:type="dxa" w:w="482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30" w:after="0"/>
              <w:ind w:left="40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60% identify IT security as largest barrier; only 49% have effective data governance policies</w:t>
            </w:r>
          </w:p>
        </w:tc>
        <w:tc>
          <w:tcPr>
            <w:tcW w:type="dxa" w:w="500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96" w:after="0"/>
              <w:ind w:left="12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[42] [43]</w:t>
            </w:r>
          </w:p>
        </w:tc>
      </w:tr>
    </w:tbl>
    <w:p>
      <w:pPr>
        <w:autoSpaceDN w:val="0"/>
        <w:autoSpaceDE w:val="0"/>
        <w:widowControl/>
        <w:spacing w:line="240" w:lineRule="auto" w:before="4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553200" cy="254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1186" w:val="left"/>
          <w:tab w:pos="4286" w:val="left"/>
        </w:tabs>
        <w:autoSpaceDE w:val="0"/>
        <w:widowControl/>
        <w:spacing w:line="271" w:lineRule="auto" w:before="66" w:after="40"/>
        <w:ind w:left="204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 xml:space="preserve">Germany </w:t>
      </w:r>
      <w:r>
        <w:rPr>
          <w:rFonts w:ascii="" w:hAnsi="" w:eastAsia=""/>
          <w:b w:val="0"/>
          <w:i w:val="0"/>
          <w:color w:val="67727E"/>
          <w:sz w:val="10"/>
        </w:rPr>
        <w:t xml:space="preserve">Risk-averse Mittelstand; SMEs lag with 70% not yet implemented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[65]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7.99999999999997" w:type="dxa"/>
      </w:tblPr>
      <w:tblGrid>
        <w:gridCol w:w="3571"/>
        <w:gridCol w:w="3571"/>
        <w:gridCol w:w="3571"/>
      </w:tblGrid>
      <w:tr>
        <w:trPr>
          <w:trHeight w:hRule="exact" w:val="102"/>
        </w:trPr>
        <w:tc>
          <w:tcPr>
            <w:tcW w:type="dxa" w:w="10402"/>
            <w:gridSpan w:val="3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2" w:after="0"/>
              <w:ind w:left="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53200" cy="254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0" cy="25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84"/>
        </w:trPr>
        <w:tc>
          <w:tcPr>
            <w:tcW w:type="dxa" w:w="162"/>
            <w:tcBorders>
              <w:bottom w:sz="3.2000000000000455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UK</w:t>
            </w:r>
          </w:p>
        </w:tc>
        <w:tc>
          <w:tcPr>
            <w:tcW w:type="dxa" w:w="4780"/>
            <w:tcBorders>
              <w:bottom w:sz="3.2000000000000455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2" w:after="0"/>
              <w:ind w:left="82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39% cite "difficulty identifying use cases" — conservative approach to deployment</w:t>
            </w:r>
          </w:p>
        </w:tc>
        <w:tc>
          <w:tcPr>
            <w:tcW w:type="dxa" w:w="5460"/>
            <w:vMerge w:val="restart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0" w:after="0"/>
              <w:ind w:left="16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[12]</w:t>
            </w:r>
          </w:p>
        </w:tc>
      </w:tr>
      <w:tr>
        <w:trPr>
          <w:trHeight w:hRule="exact" w:val="56"/>
        </w:trPr>
        <w:tc>
          <w:tcPr>
            <w:tcW w:type="dxa" w:w="162"/>
            <w:tcBorders>
              <w:top w:sz="3.2000000000000455" w:val="single" w:color="#E0E5EA"/>
            </w:tcBorders>
            <w:shd w:fill="000000"/>
            <w:tcMar>
              <w:start w:w="0" w:type="dxa"/>
              <w:end w:w="0" w:type="dxa"/>
            </w:tcMar>
          </w:tcPr>
          <w:p/>
        </w:tc>
        <w:tc>
          <w:tcPr>
            <w:tcW w:type="dxa" w:w="4780"/>
            <w:tcBorders>
              <w:top w:sz="3.2000000000000455" w:val="single" w:color="#E0E5EA"/>
            </w:tcBorders>
            <w:shd w:fill="000000"/>
            <w:tcMar>
              <w:start w:w="0" w:type="dxa"/>
              <w:end w:w="0" w:type="dxa"/>
            </w:tcMar>
          </w:tcPr>
          <w:p/>
        </w:tc>
        <w:tc>
          <w:tcPr>
            <w:tcW w:type="dxa" w:w="3571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6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" cy="127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" cy="12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4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0" w:after="0"/>
              <w:ind w:left="96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Key Finding</w:t>
            </w:r>
          </w:p>
        </w:tc>
      </w:tr>
    </w:tbl>
    <w:p>
      <w:pPr>
        <w:autoSpaceDN w:val="0"/>
        <w:autoSpaceDE w:val="0"/>
        <w:widowControl/>
        <w:spacing w:line="209" w:lineRule="auto" w:before="66" w:after="0"/>
        <w:ind w:left="198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The evidence shows regulated industries exhibit heightened caution (security concerns, governance gaps, conservative deployment approaches) compared to unregulated sectors.</w:t>
      </w:r>
    </w:p>
    <w:p>
      <w:pPr>
        <w:autoSpaceDN w:val="0"/>
        <w:autoSpaceDE w:val="0"/>
        <w:widowControl/>
        <w:spacing w:line="209" w:lineRule="auto" w:before="70" w:after="36"/>
        <w:ind w:left="198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Research from regulated-industry-heavy markets (Switzerland, Germany, Netherlands) reports cautious enterprise approaches, with organizations emphasizing security, quality, and proof-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7.99999999999997" w:type="dxa"/>
      </w:tblPr>
      <w:tblGrid>
        <w:gridCol w:w="3571"/>
        <w:gridCol w:w="3571"/>
        <w:gridCol w:w="3571"/>
      </w:tblGrid>
      <w:tr>
        <w:trPr>
          <w:trHeight w:hRule="exact" w:val="404"/>
        </w:trPr>
        <w:tc>
          <w:tcPr>
            <w:tcW w:type="dxa" w:w="10362"/>
            <w:gridSpan w:val="3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6" w:after="0"/>
              <w:ind w:left="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of-value. Security and compliance concerns create both friction and opportunity for AI adoption.</w:t>
            </w:r>
          </w:p>
        </w:tc>
      </w:tr>
      <w:tr>
        <w:trPr>
          <w:trHeight w:hRule="exact" w:val="172"/>
        </w:trPr>
        <w:tc>
          <w:tcPr>
            <w:tcW w:type="dxa" w:w="172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" cy="1143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9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42" w:after="0"/>
              <w:ind w:left="86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Strategic Recommendations</w:t>
            </w:r>
          </w:p>
        </w:tc>
      </w:tr>
      <w:tr>
        <w:trPr>
          <w:trHeight w:hRule="exact" w:val="304"/>
        </w:trPr>
        <w:tc>
          <w:tcPr>
            <w:tcW w:type="dxa" w:w="102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60"/>
            <w:gridSpan w:val="2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124" w:after="0"/>
              <w:ind w:left="4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Build sector-specific governance modules addressing </w:t>
            </w:r>
            <w:r>
              <w:rPr>
                <w:rFonts w:ascii="" w:hAnsi="" w:eastAsia=""/>
                <w:b w:val="0"/>
                <w:i w:val="0"/>
                <w:color w:val="1F9FDF"/>
                <w:sz w:val="11"/>
              </w:rPr>
              <w:hyperlink r:id="rId63" w:history="1">
                <w:r>
                  <w:rPr>
                    <w:rStyle w:val="Hyperlink"/>
                  </w:rPr>
                  <w:t>GDPR</w:t>
                </w:r>
              </w:hyperlink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, </w:t>
            </w:r>
            <w:r>
              <w:rPr>
                <w:w w:val="95.87158362070718"/>
                <w:rFonts w:ascii="" w:hAnsi="" w:eastAsia=""/>
                <w:b w:val="0"/>
                <w:i w:val="0"/>
                <w:color w:val="1F9FDF"/>
                <w:sz w:val="12"/>
              </w:rPr>
              <w:hyperlink r:id="rId64" w:history="1">
                <w:r>
                  <w:rPr>
                    <w:rStyle w:val="Hyperlink"/>
                  </w:rPr>
                  <w:t>AI Act</w:t>
                </w:r>
              </w:hyperlink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, </w:t>
            </w:r>
            <w:r>
              <w:rPr>
                <w:w w:val="95.87158362070718"/>
                <w:rFonts w:ascii="" w:hAnsi="" w:eastAsia=""/>
                <w:b w:val="0"/>
                <w:i w:val="0"/>
                <w:color w:val="1F9FDF"/>
                <w:sz w:val="12"/>
              </w:rPr>
              <w:hyperlink r:id="rId65" w:history="1">
                <w:r>
                  <w:rPr>
                    <w:rStyle w:val="Hyperlink"/>
                  </w:rPr>
                  <w:t>FINMA</w:t>
                </w:r>
              </w:hyperlink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, </w:t>
            </w:r>
            <w:r>
              <w:rPr>
                <w:w w:val="101.95412069619276"/>
                <w:rFonts w:ascii="" w:hAnsi="" w:eastAsia=""/>
                <w:b w:val="0"/>
                <w:i w:val="0"/>
                <w:color w:val="1F9FDF"/>
                <w:sz w:val="11"/>
              </w:rPr>
              <w:hyperlink r:id="rId66" w:history="1">
                <w:r>
                  <w:rPr>
                    <w:rStyle w:val="Hyperlink"/>
                  </w:rPr>
                  <w:t>DORA</w:t>
                </w:r>
              </w:hyperlink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, and industry-specific regulations—compliance requirements justify premium pricing. In practice, this</w:t>
            </w:r>
          </w:p>
        </w:tc>
      </w:tr>
    </w:tbl>
    <w:p>
      <w:pPr>
        <w:autoSpaceDN w:val="0"/>
        <w:autoSpaceDE w:val="0"/>
        <w:widowControl/>
        <w:spacing w:line="204" w:lineRule="auto" w:before="20" w:after="0"/>
        <w:ind w:left="0" w:right="0" w:firstLine="0"/>
        <w:jc w:val="center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means developing curriculum that goes beyond generic "AI ethics" content to address specific regulatory frameworks relevant to each sector: for financial services, this includes model</w:t>
      </w:r>
    </w:p>
    <w:p>
      <w:pPr>
        <w:autoSpaceDN w:val="0"/>
        <w:autoSpaceDE w:val="0"/>
        <w:widowControl/>
        <w:spacing w:line="230" w:lineRule="auto" w:before="60" w:after="0"/>
        <w:ind w:left="0" w:right="0" w:firstLine="0"/>
        <w:jc w:val="center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risk management requirements, algorithmic trading disclosures, and DORA's ICT risk management mandates; for healthcare, </w:t>
      </w:r>
      <w:r>
        <w:rPr>
          <w:w w:val="103.60183013759539"/>
          <w:rFonts w:ascii="" w:hAnsi="" w:eastAsia=""/>
          <w:b w:val="0"/>
          <w:i w:val="0"/>
          <w:color w:val="1F9FDF"/>
          <w:sz w:val="11"/>
        </w:rPr>
        <w:hyperlink r:id="rId67" w:history="1">
          <w:r>
            <w:rPr>
              <w:rStyle w:val="Hyperlink"/>
            </w:rPr>
            <w:t>HIPAA</w:t>
          </w:r>
        </w:hyperlink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considerations for AI-generated content and medical</w:t>
      </w:r>
    </w:p>
    <w:p>
      <w:pPr>
        <w:autoSpaceDN w:val="0"/>
        <w:autoSpaceDE w:val="0"/>
        <w:widowControl/>
        <w:spacing w:line="209" w:lineRule="auto" w:before="70" w:after="0"/>
        <w:ind w:left="342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device regulations; for insurance, Solvency II implications and actuarial model governance.</w:t>
      </w:r>
    </w:p>
    <w:p>
      <w:pPr>
        <w:autoSpaceDN w:val="0"/>
        <w:autoSpaceDE w:val="0"/>
        <w:widowControl/>
        <w:spacing w:line="240" w:lineRule="auto" w:before="186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Shadow AI risk is significant—the evidence shows governance gaps (only 49% with effective data governance in Netherlands); employees using personal AI tools without oversight</w:t>
      </w:r>
    </w:p>
    <w:p>
      <w:pPr>
        <w:autoSpaceDN w:val="0"/>
        <w:autoSpaceDE w:val="0"/>
        <w:widowControl/>
        <w:spacing w:line="204" w:lineRule="auto" w:before="72" w:after="36"/>
        <w:ind w:left="0" w:right="0" w:firstLine="0"/>
        <w:jc w:val="center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creates compliance exposure. Shadow AI refers to employees using personal ChatGPT accounts, uploading company data to unsanctioned AI tools, or deploying AI solutions without 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580"/>
        </w:trPr>
        <w:tc>
          <w:tcPr>
            <w:tcW w:type="dxa" w:w="10492"/>
            <w:tcBorders>
              <w:bottom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" w:after="0"/>
              <w:ind w:left="24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approval. Organizations must establish acceptable use policies, deploy sanctioned tools, and ensure compliant AI usage.</w:t>
            </w:r>
          </w:p>
        </w:tc>
      </w:tr>
    </w:tbl>
    <w:p>
      <w:pPr>
        <w:autoSpaceDN w:val="0"/>
        <w:autoSpaceDE w:val="0"/>
        <w:widowControl/>
        <w:spacing w:line="206" w:lineRule="auto" w:before="534" w:after="0"/>
        <w:ind w:left="514" w:right="0" w:firstLine="0"/>
        <w:jc w:val="left"/>
      </w:pPr>
      <w:r>
        <w:rPr>
          <w:w w:val="102.71955217633928"/>
          <w:rFonts w:ascii="" w:hAnsi="" w:eastAsia=""/>
          <w:b w:val="0"/>
          <w:i w:val="0"/>
          <w:color w:val="1C262F"/>
          <w:sz w:val="14"/>
        </w:rPr>
        <w:t>Pattern 4: The Strategic Planning Gap Is Universal</w:t>
      </w:r>
    </w:p>
    <w:p>
      <w:pPr>
        <w:autoSpaceDN w:val="0"/>
        <w:autoSpaceDE w:val="0"/>
        <w:widowControl/>
        <w:spacing w:line="209" w:lineRule="auto" w:before="148" w:after="0"/>
        <w:ind w:left="19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64% of enterprises lack strategic clarity on AI goals — citing undefined objectives, confusion about use cases, and difficulty prioritizing initiatives.</w:t>
      </w:r>
    </w:p>
    <w:p>
      <w:pPr>
        <w:autoSpaceDN w:val="0"/>
        <w:autoSpaceDE w:val="0"/>
        <w:widowControl/>
        <w:spacing w:line="204" w:lineRule="auto" w:before="190" w:after="0"/>
        <w:ind w:left="198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Across all tiers, organizations struggle not with "what is AI?" but with "how should we apply AI strategically?"</w:t>
      </w:r>
    </w:p>
    <w:p>
      <w:pPr>
        <w:autoSpaceDN w:val="0"/>
        <w:autoSpaceDE w:val="0"/>
        <w:widowControl/>
        <w:spacing w:line="204" w:lineRule="auto" w:before="238" w:after="0"/>
        <w:ind w:left="456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Enterprise Survey Evidence</w:t>
      </w:r>
    </w:p>
    <w:p>
      <w:pPr>
        <w:autoSpaceDN w:val="0"/>
        <w:tabs>
          <w:tab w:pos="9242" w:val="left"/>
        </w:tabs>
        <w:autoSpaceDE w:val="0"/>
        <w:widowControl/>
        <w:spacing w:line="245" w:lineRule="auto" w:before="102" w:after="0"/>
        <w:ind w:left="198" w:right="1152" w:firstLine="0"/>
        <w:jc w:val="left"/>
      </w:pPr>
      <w:r>
        <w:tab/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[140]</w:t>
      </w:r>
      <w:r>
        <w:rPr>
          <w:rFonts w:ascii="" w:hAnsi="" w:eastAsia=""/>
          <w:b w:val="0"/>
          <w:i w:val="0"/>
          <w:color w:val="68C539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An LLPA member in the Asia-Pacific region reports</w:t>
      </w:r>
      <w:r>
        <w:rPr>
          <w:rFonts w:ascii="" w:hAnsi="" w:eastAsia=""/>
          <w:b w:val="0"/>
          <w:i w:val="0"/>
          <w:color w:val="67727E"/>
          <w:sz w:val="10"/>
        </w:rPr>
        <w:t xml:space="preserve"> "clients are unclear on what they want to achieve with AI; uncertainty about ROI and implementation persists across the customer base."</w:t>
      </w:r>
    </w:p>
    <w:p>
      <w:pPr>
        <w:autoSpaceDN w:val="0"/>
        <w:tabs>
          <w:tab w:pos="5080" w:val="left"/>
        </w:tabs>
        <w:autoSpaceDE w:val="0"/>
        <w:widowControl/>
        <w:spacing w:line="245" w:lineRule="auto" w:before="78" w:after="0"/>
        <w:ind w:left="198" w:right="5328" w:firstLine="0"/>
        <w:jc w:val="left"/>
      </w:pPr>
      <w:r>
        <w:tab/>
      </w:r>
      <w:r>
        <w:rPr>
          <w:w w:val="94.92406172830505"/>
          <w:rFonts w:ascii="" w:hAnsi="" w:eastAsia=""/>
          <w:b w:val="0"/>
          <w:i w:val="0"/>
          <w:color w:val="1F9FDF"/>
          <w:sz w:val="9"/>
        </w:rPr>
        <w:t>[141]</w:t>
      </w:r>
      <w:r>
        <w:br/>
      </w:r>
      <w:r>
        <w:rPr>
          <w:rFonts w:ascii="" w:hAnsi="" w:eastAsia=""/>
          <w:b w:val="0"/>
          <w:i w:val="0"/>
          <w:color w:val="1F9FDF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An LLPA member in Eastern Europe described client posture as</w:t>
      </w:r>
      <w:r>
        <w:rPr>
          <w:rFonts w:ascii="" w:hAnsi="" w:eastAsia=""/>
          <w:b w:val="0"/>
          <w:i w:val="0"/>
          <w:color w:val="67727E"/>
          <w:sz w:val="10"/>
        </w:rPr>
        <w:t xml:space="preserve"> "they don't know but they're trying."</w:t>
      </w:r>
    </w:p>
    <w:p>
      <w:pPr>
        <w:autoSpaceDN w:val="0"/>
        <w:tabs>
          <w:tab w:pos="6836" w:val="left"/>
        </w:tabs>
        <w:autoSpaceDE w:val="0"/>
        <w:widowControl/>
        <w:spacing w:line="245" w:lineRule="auto" w:before="78" w:after="0"/>
        <w:ind w:left="198" w:right="3600" w:firstLine="0"/>
        <w:jc w:val="left"/>
      </w:pPr>
      <w:r>
        <w:tab/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[142]</w:t>
      </w:r>
      <w:r>
        <w:rPr>
          <w:rFonts w:ascii="" w:hAnsi="" w:eastAsia=""/>
          <w:b w:val="0"/>
          <w:i w:val="0"/>
          <w:color w:val="F9B71F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An LLPA member in Latin America cites</w:t>
      </w:r>
      <w:r>
        <w:rPr>
          <w:rFonts w:ascii="" w:hAnsi="" w:eastAsia=""/>
          <w:b w:val="0"/>
          <w:i w:val="0"/>
          <w:color w:val="67727E"/>
          <w:sz w:val="10"/>
        </w:rPr>
        <w:t xml:space="preserve"> "poorly defined business objectives, poor data quality, and lack of collaboration between teams."</w:t>
      </w:r>
    </w:p>
    <w:p>
      <w:pPr>
        <w:autoSpaceDN w:val="0"/>
        <w:tabs>
          <w:tab w:pos="5212" w:val="left"/>
        </w:tabs>
        <w:autoSpaceDE w:val="0"/>
        <w:widowControl/>
        <w:spacing w:line="245" w:lineRule="auto" w:before="76" w:after="0"/>
        <w:ind w:left="198" w:right="5184" w:firstLine="0"/>
        <w:jc w:val="left"/>
      </w:pPr>
      <w:r>
        <w:tab/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[143]</w:t>
      </w:r>
      <w:r>
        <w:br/>
      </w:r>
      <w:r>
        <w:rPr>
          <w:rFonts w:ascii="" w:hAnsi="" w:eastAsia=""/>
          <w:b w:val="0"/>
          <w:i w:val="0"/>
          <w:color w:val="E85B30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An LLPA member in Central Europe described clients as</w:t>
      </w:r>
      <w:r>
        <w:rPr>
          <w:rFonts w:ascii="" w:hAnsi="" w:eastAsia=""/>
          <w:b w:val="0"/>
          <w:i w:val="0"/>
          <w:color w:val="67727E"/>
          <w:sz w:val="10"/>
        </w:rPr>
        <w:t xml:space="preserve"> "often unsure what they want — 'do some AI'."</w:t>
      </w:r>
    </w:p>
    <w:p>
      <w:pPr>
        <w:autoSpaceDN w:val="0"/>
        <w:tabs>
          <w:tab w:pos="6304" w:val="left"/>
        </w:tabs>
        <w:autoSpaceDE w:val="0"/>
        <w:widowControl/>
        <w:spacing w:line="245" w:lineRule="auto" w:before="76" w:after="0"/>
        <w:ind w:left="198" w:right="4176" w:firstLine="0"/>
        <w:jc w:val="left"/>
      </w:pPr>
      <w:r>
        <w:tab/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[144]</w:t>
      </w:r>
      <w:r>
        <w:rPr>
          <w:rFonts w:ascii="" w:hAnsi="" w:eastAsia=""/>
          <w:b w:val="0"/>
          <w:i w:val="0"/>
          <w:color w:val="68C539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An LLPA member in Eastern Europe identifies</w:t>
      </w:r>
      <w:r>
        <w:rPr>
          <w:rFonts w:ascii="" w:hAnsi="" w:eastAsia=""/>
          <w:b w:val="0"/>
          <w:i w:val="0"/>
          <w:color w:val="67727E"/>
          <w:sz w:val="10"/>
        </w:rPr>
        <w:t xml:space="preserve"> "a lack of clear methodology for mapping AI opportunities within organizations."</w:t>
      </w:r>
    </w:p>
    <w:p>
      <w:pPr>
        <w:autoSpaceDN w:val="0"/>
        <w:tabs>
          <w:tab w:pos="4116" w:val="left"/>
        </w:tabs>
        <w:autoSpaceDE w:val="0"/>
        <w:widowControl/>
        <w:spacing w:line="245" w:lineRule="auto" w:before="78" w:after="0"/>
        <w:ind w:left="198" w:right="6336" w:firstLine="0"/>
        <w:jc w:val="left"/>
      </w:pPr>
      <w:r>
        <w:tab/>
      </w:r>
      <w:r>
        <w:rPr>
          <w:w w:val="94.92406172830505"/>
          <w:rFonts w:ascii="" w:hAnsi="" w:eastAsia=""/>
          <w:b w:val="0"/>
          <w:i w:val="0"/>
          <w:color w:val="1F9FDF"/>
          <w:sz w:val="9"/>
        </w:rPr>
        <w:t>[113]</w:t>
      </w:r>
      <w:r>
        <w:br/>
      </w:r>
      <w:r>
        <w:rPr>
          <w:rFonts w:ascii="" w:hAnsi="" w:eastAsia=""/>
          <w:b w:val="0"/>
          <w:i w:val="0"/>
          <w:color w:val="1F9FDF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An LLPA member in the Nordic region reports</w:t>
      </w:r>
      <w:r>
        <w:rPr>
          <w:rFonts w:ascii="" w:hAnsi="" w:eastAsia=""/>
          <w:b w:val="0"/>
          <w:i w:val="0"/>
          <w:color w:val="67727E"/>
          <w:sz w:val="10"/>
        </w:rPr>
        <w:t xml:space="preserve"> "confusion of all the possibilities."</w:t>
      </w:r>
    </w:p>
    <w:p>
      <w:pPr>
        <w:autoSpaceDN w:val="0"/>
        <w:tabs>
          <w:tab w:pos="10008" w:val="left"/>
        </w:tabs>
        <w:autoSpaceDE w:val="0"/>
        <w:widowControl/>
        <w:spacing w:line="245" w:lineRule="auto" w:before="76" w:after="0"/>
        <w:ind w:left="198" w:right="432" w:firstLine="0"/>
        <w:jc w:val="left"/>
      </w:pPr>
      <w:r>
        <w:tab/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[150]</w:t>
      </w:r>
      <w:r>
        <w:rPr>
          <w:rFonts w:ascii="" w:hAnsi="" w:eastAsia=""/>
          <w:b w:val="0"/>
          <w:i w:val="0"/>
          <w:color w:val="F9B71F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An LLPA member in Eastern Europe (Romania) reports</w:t>
      </w:r>
      <w:r>
        <w:rPr>
          <w:rFonts w:ascii="" w:hAnsi="" w:eastAsia=""/>
          <w:b w:val="0"/>
          <w:i w:val="0"/>
          <w:color w:val="67727E"/>
          <w:sz w:val="10"/>
        </w:rPr>
        <w:t xml:space="preserve"> "few clients ask for specialized or advanced courses; demand is concentrated on general awareness, foundational courses and prompt engineering."</w:t>
      </w:r>
    </w:p>
    <w:p>
      <w:pPr>
        <w:autoSpaceDN w:val="0"/>
        <w:autoSpaceDE w:val="0"/>
        <w:widowControl/>
        <w:spacing w:line="204" w:lineRule="auto" w:before="224" w:after="0"/>
        <w:ind w:left="198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External Validation</w:t>
      </w:r>
    </w:p>
    <w:p>
      <w:pPr>
        <w:autoSpaceDN w:val="0"/>
        <w:autoSpaceDE w:val="0"/>
        <w:widowControl/>
        <w:spacing w:line="240" w:lineRule="auto" w:before="156" w:after="8"/>
        <w:ind w:left="198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8C539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88% of organizations using AI, but only 39% report any EBIT impact at enterprise level; nearly two-thirds still in experimentation/pilot phase; only 6% are "high performers" capturing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2143"/>
        <w:gridCol w:w="2143"/>
        <w:gridCol w:w="2143"/>
        <w:gridCol w:w="2143"/>
        <w:gridCol w:w="2143"/>
      </w:tblGrid>
      <w:tr>
        <w:trPr>
          <w:trHeight w:hRule="exact" w:val="208"/>
        </w:trPr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24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significant value</w:t>
            </w:r>
          </w:p>
        </w:tc>
        <w:tc>
          <w:tcPr>
            <w:tcW w:type="dxa" w:w="8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" w:after="0"/>
              <w:ind w:left="2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[393]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68" w:after="0"/>
              <w:ind w:left="1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[394]</w:t>
            </w:r>
          </w:p>
        </w:tc>
      </w:tr>
      <w:tr>
        <w:trPr>
          <w:trHeight w:hRule="exact" w:val="280"/>
        </w:trPr>
        <w:tc>
          <w:tcPr>
            <w:tcW w:type="dxa" w:w="101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11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F9FDF"/>
                <w:sz w:val="12"/>
              </w:rPr>
              <w:t>•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82% of leaders say this is a pivotal year to rethink strategy, yet 67% of leaders report familiarity with AI agents compared to only 40% of employees — highlighting the execution gap</w:t>
            </w:r>
          </w:p>
        </w:tc>
        <w:tc>
          <w:tcPr>
            <w:tcW w:type="dxa" w:w="2143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4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8" w:after="0"/>
              <w:ind w:left="11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9B71F"/>
                <w:sz w:val="12"/>
              </w:rPr>
              <w:t>•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63% of employers identify skills gaps as primary barrier to business transformation</w:t>
            </w:r>
          </w:p>
        </w:tc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8" w:after="0"/>
              <w:ind w:left="16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[395]</w:t>
            </w:r>
          </w:p>
        </w:tc>
        <w:tc>
          <w:tcPr>
            <w:tcW w:type="dxa" w:w="2143"/>
            <w:vMerge/>
            <w:tcBorders/>
          </w:tcPr>
          <w:p/>
        </w:tc>
      </w:tr>
      <w:tr>
        <w:trPr>
          <w:trHeight w:hRule="exact" w:val="290"/>
        </w:trPr>
        <w:tc>
          <w:tcPr>
            <w:tcW w:type="dxa" w:w="3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118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E85B30"/>
                <w:sz w:val="12"/>
              </w:rPr>
              <w:t>•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60% of Copilot licenses unused within 90 days of deployment</w:t>
            </w:r>
          </w:p>
        </w:tc>
        <w:tc>
          <w:tcPr>
            <w:tcW w:type="dxa" w:w="6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4" w:after="0"/>
              <w:ind w:left="26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[130]</w:t>
            </w:r>
          </w:p>
        </w:tc>
        <w:tc>
          <w:tcPr>
            <w:tcW w:type="dxa" w:w="214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6" w:lineRule="auto" w:before="190" w:after="0"/>
        <w:ind w:left="198" w:right="0" w:firstLine="0"/>
        <w:jc w:val="left"/>
      </w:pPr>
      <w:r>
        <w:rPr>
          <w:rFonts w:ascii="" w:hAnsi="" w:eastAsia=""/>
          <w:b w:val="0"/>
          <w:i w:val="0"/>
          <w:color w:val="1C262F"/>
          <w:sz w:val="13"/>
        </w:rPr>
        <w:t>Strategic Recommendations</w:t>
      </w:r>
    </w:p>
    <w:p>
      <w:pPr>
        <w:autoSpaceDN w:val="0"/>
        <w:autoSpaceDE w:val="0"/>
        <w:widowControl/>
        <w:spacing w:line="209" w:lineRule="auto" w:before="176" w:after="0"/>
        <w:ind w:left="342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Organizations need AI readiness and opportunity assessment frameworks:</w:t>
      </w:r>
    </w:p>
    <w:p>
      <w:pPr>
        <w:autoSpaceDN w:val="0"/>
        <w:autoSpaceDE w:val="0"/>
        <w:widowControl/>
        <w:spacing w:line="209" w:lineRule="auto" w:before="160" w:after="0"/>
        <w:ind w:left="470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Organizational readiness diagnostic</w:t>
      </w:r>
    </w:p>
    <w:p>
      <w:pPr>
        <w:autoSpaceDN w:val="0"/>
        <w:autoSpaceDE w:val="0"/>
        <w:widowControl/>
        <w:spacing w:line="209" w:lineRule="auto" w:before="100" w:after="0"/>
        <w:ind w:left="470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Use case discovery framework</w:t>
      </w:r>
    </w:p>
    <w:p>
      <w:pPr>
        <w:autoSpaceDN w:val="0"/>
        <w:autoSpaceDE w:val="0"/>
        <w:widowControl/>
        <w:spacing w:line="209" w:lineRule="auto" w:before="90" w:after="0"/>
        <w:ind w:left="470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Vendor evaluation and bullshit detector</w:t>
      </w:r>
    </w:p>
    <w:p>
      <w:pPr>
        <w:autoSpaceDN w:val="0"/>
        <w:autoSpaceDE w:val="0"/>
        <w:widowControl/>
        <w:spacing w:line="209" w:lineRule="auto" w:before="100" w:after="0"/>
        <w:ind w:left="470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Quick-win identification tool</w:t>
      </w:r>
    </w:p>
    <w:p>
      <w:pPr>
        <w:autoSpaceDN w:val="0"/>
        <w:autoSpaceDE w:val="0"/>
        <w:widowControl/>
        <w:spacing w:line="209" w:lineRule="auto" w:before="98" w:after="0"/>
        <w:ind w:left="470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Decision frameworks</w:t>
      </w:r>
    </w:p>
    <w:p>
      <w:pPr>
        <w:autoSpaceDN w:val="0"/>
        <w:autoSpaceDE w:val="0"/>
        <w:widowControl/>
        <w:spacing w:line="204" w:lineRule="auto" w:before="110" w:after="0"/>
        <w:ind w:left="470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Competitive benchmarks</w:t>
      </w:r>
    </w:p>
    <w:p>
      <w:pPr>
        <w:autoSpaceDN w:val="0"/>
        <w:autoSpaceDE w:val="0"/>
        <w:widowControl/>
        <w:spacing w:line="204" w:lineRule="auto" w:before="102" w:after="0"/>
        <w:ind w:left="470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Team capability assessment</w:t>
      </w:r>
    </w:p>
    <w:p>
      <w:pPr>
        <w:autoSpaceDN w:val="0"/>
        <w:autoSpaceDE w:val="0"/>
        <w:widowControl/>
        <w:spacing w:line="204" w:lineRule="auto" w:before="216" w:after="0"/>
        <w:ind w:left="342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Strategic planning is the critical gap</w:t>
      </w:r>
      <w:r>
        <w:rPr>
          <w:rFonts w:ascii="" w:hAnsi="" w:eastAsia=""/>
          <w:b w:val="0"/>
          <w:i w:val="0"/>
          <w:color w:val="67727E"/>
          <w:sz w:val="10"/>
        </w:rPr>
        <w:t xml:space="preserve"> — organizations struggle with "how" and "where" to apply AI, not "what" AI is</w:t>
      </w:r>
    </w:p>
    <w:p>
      <w:pPr>
        <w:autoSpaceDN w:val="0"/>
        <w:autoSpaceDE w:val="0"/>
        <w:widowControl/>
        <w:spacing w:line="226" w:lineRule="auto" w:before="120" w:after="0"/>
        <w:ind w:left="342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Create implementation consulting offerings</w:t>
      </w:r>
      <w:r>
        <w:rPr>
          <w:rFonts w:ascii="" w:hAnsi="" w:eastAsia=""/>
          <w:b w:val="0"/>
          <w:i w:val="0"/>
          <w:color w:val="67727E"/>
          <w:sz w:val="10"/>
        </w:rPr>
        <w:t xml:space="preserve"> as premium services layered on top of training — see </w:t>
      </w:r>
      <w:r>
        <w:rPr>
          <w:rFonts w:ascii="" w:hAnsi="" w:eastAsia=""/>
          <w:b w:val="0"/>
          <w:i w:val="0"/>
          <w:color w:val="1F9FDF"/>
          <w:sz w:val="10"/>
        </w:rPr>
        <w:t>Demand Pattern 1 (Section 2)</w:t>
      </w:r>
      <w:r>
        <w:rPr>
          <w:rFonts w:ascii="" w:hAnsi="" w:eastAsia=""/>
          <w:b w:val="0"/>
          <w:i w:val="0"/>
          <w:color w:val="67727E"/>
          <w:sz w:val="10"/>
        </w:rPr>
        <w:t xml:space="preserve"> for detailed recommendations</w:t>
      </w:r>
    </w:p>
    <w:p>
      <w:pPr>
        <w:sectPr>
          <w:pgSz w:w="11918" w:h="16838"/>
          <w:pgMar w:top="310" w:right="584" w:bottom="680" w:left="6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6019800</wp:posOffset>
            </wp:positionV>
            <wp:extent cx="6350000" cy="254000"/>
            <wp:wrapNone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54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6375400</wp:posOffset>
            </wp:positionV>
            <wp:extent cx="6553200" cy="330200"/>
            <wp:wrapNone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330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308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F9B71F"/>
          <w:sz w:val="10"/>
        </w:rPr>
        <w:t>Section 3</w:t>
      </w:r>
    </w:p>
    <w:p>
      <w:pPr>
        <w:autoSpaceDN w:val="0"/>
        <w:autoSpaceDE w:val="0"/>
        <w:widowControl/>
        <w:spacing w:line="314" w:lineRule="auto" w:before="136" w:after="252"/>
        <w:ind w:left="174" w:right="864" w:firstLine="0"/>
        <w:jc w:val="left"/>
      </w:pPr>
      <w:r>
        <w:rPr>
          <w:rFonts w:ascii="" w:hAnsi="" w:eastAsia=""/>
          <w:b w:val="0"/>
          <w:i w:val="0"/>
          <w:color w:val="1C262F"/>
          <w:sz w:val="26"/>
        </w:rPr>
        <w:t xml:space="preserve">Barriers to AI Adoption </w:t>
      </w:r>
      <w:r>
        <w:br/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Analysis of enterprise AI adoption surveys, validated against independent market research from consulting firms, technology vendors, academic institutions, and government agencies.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6.0" w:type="dxa"/>
      </w:tblPr>
      <w:tblGrid>
        <w:gridCol w:w="5511"/>
        <w:gridCol w:w="5511"/>
      </w:tblGrid>
      <w:tr>
        <w:trPr>
          <w:trHeight w:hRule="exact" w:val="620"/>
        </w:trPr>
        <w:tc>
          <w:tcPr>
            <w:tcW w:type="dxa" w:w="500"/>
            <w:tcBorders>
              <w:top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1300" cy="2286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3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992"/>
            <w:tcBorders>
              <w:top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228" w:after="0"/>
              <w:ind w:left="58" w:right="8208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E85B30"/>
                <w:sz w:val="9"/>
              </w:rPr>
              <w:t xml:space="preserve">CHALLENGE 1 </w:t>
            </w:r>
            <w:r>
              <w:br/>
            </w:r>
            <w:r>
              <w:rPr>
                <w:w w:val="101.51109134449679"/>
                <w:rFonts w:ascii="" w:hAnsi="" w:eastAsia=""/>
                <w:b w:val="0"/>
                <w:i w:val="0"/>
                <w:color w:val="1C262F"/>
                <w:sz w:val="17"/>
              </w:rPr>
              <w:t>Financial Constraints</w:t>
            </w:r>
          </w:p>
        </w:tc>
      </w:tr>
    </w:tbl>
    <w:p>
      <w:pPr>
        <w:autoSpaceDN w:val="0"/>
        <w:autoSpaceDE w:val="0"/>
        <w:widowControl/>
        <w:spacing w:line="226" w:lineRule="auto" w:before="92" w:after="178"/>
        <w:ind w:left="354" w:right="0" w:firstLine="0"/>
        <w:jc w:val="left"/>
      </w:pPr>
      <w:r>
        <w:rPr>
          <w:rFonts w:ascii="" w:hAnsi="" w:eastAsia=""/>
          <w:b w:val="0"/>
          <w:i w:val="0"/>
          <w:color w:val="E85B30"/>
          <w:sz w:val="10"/>
        </w:rPr>
        <w:t>41%</w:t>
      </w:r>
      <w:r>
        <w:rPr>
          <w:rFonts w:ascii="" w:hAnsi="" w:eastAsia=""/>
          <w:b w:val="0"/>
          <w:i w:val="0"/>
          <w:color w:val="1C262F"/>
          <w:sz w:val="10"/>
        </w:rPr>
        <w:t xml:space="preserve"> of enterprises cite cost as a barrier; </w:t>
      </w:r>
      <w:r>
        <w:rPr>
          <w:rFonts w:ascii="" w:hAnsi="" w:eastAsia=""/>
          <w:b w:val="0"/>
          <w:i w:val="0"/>
          <w:color w:val="E85B30"/>
          <w:sz w:val="10"/>
        </w:rPr>
        <w:t>55%</w:t>
      </w:r>
      <w:r>
        <w:rPr>
          <w:rFonts w:ascii="" w:hAnsi="" w:eastAsia=""/>
          <w:b w:val="0"/>
          <w:i w:val="0"/>
          <w:color w:val="1C262F"/>
          <w:sz w:val="10"/>
        </w:rPr>
        <w:t xml:space="preserve"> report difficulty justifying AI investment ROI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5511"/>
        <w:gridCol w:w="5511"/>
      </w:tblGrid>
      <w:tr>
        <w:trPr>
          <w:trHeight w:hRule="exact" w:val="256"/>
        </w:trPr>
        <w:tc>
          <w:tcPr>
            <w:tcW w:type="dxa" w:w="1069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1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3"/>
              </w:rPr>
              <w:t>Research findings:</w:t>
            </w:r>
          </w:p>
        </w:tc>
      </w:tr>
      <w:tr>
        <w:trPr>
          <w:trHeight w:hRule="exact" w:val="300"/>
        </w:trPr>
        <w:tc>
          <w:tcPr>
            <w:tcW w:type="dxa" w:w="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2" w:after="0"/>
              <w:ind w:left="0" w:right="26" w:firstLine="0"/>
              <w:jc w:val="right"/>
            </w:pPr>
            <w:r>
              <w:rPr>
                <w:w w:val="95.87158362070718"/>
                <w:rFonts w:ascii="" w:hAnsi="" w:eastAsia=""/>
                <w:b w:val="0"/>
                <w:i w:val="0"/>
                <w:color w:val="E85B30"/>
                <w:sz w:val="12"/>
              </w:rPr>
              <w:t>•</w:t>
            </w:r>
          </w:p>
        </w:tc>
        <w:tc>
          <w:tcPr>
            <w:tcW w:type="dxa" w:w="102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4" w:after="0"/>
              <w:ind w:left="6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Customer reluctance to pay for training when free alternatives exist</w:t>
            </w:r>
          </w:p>
        </w:tc>
      </w:tr>
      <w:tr>
        <w:trPr>
          <w:trHeight w:hRule="exact" w:val="260"/>
        </w:trPr>
        <w:tc>
          <w:tcPr>
            <w:tcW w:type="dxa" w:w="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26" w:firstLine="0"/>
              <w:jc w:val="right"/>
            </w:pPr>
            <w:r>
              <w:rPr>
                <w:w w:val="95.87158362070718"/>
                <w:rFonts w:ascii="" w:hAnsi="" w:eastAsia=""/>
                <w:b w:val="0"/>
                <w:i w:val="0"/>
                <w:color w:val="68C539"/>
                <w:sz w:val="12"/>
              </w:rPr>
              <w:t>•</w:t>
            </w:r>
          </w:p>
        </w:tc>
        <w:tc>
          <w:tcPr>
            <w:tcW w:type="dxa" w:w="102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8" w:after="0"/>
              <w:ind w:left="6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Low Copilot license penetration due to cost</w:t>
            </w:r>
          </w:p>
        </w:tc>
      </w:tr>
      <w:tr>
        <w:trPr>
          <w:trHeight w:hRule="exact" w:val="280"/>
        </w:trPr>
        <w:tc>
          <w:tcPr>
            <w:tcW w:type="dxa" w:w="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0" w:after="0"/>
              <w:ind w:left="0" w:right="26" w:firstLine="0"/>
              <w:jc w:val="right"/>
            </w:pPr>
            <w:r>
              <w:rPr>
                <w:w w:val="95.87158362070718"/>
                <w:rFonts w:ascii="" w:hAnsi="" w:eastAsia=""/>
                <w:b w:val="0"/>
                <w:i w:val="0"/>
                <w:color w:val="1F9FDF"/>
                <w:sz w:val="12"/>
              </w:rPr>
              <w:t>•</w:t>
            </w:r>
          </w:p>
        </w:tc>
        <w:tc>
          <w:tcPr>
            <w:tcW w:type="dxa" w:w="102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92" w:after="0"/>
              <w:ind w:left="6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Budget constraints keeping most clients in pilot phase</w:t>
            </w:r>
          </w:p>
        </w:tc>
      </w:tr>
      <w:tr>
        <w:trPr>
          <w:trHeight w:hRule="exact" w:val="268"/>
        </w:trPr>
        <w:tc>
          <w:tcPr>
            <w:tcW w:type="dxa" w:w="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2" w:after="0"/>
              <w:ind w:left="0" w:right="26" w:firstLine="0"/>
              <w:jc w:val="right"/>
            </w:pPr>
            <w:r>
              <w:rPr>
                <w:w w:val="95.87158362070718"/>
                <w:rFonts w:ascii="" w:hAnsi="" w:eastAsia=""/>
                <w:b w:val="0"/>
                <w:i w:val="0"/>
                <w:color w:val="F9B71F"/>
                <w:sz w:val="12"/>
              </w:rPr>
              <w:t>•</w:t>
            </w:r>
          </w:p>
        </w:tc>
        <w:tc>
          <w:tcPr>
            <w:tcW w:type="dxa" w:w="1023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6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High webinar attendance but minimal conversion to paid offerings</w:t>
            </w:r>
          </w:p>
        </w:tc>
      </w:tr>
    </w:tbl>
    <w:p>
      <w:pPr>
        <w:autoSpaceDN w:val="0"/>
        <w:autoSpaceDE w:val="0"/>
        <w:widowControl/>
        <w:spacing w:line="206" w:lineRule="auto" w:before="178" w:after="90"/>
        <w:ind w:left="354" w:right="0" w:firstLine="0"/>
        <w:jc w:val="left"/>
      </w:pPr>
      <w:r>
        <w:rPr>
          <w:rFonts w:ascii="" w:hAnsi="" w:eastAsia=""/>
          <w:b w:val="0"/>
          <w:i w:val="0"/>
          <w:color w:val="1C262F"/>
          <w:sz w:val="13"/>
        </w:rPr>
        <w:t>External Validation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1102"/>
      </w:tblGrid>
      <w:tr>
        <w:trPr>
          <w:trHeight w:hRule="exact" w:val="214"/>
        </w:trPr>
        <w:tc>
          <w:tcPr>
            <w:tcW w:type="dxa" w:w="10694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1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External Research Explains the Financial Barrier:</w:t>
            </w:r>
          </w:p>
        </w:tc>
      </w:tr>
      <w:tr>
        <w:trPr>
          <w:trHeight w:hRule="exact" w:val="240"/>
        </w:trPr>
        <w:tc>
          <w:tcPr>
            <w:tcW w:type="dxa" w:w="4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4191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419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4" w:after="0"/>
              <w:ind w:left="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Corporate training spending declined significantly in 2024</w:t>
            </w:r>
          </w:p>
        </w:tc>
        <w:tc>
          <w:tcPr>
            <w:tcW w:type="dxa" w:w="6174"/>
            <w:gridSpan w:val="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24" w:after="0"/>
              <w:ind w:left="22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[222]</w:t>
            </w:r>
          </w:p>
        </w:tc>
      </w:tr>
      <w:tr>
        <w:trPr>
          <w:trHeight w:hRule="exact" w:val="24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34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Per-learner spending decreased 19% from $954 (2023) to $774 (2024)</w:t>
            </w:r>
          </w:p>
        </w:tc>
        <w:tc>
          <w:tcPr>
            <w:tcW w:type="dxa" w:w="4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0" w:after="0"/>
              <w:ind w:left="1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[220]</w:t>
            </w:r>
          </w:p>
        </w:tc>
        <w:tc>
          <w:tcPr>
            <w:tcW w:type="dxa" w:w="4408"/>
            <w:gridSpan w:val="4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39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Training outsourcing spending declined from $322,376 (2023) to $241,311 (2024)</w:t>
            </w:r>
          </w:p>
        </w:tc>
        <w:tc>
          <w:tcPr>
            <w:tcW w:type="dxa" w:w="4408"/>
            <w:gridSpan w:val="4"/>
            <w:vMerge/>
            <w:tcBorders/>
          </w:tcPr>
          <w:p/>
        </w:tc>
      </w:tr>
      <w:tr>
        <w:trPr>
          <w:trHeight w:hRule="exact" w:val="260"/>
        </w:trPr>
        <w:tc>
          <w:tcPr>
            <w:tcW w:type="dxa" w:w="4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4191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419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54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30" w:after="0"/>
              <w:ind w:left="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L&amp;D teams explicitly instructed to "do more with less"</w:t>
            </w:r>
          </w:p>
        </w:tc>
      </w:tr>
      <w:tr>
        <w:trPr>
          <w:trHeight w:hRule="exact" w:val="24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6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43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11% of companies decreased L&amp;D budgets in 2023, with 91% citing economic uncertainty</w:t>
            </w:r>
          </w:p>
        </w:tc>
        <w:tc>
          <w:tcPr>
            <w:tcW w:type="dxa" w:w="577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6" w:after="0"/>
              <w:ind w:left="12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[221]</w:t>
            </w:r>
          </w:p>
        </w:tc>
      </w:tr>
      <w:tr>
        <w:trPr>
          <w:trHeight w:hRule="exact" w:val="32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90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42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Organizations face pressure to prove ROI before securing additional training investment</w:t>
            </w:r>
          </w:p>
        </w:tc>
        <w:tc>
          <w:tcPr>
            <w:tcW w:type="dxa" w:w="5874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0" w:after="0"/>
              <w:ind w:left="2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[222]</w:t>
            </w:r>
          </w:p>
        </w:tc>
      </w:tr>
      <w:tr>
        <w:trPr>
          <w:trHeight w:hRule="exact" w:val="260"/>
        </w:trPr>
        <w:tc>
          <w:tcPr>
            <w:tcW w:type="dxa" w:w="4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6985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698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54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4" w:after="0"/>
              <w:ind w:left="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Abundance of free resources creates pricing pressure</w:t>
            </w:r>
          </w:p>
        </w:tc>
      </w:tr>
      <w:tr>
        <w:trPr>
          <w:trHeight w:hRule="exact" w:val="24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10074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Microsoft Learn provides free Copilot training courses</w:t>
            </w:r>
          </w:p>
        </w:tc>
      </w:tr>
      <w:tr>
        <w:trPr>
          <w:trHeight w:hRule="exact" w:val="24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6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10074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58" w:after="0"/>
              <w:ind w:left="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YouTube contains thousands of free AI tutorials</w:t>
            </w:r>
          </w:p>
        </w:tc>
      </w:tr>
      <w:tr>
        <w:trPr>
          <w:trHeight w:hRule="exact" w:val="24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0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10074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2" w:after="0"/>
              <w:ind w:left="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ChatGPT's own interface provides built-in help and examples</w:t>
            </w:r>
          </w:p>
        </w:tc>
      </w:tr>
      <w:tr>
        <w:trPr>
          <w:trHeight w:hRule="exact" w:val="260"/>
        </w:trPr>
        <w:tc>
          <w:tcPr>
            <w:tcW w:type="dxa" w:w="1102"/>
            <w:vMerge/>
            <w:tcBorders/>
          </w:tcPr>
          <w:p/>
        </w:tc>
        <w:tc>
          <w:tcPr>
            <w:tcW w:type="dxa" w:w="10254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0" w:after="0"/>
              <w:ind w:left="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→ Implication: Paid training must demonstrate clear value beyond free alternatives</w:t>
            </w:r>
          </w:p>
        </w:tc>
      </w:tr>
      <w:tr>
        <w:trPr>
          <w:trHeight w:hRule="exact" w:val="260"/>
        </w:trPr>
        <w:tc>
          <w:tcPr>
            <w:tcW w:type="dxa" w:w="4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5715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6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26" w:after="0"/>
              <w:ind w:left="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Self-paced platforms offer low-cost alternatives</w:t>
            </w:r>
          </w:p>
        </w:tc>
        <w:tc>
          <w:tcPr>
            <w:tcW w:type="dxa" w:w="559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2" w:after="0"/>
              <w:ind w:left="16" w:right="0" w:firstLine="0"/>
              <w:jc w:val="left"/>
            </w:pPr>
            <w:r>
              <w:rPr>
                <w:w w:val="105.66546871334985"/>
                <w:rFonts w:ascii="" w:hAnsi="" w:eastAsia=""/>
                <w:b w:val="0"/>
                <w:i w:val="0"/>
                <w:color w:val="1F9FDF"/>
                <w:sz w:val="8"/>
              </w:rPr>
              <w:t>[211]</w:t>
            </w:r>
          </w:p>
        </w:tc>
      </w:tr>
      <w:tr>
        <w:trPr>
          <w:trHeight w:hRule="exact" w:val="24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2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448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LinkedIn Learning: 300+ AI courses included in $29.99/month LinkedIn Premium subscription</w:t>
            </w:r>
          </w:p>
        </w:tc>
        <w:tc>
          <w:tcPr>
            <w:tcW w:type="dxa" w:w="1102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3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Coursera: 7,000+ AI/ML courses, $399/user/year for business subscription</w:t>
            </w:r>
          </w:p>
        </w:tc>
        <w:tc>
          <w:tcPr>
            <w:tcW w:type="dxa" w:w="88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6" w:after="0"/>
              <w:ind w:left="24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[212]</w:t>
            </w:r>
          </w:p>
        </w:tc>
        <w:tc>
          <w:tcPr>
            <w:tcW w:type="dxa" w:w="1102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0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2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Udemy Business: 500+ AI courses at $30/user/month</w:t>
            </w:r>
          </w:p>
        </w:tc>
        <w:tc>
          <w:tcPr>
            <w:tcW w:type="dxa" w:w="188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0" w:after="0"/>
              <w:ind w:left="12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[213]</w:t>
            </w:r>
          </w:p>
        </w:tc>
        <w:tc>
          <w:tcPr>
            <w:tcW w:type="dxa" w:w="1102"/>
            <w:vMerge/>
            <w:tcBorders/>
          </w:tcPr>
          <w:p/>
        </w:tc>
      </w:tr>
      <w:tr>
        <w:trPr>
          <w:trHeight w:hRule="exact" w:val="260"/>
        </w:trPr>
        <w:tc>
          <w:tcPr>
            <w:tcW w:type="dxa" w:w="4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400" cy="6223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622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54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4" w:after="0"/>
              <w:ind w:left="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Organizations prioritize tools over training</w:t>
            </w:r>
          </w:p>
        </w:tc>
      </w:tr>
      <w:tr>
        <w:trPr>
          <w:trHeight w:hRule="exact" w:val="180"/>
        </w:trPr>
        <w:tc>
          <w:tcPr>
            <w:tcW w:type="dxa" w:w="1102"/>
            <w:vMerge/>
            <w:tcBorders/>
          </w:tcPr>
          <w:p/>
        </w:tc>
        <w:tc>
          <w:tcPr>
            <w:tcW w:type="dxa" w:w="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6" w:after="0"/>
              <w:ind w:left="0" w:right="0" w:firstLine="0"/>
              <w:jc w:val="center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•</w:t>
            </w:r>
          </w:p>
        </w:tc>
        <w:tc>
          <w:tcPr>
            <w:tcW w:type="dxa" w:w="10074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4" w:after="0"/>
              <w:ind w:left="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Nearly three-quarters of CEOs call generative AI a 'top investing priority'... However, more than half of respondents said they're spending more money on new technology than on training current employees.</w:t>
            </w:r>
          </w:p>
        </w:tc>
      </w:tr>
      <w:tr>
        <w:trPr>
          <w:trHeight w:hRule="exact" w:val="780"/>
        </w:trPr>
        <w:tc>
          <w:tcPr>
            <w:tcW w:type="dxa" w:w="1102"/>
            <w:vMerge/>
            <w:tcBorders/>
          </w:tcPr>
          <w:p/>
        </w:tc>
        <w:tc>
          <w:tcPr>
            <w:tcW w:type="dxa" w:w="10254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16" w:after="0"/>
              <w:ind w:left="24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[220]</w:t>
            </w:r>
          </w:p>
          <w:p>
            <w:pPr>
              <w:autoSpaceDN w:val="0"/>
              <w:autoSpaceDE w:val="0"/>
              <w:widowControl/>
              <w:spacing w:line="204" w:lineRule="auto" w:before="276" w:after="0"/>
              <w:ind w:left="18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Note: Post-purchase adoption failures (Challenge 3) demonstrate this prioritization is backwards, but purchasing pattern persists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4.0" w:type="dxa"/>
      </w:tblPr>
      <w:tblGrid>
        <w:gridCol w:w="11022"/>
      </w:tblGrid>
      <w:tr>
        <w:trPr>
          <w:trHeight w:hRule="exact" w:val="266"/>
        </w:trPr>
        <w:tc>
          <w:tcPr>
            <w:tcW w:type="dxa" w:w="10296"/>
            <w:tcBorders/>
            <w:shd w:fill="f0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4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Key Insight: The barrier is not absolute budget constraints but rather inability to justify AI investment when organizations cannot articulate expected ROI. This connects directly to the strategic planning gap (64%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.0" w:type="dxa"/>
      </w:tblPr>
      <w:tblGrid>
        <w:gridCol w:w="11022"/>
      </w:tblGrid>
      <w:tr>
        <w:trPr>
          <w:trHeight w:hRule="exact" w:val="206"/>
        </w:trPr>
        <w:tc>
          <w:tcPr>
            <w:tcW w:type="dxa" w:w="6820"/>
            <w:tcBorders/>
            <w:shd w:fill="f0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25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lack strategic clarity) covered in </w:t>
            </w:r>
            <w:r>
              <w:rPr>
                <w:rFonts w:ascii="" w:hAnsi="" w:eastAsia=""/>
                <w:b w:val="0"/>
                <w:i w:val="0"/>
                <w:color w:val="1F9FDF"/>
                <w:sz w:val="10"/>
              </w:rPr>
              <w:t>Pattern 4, Section 1.2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2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6.0" w:type="dxa"/>
      </w:tblPr>
      <w:tblGrid>
        <w:gridCol w:w="11022"/>
      </w:tblGrid>
      <w:tr>
        <w:trPr>
          <w:trHeight w:hRule="exact" w:val="250"/>
        </w:trPr>
        <w:tc>
          <w:tcPr>
            <w:tcW w:type="dxa" w:w="6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1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3"/>
              </w:rPr>
              <w:t>Strategic Recommendations</w:t>
            </w:r>
          </w:p>
        </w:tc>
      </w:tr>
    </w:tbl>
    <w:p>
      <w:pPr>
        <w:autoSpaceDN w:val="0"/>
        <w:autoSpaceDE w:val="0"/>
        <w:widowControl/>
        <w:spacing w:line="204" w:lineRule="auto" w:before="106" w:after="0"/>
        <w:ind w:left="526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Use ROI calculators and business case templates that help clients justify training investment to leadership</w:t>
      </w:r>
    </w:p>
    <w:p>
      <w:pPr>
        <w:autoSpaceDN w:val="0"/>
        <w:autoSpaceDE w:val="0"/>
        <w:widowControl/>
        <w:spacing w:line="204" w:lineRule="auto" w:before="130" w:after="0"/>
        <w:ind w:left="520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Address the "cannot articulate expected ROI" barrier directly</w:t>
      </w:r>
    </w:p>
    <w:p>
      <w:pPr>
        <w:autoSpaceDN w:val="0"/>
        <w:autoSpaceDE w:val="0"/>
        <w:widowControl/>
        <w:spacing w:line="216" w:lineRule="auto" w:before="130" w:after="0"/>
        <w:ind w:left="640" w:right="0" w:firstLine="0"/>
        <w:jc w:val="left"/>
      </w:pPr>
      <w:r>
        <w:rPr>
          <w:rFonts w:ascii="" w:hAnsi="" w:eastAsia=""/>
          <w:b w:val="0"/>
          <w:i w:val="0"/>
          <w:color w:val="E85B30"/>
          <w:sz w:val="10"/>
        </w:rPr>
        <w:t>•</w:t>
      </w:r>
      <w:r>
        <w:rPr>
          <w:rFonts w:ascii="" w:hAnsi="" w:eastAsia=""/>
          <w:b w:val="0"/>
          <w:i w:val="0"/>
          <w:color w:val="67727E"/>
          <w:sz w:val="10"/>
        </w:rPr>
        <w:t>Many training purchases stall not because clients lack budget, but because they cannot build a compelling internal case for the investment</w:t>
      </w:r>
    </w:p>
    <w:p>
      <w:pPr>
        <w:autoSpaceDN w:val="0"/>
        <w:autoSpaceDE w:val="0"/>
        <w:widowControl/>
        <w:spacing w:line="216" w:lineRule="auto" w:before="110" w:after="54"/>
        <w:ind w:left="640" w:right="0" w:firstLine="0"/>
        <w:jc w:val="left"/>
      </w:pPr>
      <w:r>
        <w:rPr>
          <w:rFonts w:ascii="" w:hAnsi="" w:eastAsia=""/>
          <w:b w:val="0"/>
          <w:i w:val="0"/>
          <w:color w:val="68C539"/>
          <w:sz w:val="10"/>
        </w:rPr>
        <w:t>•</w:t>
      </w:r>
      <w:r>
        <w:rPr>
          <w:rFonts w:ascii="" w:hAnsi="" w:eastAsia=""/>
          <w:b w:val="0"/>
          <w:i w:val="0"/>
          <w:color w:val="67727E"/>
          <w:sz w:val="10"/>
        </w:rPr>
        <w:t>Provide clients with customizable templates that quantify expected productivity gains, time savings, and cost avoidance based on industry benchmarks and case studies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6.0" w:type="dxa"/>
      </w:tblPr>
      <w:tblGrid>
        <w:gridCol w:w="11022"/>
      </w:tblGrid>
      <w:tr>
        <w:trPr>
          <w:trHeight w:hRule="exact" w:val="338"/>
        </w:trPr>
        <w:tc>
          <w:tcPr>
            <w:tcW w:type="dxa" w:w="10492"/>
            <w:tcBorders>
              <w:bottom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1" w:lineRule="auto" w:before="54" w:after="0"/>
              <w:ind w:left="38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F9FDF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Organizations that can articulate AI ROI clearly face significantly less internal resistance to investment approval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284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393700</wp:posOffset>
            </wp:positionH>
            <wp:positionV relativeFrom="page">
              <wp:posOffset>355600</wp:posOffset>
            </wp:positionV>
            <wp:extent cx="6781800" cy="5981700"/>
            <wp:wrapNone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5981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6" w:lineRule="auto" w:before="0" w:after="0"/>
        <w:ind w:left="658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8C539"/>
          <w:sz w:val="9"/>
        </w:rPr>
        <w:t>CHALLENGE 2</w:t>
      </w:r>
    </w:p>
    <w:p>
      <w:pPr>
        <w:autoSpaceDN w:val="0"/>
        <w:autoSpaceDE w:val="0"/>
        <w:widowControl/>
        <w:spacing w:line="206" w:lineRule="auto" w:before="86" w:after="0"/>
        <w:ind w:left="658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Organizational Inertia &amp; Change Resistance</w:t>
      </w:r>
    </w:p>
    <w:p>
      <w:pPr>
        <w:autoSpaceDN w:val="0"/>
        <w:autoSpaceDE w:val="0"/>
        <w:widowControl/>
        <w:spacing w:line="226" w:lineRule="auto" w:before="140" w:after="0"/>
        <w:ind w:left="198" w:right="0" w:firstLine="0"/>
        <w:jc w:val="left"/>
      </w:pPr>
      <w:r>
        <w:rPr>
          <w:rFonts w:ascii="" w:hAnsi="" w:eastAsia=""/>
          <w:b w:val="0"/>
          <w:i w:val="0"/>
          <w:color w:val="68C539"/>
          <w:sz w:val="10"/>
        </w:rPr>
        <w:t>45%</w:t>
      </w:r>
      <w:r>
        <w:rPr>
          <w:rFonts w:ascii="" w:hAnsi="" w:eastAsia=""/>
          <w:b w:val="0"/>
          <w:i w:val="0"/>
          <w:color w:val="1C262F"/>
          <w:sz w:val="10"/>
        </w:rPr>
        <w:t xml:space="preserve"> of enterprises report leadership reluctance and conservative culture as barriers</w:t>
      </w:r>
    </w:p>
    <w:p>
      <w:pPr>
        <w:autoSpaceDN w:val="0"/>
        <w:autoSpaceDE w:val="0"/>
        <w:widowControl/>
        <w:spacing w:line="206" w:lineRule="auto" w:before="236" w:after="0"/>
        <w:ind w:left="198" w:right="0" w:firstLine="0"/>
        <w:jc w:val="left"/>
      </w:pPr>
      <w:r>
        <w:rPr>
          <w:rFonts w:ascii="" w:hAnsi="" w:eastAsia=""/>
          <w:b w:val="0"/>
          <w:i w:val="0"/>
          <w:color w:val="1C262F"/>
          <w:sz w:val="13"/>
        </w:rPr>
        <w:t>Research findings:</w:t>
      </w:r>
    </w:p>
    <w:p>
      <w:pPr>
        <w:autoSpaceDN w:val="0"/>
        <w:autoSpaceDE w:val="0"/>
        <w:widowControl/>
        <w:spacing w:line="216" w:lineRule="auto" w:before="176" w:after="0"/>
        <w:ind w:left="370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E85B30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Reluctance from leadership and security concerns</w:t>
      </w:r>
    </w:p>
    <w:p>
      <w:pPr>
        <w:autoSpaceDN w:val="0"/>
        <w:autoSpaceDE w:val="0"/>
        <w:widowControl/>
        <w:spacing w:line="211" w:lineRule="auto" w:before="126" w:after="0"/>
        <w:ind w:left="370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8C539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Lack of vision and communication from leadership groups</w:t>
      </w:r>
    </w:p>
    <w:p>
      <w:pPr>
        <w:autoSpaceDN w:val="0"/>
        <w:autoSpaceDE w:val="0"/>
        <w:widowControl/>
        <w:spacing w:line="211" w:lineRule="auto" w:before="126" w:after="0"/>
        <w:ind w:left="370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F9FDF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Fear around security and lack of clear value creation</w:t>
      </w:r>
    </w:p>
    <w:p>
      <w:pPr>
        <w:autoSpaceDN w:val="0"/>
        <w:autoSpaceDE w:val="0"/>
        <w:widowControl/>
        <w:spacing w:line="216" w:lineRule="auto" w:before="126" w:after="0"/>
        <w:ind w:left="370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F9B71F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Conservative mindset and concerns over disruption</w:t>
      </w:r>
    </w:p>
    <w:p>
      <w:pPr>
        <w:autoSpaceDN w:val="0"/>
        <w:autoSpaceDE w:val="0"/>
        <w:widowControl/>
        <w:spacing w:line="216" w:lineRule="auto" w:before="124" w:after="0"/>
        <w:ind w:left="370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E85B30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Worries about job displacement</w:t>
      </w:r>
    </w:p>
    <w:p>
      <w:pPr>
        <w:autoSpaceDN w:val="0"/>
        <w:autoSpaceDE w:val="0"/>
        <w:widowControl/>
        <w:spacing w:line="233" w:lineRule="auto" w:before="114" w:after="0"/>
        <w:ind w:left="370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8C539"/>
          <w:sz w:val="12"/>
        </w:rPr>
        <w:t>•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General fear and lack of trust in AI</w:t>
      </w:r>
    </w:p>
    <w:p>
      <w:pPr>
        <w:autoSpaceDN w:val="0"/>
        <w:autoSpaceDE w:val="0"/>
        <w:widowControl/>
        <w:spacing w:line="206" w:lineRule="auto" w:before="238" w:after="0"/>
        <w:ind w:left="198" w:right="0" w:firstLine="0"/>
        <w:jc w:val="left"/>
      </w:pPr>
      <w:r>
        <w:rPr>
          <w:rFonts w:ascii="" w:hAnsi="" w:eastAsia=""/>
          <w:b w:val="0"/>
          <w:i w:val="0"/>
          <w:color w:val="1C262F"/>
          <w:sz w:val="13"/>
        </w:rPr>
        <w:t>External Validation</w:t>
      </w:r>
    </w:p>
    <w:p>
      <w:pPr>
        <w:autoSpaceDN w:val="0"/>
        <w:autoSpaceDE w:val="0"/>
        <w:widowControl/>
        <w:spacing w:line="209" w:lineRule="auto" w:before="148" w:after="0"/>
        <w:ind w:left="19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External Research Confirms Change Management is Critical Barrier:</w:t>
      </w:r>
    </w:p>
    <w:p>
      <w:pPr>
        <w:autoSpaceDN w:val="0"/>
        <w:autoSpaceDE w:val="0"/>
        <w:widowControl/>
        <w:spacing w:line="209" w:lineRule="auto" w:before="158" w:after="0"/>
        <w:ind w:left="514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Leadership vision gap</w:t>
      </w:r>
    </w:p>
    <w:p>
      <w:pPr>
        <w:autoSpaceDN w:val="0"/>
        <w:autoSpaceDE w:val="0"/>
        <w:widowControl/>
        <w:spacing w:line="238" w:lineRule="auto" w:before="100" w:after="0"/>
        <w:ind w:left="51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• </w:t>
      </w:r>
      <w:r>
        <w:rPr>
          <w:rFonts w:ascii="" w:hAnsi="" w:eastAsia=""/>
          <w:b w:val="0"/>
          <w:i w:val="0"/>
          <w:color w:val="67727E"/>
          <w:sz w:val="10"/>
        </w:rPr>
        <w:t>Only 5% of companies qualify as "future-built" for AI, systematically generating substantial value; 35% are scaling and beginning to generate value; the remaining 60% have yet to cross from experimentation</w:t>
      </w:r>
    </w:p>
    <w:p>
      <w:pPr>
        <w:autoSpaceDN w:val="0"/>
        <w:autoSpaceDE w:val="0"/>
        <w:widowControl/>
        <w:spacing w:line="274" w:lineRule="auto" w:before="0" w:after="0"/>
        <w:ind w:left="62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to measurable impact (BCG Build for the Future 2025, n=1,250)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[396]</w:t>
      </w:r>
    </w:p>
    <w:p>
      <w:pPr>
        <w:autoSpaceDN w:val="0"/>
        <w:autoSpaceDE w:val="0"/>
        <w:widowControl/>
        <w:spacing w:line="242" w:lineRule="auto" w:before="72" w:after="0"/>
        <w:ind w:left="0" w:right="0" w:firstLine="0"/>
        <w:jc w:val="center"/>
      </w:pPr>
      <w:r>
        <w:rPr>
          <w:rFonts w:ascii="" w:hAnsi="" w:eastAsia=""/>
          <w:b w:val="0"/>
          <w:i w:val="0"/>
          <w:color w:val="67727E"/>
          <w:sz w:val="10"/>
        </w:rPr>
        <w:t xml:space="preserve">• </w:t>
      </w:r>
      <w:r>
        <w:rPr>
          <w:rFonts w:ascii="" w:hAnsi="" w:eastAsia=""/>
          <w:b w:val="0"/>
          <w:i w:val="0"/>
          <w:color w:val="67727E"/>
          <w:sz w:val="10"/>
        </w:rPr>
        <w:t>Despite 80% of CEOs expressing optimism about AI ROI, only 1% describe their AI rollouts as 'mature,' and 60% admit they have intentionally slowed implementation due to concerns over errors (BCG AI</w:t>
      </w:r>
    </w:p>
    <w:p>
      <w:pPr>
        <w:autoSpaceDN w:val="0"/>
        <w:autoSpaceDE w:val="0"/>
        <w:widowControl/>
        <w:spacing w:line="271" w:lineRule="auto" w:before="0" w:after="0"/>
        <w:ind w:left="62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Radar 2026, n=2,400 executives including 640 CEOs)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[519]</w:t>
      </w:r>
    </w:p>
    <w:p>
      <w:pPr>
        <w:autoSpaceDN w:val="0"/>
        <w:autoSpaceDE w:val="0"/>
        <w:widowControl/>
        <w:spacing w:line="204" w:lineRule="auto" w:before="216" w:after="34"/>
        <w:ind w:left="514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Job displacement fears create resistance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571"/>
        <w:gridCol w:w="3571"/>
        <w:gridCol w:w="3571"/>
      </w:tblGrid>
      <w:tr>
        <w:trPr>
          <w:trHeight w:hRule="exact" w:val="188"/>
        </w:trPr>
        <w:tc>
          <w:tcPr>
            <w:tcW w:type="dxa" w:w="6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8" w:after="0"/>
              <w:ind w:left="2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72% of workers worry AI will negatively impact salary or pay; 67% fear losing out on promotions for not knowing how to use AI</w:t>
            </w:r>
          </w:p>
        </w:tc>
        <w:tc>
          <w:tcPr>
            <w:tcW w:type="dxa" w:w="2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6" w:after="0"/>
              <w:ind w:left="26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[398]</w:t>
            </w:r>
          </w:p>
        </w:tc>
      </w:tr>
      <w:tr>
        <w:trPr>
          <w:trHeight w:hRule="exact" w:val="244"/>
        </w:trPr>
        <w:tc>
          <w:tcPr>
            <w:tcW w:type="dxa" w:w="5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6" w:after="0"/>
              <w:ind w:left="2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53% of workers worry that using AI for work tasks would make them look replaceable to their employers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4" w:after="0"/>
              <w:ind w:left="1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>[397]</w:t>
            </w:r>
          </w:p>
        </w:tc>
        <w:tc>
          <w:tcPr>
            <w:tcW w:type="dxa" w:w="357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152" w:after="0"/>
        <w:ind w:left="514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Security and trust concerns</w:t>
      </w:r>
    </w:p>
    <w:p>
      <w:pPr>
        <w:autoSpaceDN w:val="0"/>
        <w:autoSpaceDE w:val="0"/>
        <w:widowControl/>
        <w:spacing w:line="242" w:lineRule="auto" w:before="100" w:after="0"/>
        <w:ind w:left="51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• </w:t>
      </w:r>
      <w:r>
        <w:rPr>
          <w:rFonts w:ascii="" w:hAnsi="" w:eastAsia=""/>
          <w:b w:val="0"/>
          <w:i w:val="0"/>
          <w:color w:val="67727E"/>
          <w:sz w:val="10"/>
        </w:rPr>
        <w:t>Only 5% of companies are 'future-built' for AI, with the remaining 95% lacking the organizational capabilities — including governance and responsible AI skills — to realize substantial value (BCG Build for the</w:t>
      </w:r>
    </w:p>
    <w:p>
      <w:pPr>
        <w:autoSpaceDN w:val="0"/>
        <w:autoSpaceDE w:val="0"/>
        <w:widowControl/>
        <w:spacing w:line="271" w:lineRule="auto" w:before="0" w:after="0"/>
        <w:ind w:left="62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Future 2025); approximately 70% of organizational change initiatives fail, with employee resistance and unsupportive management behavior as the top failure modes (McKinsey)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[520]</w:t>
      </w:r>
    </w:p>
    <w:p>
      <w:pPr>
        <w:autoSpaceDN w:val="0"/>
        <w:autoSpaceDE w:val="0"/>
        <w:widowControl/>
        <w:spacing w:line="204" w:lineRule="auto" w:before="216" w:after="0"/>
        <w:ind w:left="514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Change management is underinvested</w:t>
      </w:r>
    </w:p>
    <w:p>
      <w:pPr>
        <w:autoSpaceDN w:val="0"/>
        <w:autoSpaceDE w:val="0"/>
        <w:widowControl/>
        <w:spacing w:line="242" w:lineRule="auto" w:before="102" w:after="0"/>
        <w:ind w:left="51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• </w:t>
      </w:r>
      <w:r>
        <w:rPr>
          <w:rFonts w:ascii="" w:hAnsi="" w:eastAsia=""/>
          <w:b w:val="0"/>
          <w:i w:val="0"/>
          <w:color w:val="67727E"/>
          <w:sz w:val="10"/>
        </w:rPr>
        <w:t>BCG's 10-20-70 rule for AI transformations: only ~10% of impact comes from algorithms and ~20% from technology and data; the remaining 70% comes from people, process, and adoption — which is where</w:t>
      </w:r>
    </w:p>
    <w:p>
      <w:pPr>
        <w:autoSpaceDN w:val="0"/>
        <w:autoSpaceDE w:val="0"/>
        <w:widowControl/>
        <w:spacing w:line="271" w:lineRule="auto" w:before="0" w:after="0"/>
        <w:ind w:left="62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 xml:space="preserve">most programs under-invest </w:t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[400]</w:t>
      </w:r>
    </w:p>
    <w:p>
      <w:pPr>
        <w:autoSpaceDN w:val="0"/>
        <w:tabs>
          <w:tab w:pos="6540" w:val="left"/>
        </w:tabs>
        <w:autoSpaceDE w:val="0"/>
        <w:widowControl/>
        <w:spacing w:line="245" w:lineRule="auto" w:before="40" w:after="0"/>
        <w:ind w:left="514" w:right="3888" w:firstLine="0"/>
        <w:jc w:val="left"/>
      </w:pPr>
      <w:r>
        <w:tab/>
      </w:r>
      <w:r>
        <w:rPr>
          <w:w w:val="95.87158626980252"/>
          <w:rFonts w:ascii="" w:hAnsi="" w:eastAsia=""/>
          <w:b w:val="0"/>
          <w:i w:val="0"/>
          <w:color w:val="1F9FDF"/>
          <w:sz w:val="9"/>
        </w:rPr>
        <w:t>[400]</w:t>
      </w:r>
      <w:r>
        <w:rPr>
          <w:rFonts w:ascii="" w:hAnsi="" w:eastAsia=""/>
          <w:b w:val="0"/>
          <w:i w:val="0"/>
          <w:color w:val="67727E"/>
          <w:sz w:val="10"/>
        </w:rPr>
        <w:t xml:space="preserve">• </w:t>
      </w:r>
      <w:r>
        <w:rPr>
          <w:rFonts w:ascii="" w:hAnsi="" w:eastAsia=""/>
          <w:b w:val="0"/>
          <w:i w:val="0"/>
          <w:color w:val="67727E"/>
          <w:sz w:val="10"/>
        </w:rPr>
        <w:t>Only about one-third of companies in late 2024 were prioritizing change management and training as part of their AI rollouts</w:t>
      </w:r>
    </w:p>
    <w:p>
      <w:pPr>
        <w:autoSpaceDN w:val="0"/>
        <w:autoSpaceDE w:val="0"/>
        <w:widowControl/>
        <w:spacing w:line="204" w:lineRule="auto" w:before="328" w:after="0"/>
        <w:ind w:left="312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Key Insight: External research validates that organizational resistance stems from legitimate concerns (security, job displacement, risk). Leadership inertia and underinvestment in change management are the</w:t>
      </w:r>
    </w:p>
    <w:p>
      <w:pPr>
        <w:autoSpaceDN w:val="0"/>
        <w:autoSpaceDE w:val="0"/>
        <w:widowControl/>
        <w:spacing w:line="204" w:lineRule="auto" w:before="44" w:after="0"/>
        <w:ind w:left="312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primary barriers.</w:t>
      </w:r>
    </w:p>
    <w:p>
      <w:pPr>
        <w:autoSpaceDN w:val="0"/>
        <w:autoSpaceDE w:val="0"/>
        <w:widowControl/>
        <w:spacing w:line="206" w:lineRule="auto" w:before="410" w:after="0"/>
        <w:ind w:left="198" w:right="0" w:firstLine="0"/>
        <w:jc w:val="left"/>
      </w:pPr>
      <w:r>
        <w:rPr>
          <w:rFonts w:ascii="" w:hAnsi="" w:eastAsia=""/>
          <w:b w:val="0"/>
          <w:i w:val="0"/>
          <w:color w:val="1C262F"/>
          <w:sz w:val="13"/>
        </w:rPr>
        <w:t>Strategic Recommendations</w:t>
      </w:r>
    </w:p>
    <w:p>
      <w:pPr>
        <w:autoSpaceDN w:val="0"/>
        <w:autoSpaceDE w:val="0"/>
        <w:widowControl/>
        <w:spacing w:line="209" w:lineRule="auto" w:before="164" w:after="0"/>
        <w:ind w:left="370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"Change Readiness Assessment" frameworks help diagnose where resistance lives in an organization</w:t>
      </w:r>
    </w:p>
    <w:p>
      <w:pPr>
        <w:autoSpaceDN w:val="0"/>
        <w:autoSpaceDE w:val="0"/>
        <w:widowControl/>
        <w:spacing w:line="209" w:lineRule="auto" w:before="128" w:after="0"/>
        <w:ind w:left="36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Is it leadership vision gap, middle management fear, frontline job anxiety, or IT security concerns? Different root causes require different interventions.</w:t>
      </w:r>
    </w:p>
    <w:p>
      <w:pPr>
        <w:autoSpaceDN w:val="0"/>
        <w:autoSpaceDE w:val="0"/>
        <w:widowControl/>
        <w:spacing w:line="216" w:lineRule="auto" w:before="130" w:after="0"/>
        <w:ind w:left="484" w:right="0" w:firstLine="0"/>
        <w:jc w:val="left"/>
      </w:pPr>
      <w:r>
        <w:rPr>
          <w:rFonts w:ascii="" w:hAnsi="" w:eastAsia=""/>
          <w:b w:val="0"/>
          <w:i w:val="0"/>
          <w:color w:val="E85B30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Leadership vision gap →</w:t>
      </w:r>
      <w:r>
        <w:rPr>
          <w:rFonts w:ascii="" w:hAnsi="" w:eastAsia=""/>
          <w:b w:val="0"/>
          <w:i w:val="0"/>
          <w:color w:val="67727E"/>
          <w:sz w:val="10"/>
        </w:rPr>
        <w:t xml:space="preserve"> Executive education and strategic alignment workshops</w:t>
      </w:r>
    </w:p>
    <w:p>
      <w:pPr>
        <w:autoSpaceDN w:val="0"/>
        <w:autoSpaceDE w:val="0"/>
        <w:widowControl/>
        <w:spacing w:line="221" w:lineRule="auto" w:before="108" w:after="0"/>
        <w:ind w:left="484" w:right="0" w:firstLine="0"/>
        <w:jc w:val="left"/>
      </w:pPr>
      <w:r>
        <w:rPr>
          <w:rFonts w:ascii="" w:hAnsi="" w:eastAsia=""/>
          <w:b w:val="0"/>
          <w:i w:val="0"/>
          <w:color w:val="68C539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Middle management resistance →</w:t>
      </w:r>
      <w:r>
        <w:rPr>
          <w:rFonts w:ascii="" w:hAnsi="" w:eastAsia=""/>
          <w:b w:val="0"/>
          <w:i w:val="0"/>
          <w:color w:val="67727E"/>
          <w:sz w:val="10"/>
        </w:rPr>
        <w:t xml:space="preserve"> ROI evidence and "what's in it for me" messaging</w:t>
      </w:r>
    </w:p>
    <w:p>
      <w:pPr>
        <w:autoSpaceDN w:val="0"/>
        <w:autoSpaceDE w:val="0"/>
        <w:widowControl/>
        <w:spacing w:line="216" w:lineRule="auto" w:before="110" w:after="0"/>
        <w:ind w:left="484" w:right="0" w:firstLine="0"/>
        <w:jc w:val="left"/>
      </w:pPr>
      <w:r>
        <w:rPr>
          <w:rFonts w:ascii="" w:hAnsi="" w:eastAsia=""/>
          <w:b w:val="0"/>
          <w:i w:val="0"/>
          <w:color w:val="1F9FDF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Frontline anxiety →</w:t>
      </w:r>
      <w:r>
        <w:rPr>
          <w:rFonts w:ascii="" w:hAnsi="" w:eastAsia=""/>
          <w:b w:val="0"/>
          <w:i w:val="0"/>
          <w:color w:val="67727E"/>
          <w:sz w:val="10"/>
        </w:rPr>
        <w:t xml:space="preserve"> Hands-on skill building and job security reassurance</w:t>
      </w:r>
    </w:p>
    <w:p>
      <w:pPr>
        <w:autoSpaceDN w:val="0"/>
        <w:autoSpaceDE w:val="0"/>
        <w:widowControl/>
        <w:spacing w:line="216" w:lineRule="auto" w:before="108" w:after="0"/>
        <w:ind w:left="484" w:right="0" w:firstLine="0"/>
        <w:jc w:val="left"/>
      </w:pPr>
      <w:r>
        <w:rPr>
          <w:rFonts w:ascii="" w:hAnsi="" w:eastAsia=""/>
          <w:b w:val="0"/>
          <w:i w:val="0"/>
          <w:color w:val="F9B71F"/>
          <w:sz w:val="10"/>
        </w:rPr>
        <w:t>•</w:t>
      </w:r>
      <w:r>
        <w:rPr>
          <w:rFonts w:ascii="" w:hAnsi="" w:eastAsia=""/>
          <w:b w:val="0"/>
          <w:i w:val="0"/>
          <w:color w:val="1C262F"/>
          <w:sz w:val="10"/>
        </w:rPr>
        <w:t>IT security concerns →</w:t>
      </w:r>
      <w:r>
        <w:rPr>
          <w:rFonts w:ascii="" w:hAnsi="" w:eastAsia=""/>
          <w:b w:val="0"/>
          <w:i w:val="0"/>
          <w:color w:val="67727E"/>
          <w:sz w:val="10"/>
        </w:rPr>
        <w:t xml:space="preserve"> Governance frameworks and risk mitigation plans</w:t>
      </w:r>
    </w:p>
    <w:p>
      <w:pPr>
        <w:autoSpaceDN w:val="0"/>
        <w:autoSpaceDE w:val="0"/>
        <w:widowControl/>
        <w:spacing w:line="204" w:lineRule="auto" w:before="140" w:after="0"/>
        <w:ind w:left="364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Key Insight: Without accurate diagnosis, organizations waste resources addressing symptoms rather than causes—resulting in AI investments that fail to achieve adoption and value realization.</w:t>
      </w:r>
    </w:p>
    <w:p>
      <w:pPr>
        <w:autoSpaceDN w:val="0"/>
        <w:autoSpaceDE w:val="0"/>
        <w:widowControl/>
        <w:spacing w:line="206" w:lineRule="auto" w:before="456" w:after="0"/>
        <w:ind w:left="18" w:right="0" w:firstLine="0"/>
        <w:jc w:val="left"/>
      </w:pPr>
      <w:r>
        <w:rPr>
          <w:w w:val="102.71955217633928"/>
          <w:rFonts w:ascii="" w:hAnsi="" w:eastAsia=""/>
          <w:b w:val="0"/>
          <w:i w:val="0"/>
          <w:color w:val="1C262F"/>
          <w:sz w:val="14"/>
        </w:rPr>
        <w:t>Additional Barriers Covered Elsewhere</w:t>
      </w:r>
    </w:p>
    <w:p>
      <w:pPr>
        <w:autoSpaceDN w:val="0"/>
        <w:autoSpaceDE w:val="0"/>
        <w:widowControl/>
        <w:spacing w:line="204" w:lineRule="auto" w:before="112" w:after="184"/>
        <w:ind w:left="18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Several other barriers to AI adoption emerged from research and are analyzed in their respective sections: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320"/>
        </w:trPr>
        <w:tc>
          <w:tcPr>
            <w:tcW w:type="dxa" w:w="10492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Post-Purchase Adoption Failure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714"/>
      </w:tblGrid>
      <w:tr>
        <w:trPr>
          <w:trHeight w:hRule="exact" w:val="196"/>
        </w:trPr>
        <w:tc>
          <w:tcPr>
            <w:tcW w:type="dxa" w:w="1069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42" w:after="0"/>
              <w:ind w:left="16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C262F"/>
                <w:sz w:val="9"/>
              </w:rPr>
              <w:t>60%</w:t>
            </w: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 xml:space="preserve"> of Copilot licenses go unused within 90 days of deployment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316"/>
        </w:trPr>
        <w:tc>
          <w:tcPr>
            <w:tcW w:type="dxa" w:w="10492"/>
            <w:tcBorders>
              <w:bottom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6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See Demand Pattern 3 (Section 2) →</w:t>
            </w:r>
          </w:p>
        </w:tc>
      </w:tr>
    </w:tbl>
    <w:p>
      <w:pPr>
        <w:autoSpaceDN w:val="0"/>
        <w:autoSpaceDE w:val="0"/>
        <w:widowControl/>
        <w:spacing w:line="1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320"/>
        </w:trPr>
        <w:tc>
          <w:tcPr>
            <w:tcW w:type="dxa" w:w="10492"/>
            <w:tcBorders>
              <w:top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7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Knowledge &amp; Skills Gaps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0714"/>
      </w:tblGrid>
      <w:tr>
        <w:trPr>
          <w:trHeight w:hRule="exact" w:val="196"/>
        </w:trPr>
        <w:tc>
          <w:tcPr>
            <w:tcW w:type="dxa" w:w="690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42" w:after="0"/>
              <w:ind w:left="8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C262F"/>
                <w:sz w:val="9"/>
              </w:rPr>
              <w:t>45%</w:t>
            </w: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 xml:space="preserve"> of enterprises cite knowledge/skills gaps as a primary adoption barrier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316"/>
        </w:trPr>
        <w:tc>
          <w:tcPr>
            <w:tcW w:type="dxa" w:w="10492"/>
            <w:tcBorders>
              <w:bottom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6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See Pattern 2 (Section 1.2) →</w:t>
            </w:r>
          </w:p>
        </w:tc>
      </w:tr>
    </w:tbl>
    <w:p>
      <w:pPr>
        <w:autoSpaceDN w:val="0"/>
        <w:autoSpaceDE w:val="0"/>
        <w:widowControl/>
        <w:spacing w:line="1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322"/>
        </w:trPr>
        <w:tc>
          <w:tcPr>
            <w:tcW w:type="dxa" w:w="10492"/>
            <w:tcBorders>
              <w:top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Strategic Planning Gap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0714"/>
      </w:tblGrid>
      <w:tr>
        <w:trPr>
          <w:trHeight w:hRule="exact" w:val="194"/>
        </w:trPr>
        <w:tc>
          <w:tcPr>
            <w:tcW w:type="dxa" w:w="714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40" w:after="0"/>
              <w:ind w:left="8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C262F"/>
                <w:sz w:val="9"/>
              </w:rPr>
              <w:t>64%</w:t>
            </w: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 xml:space="preserve"> of enterprises lack strategic clarity on AI goals — the most frequently cited barrier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316"/>
        </w:trPr>
        <w:tc>
          <w:tcPr>
            <w:tcW w:type="dxa" w:w="10492"/>
            <w:tcBorders>
              <w:bottom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6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See Pattern 4 (Section 1.2) →</w:t>
            </w:r>
          </w:p>
        </w:tc>
      </w:tr>
    </w:tbl>
    <w:p>
      <w:pPr>
        <w:autoSpaceDN w:val="0"/>
        <w:autoSpaceDE w:val="0"/>
        <w:widowControl/>
        <w:spacing w:line="1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320"/>
        </w:trPr>
        <w:tc>
          <w:tcPr>
            <w:tcW w:type="dxa" w:w="10492"/>
            <w:tcBorders>
              <w:top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6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Financial Constraints &amp; SME Barriers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0714"/>
      </w:tblGrid>
      <w:tr>
        <w:trPr>
          <w:trHeight w:hRule="exact" w:val="196"/>
        </w:trPr>
        <w:tc>
          <w:tcPr>
            <w:tcW w:type="dxa" w:w="7380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0" w:after="0"/>
              <w:ind w:left="8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The size-class divide in AI adoption has widened, not narrowed, despite overall market acceleration</w:t>
            </w:r>
          </w:p>
        </w:tc>
      </w:tr>
    </w:tbl>
    <w:p>
      <w:pPr>
        <w:autoSpaceDN w:val="0"/>
        <w:autoSpaceDE w:val="0"/>
        <w:widowControl/>
        <w:spacing w:line="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316"/>
        </w:trPr>
        <w:tc>
          <w:tcPr>
            <w:tcW w:type="dxa" w:w="10492"/>
            <w:tcBorders>
              <w:bottom w:sz="2.876147508621216" w:val="single" w:color="#E0E5EA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6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See Pattern 1 (Section 1.2) →</w:t>
            </w:r>
          </w:p>
        </w:tc>
      </w:tr>
    </w:tbl>
    <w:p>
      <w:pPr>
        <w:autoSpaceDN w:val="0"/>
        <w:autoSpaceDE w:val="0"/>
        <w:widowControl/>
        <w:spacing w:line="1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326"/>
        </w:trPr>
        <w:tc>
          <w:tcPr>
            <w:tcW w:type="dxa" w:w="10492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7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Regulated Industry Caution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714"/>
      </w:tblGrid>
      <w:tr>
        <w:trPr>
          <w:trHeight w:hRule="exact" w:val="192"/>
        </w:trPr>
        <w:tc>
          <w:tcPr>
            <w:tcW w:type="dxa" w:w="10694"/>
            <w:tcBorders/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44" w:after="0"/>
              <w:ind w:left="16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Regulated sectors show distinct adoption patterns characterized by heightened caution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714"/>
      </w:tblGrid>
      <w:tr>
        <w:trPr>
          <w:trHeight w:hRule="exact" w:val="296"/>
        </w:trPr>
        <w:tc>
          <w:tcPr>
            <w:tcW w:type="dxa" w:w="10492"/>
            <w:tcBorders>
              <w:bottom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6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See Pattern 3 (Section 1.2) →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402" w:right="584" w:bottom="594" w:left="6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8"/>
        <w:ind w:left="0" w:right="0"/>
      </w:pPr>
    </w:p>
    <w:p>
      <w:pPr>
        <w:autoSpaceDN w:val="0"/>
        <w:autoSpaceDE w:val="0"/>
        <w:widowControl/>
        <w:spacing w:line="262" w:lineRule="auto" w:before="0" w:after="508"/>
        <w:ind w:left="174" w:right="7200" w:firstLine="0"/>
        <w:jc w:val="left"/>
      </w:pPr>
      <w:r>
        <w:rPr>
          <w:rFonts w:ascii="" w:hAnsi="" w:eastAsia=""/>
          <w:b w:val="0"/>
          <w:i w:val="0"/>
          <w:color w:val="1C262F"/>
          <w:sz w:val="26"/>
        </w:rPr>
        <w:t xml:space="preserve">AI Adoption by Industry </w:t>
      </w:r>
      <w:r>
        <w:br/>
      </w:r>
      <w:r>
        <w:rPr>
          <w:rFonts w:ascii="" w:hAnsi="" w:eastAsia=""/>
          <w:b w:val="0"/>
          <w:i w:val="0"/>
          <w:color w:val="67727E"/>
          <w:sz w:val="13"/>
        </w:rPr>
        <w:t>Sector-specific adoption patterns, use cases, and barriers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6.0" w:type="dxa"/>
      </w:tblPr>
      <w:tblGrid>
        <w:gridCol w:w="2755"/>
        <w:gridCol w:w="2755"/>
        <w:gridCol w:w="2755"/>
        <w:gridCol w:w="2755"/>
      </w:tblGrid>
      <w:tr>
        <w:trPr>
          <w:trHeight w:hRule="exact" w:val="554"/>
        </w:trPr>
        <w:tc>
          <w:tcPr>
            <w:tcW w:type="dxa" w:w="330"/>
            <w:tcBorders>
              <w:bottom w:sz="23.199999999999932" w:val="single" w:color="#68C53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0500" cy="2032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6"/>
            <w:tcBorders>
              <w:bottom w:sz="23.199999999999932" w:val="single" w:color="#68C53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76" w:after="0"/>
              <w:ind w:left="44" w:right="3312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3"/>
              </w:rPr>
              <w:t xml:space="preserve">Financial Services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F9FDF"/>
                <w:sz w:val="12"/>
              </w:rPr>
              <w:t>72% adoption</w:t>
            </w:r>
          </w:p>
        </w:tc>
        <w:tc>
          <w:tcPr>
            <w:tcW w:type="dxa" w:w="834"/>
            <w:tcBorders>
              <w:bottom w:sz="23.199999999999932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2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90500" cy="2032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0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82"/>
            <w:tcBorders>
              <w:bottom w:sz="23.199999999999932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76" w:after="0"/>
              <w:ind w:left="58" w:right="288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3"/>
              </w:rPr>
              <w:t xml:space="preserve">Healthcare &amp; Life Sciences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68C539"/>
                <w:sz w:val="12"/>
              </w:rPr>
              <w:t>65% adoption</w:t>
            </w:r>
          </w:p>
        </w:tc>
      </w:tr>
      <w:tr>
        <w:trPr>
          <w:trHeight w:hRule="exact" w:val="1412"/>
        </w:trPr>
        <w:tc>
          <w:tcPr>
            <w:tcW w:type="dxa" w:w="4896"/>
            <w:gridSpan w:val="2"/>
            <w:tcBorders>
              <w:top w:sz="23.199999999999932" w:val="single" w:color="#68C539"/>
              <w:bottom w:sz="3.2000000000000455" w:val="single" w:color="#E0E5EA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26" w:after="0"/>
              <w:ind w:left="0" w:right="3312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TOP USE CASES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Fraud detection &amp; prevention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Credit risk assessment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Customer service automation</w:t>
            </w:r>
          </w:p>
          <w:p>
            <w:pPr>
              <w:autoSpaceDN w:val="0"/>
              <w:autoSpaceDE w:val="0"/>
              <w:widowControl/>
              <w:spacing w:line="312" w:lineRule="auto" w:before="118" w:after="0"/>
              <w:ind w:left="0" w:right="3456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KEY BARRIERS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Regulatory complexity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Data privacy requirements</w:t>
            </w:r>
          </w:p>
        </w:tc>
        <w:tc>
          <w:tcPr>
            <w:tcW w:type="dxa" w:w="5416"/>
            <w:gridSpan w:val="2"/>
            <w:tcBorders>
              <w:top w:sz="23.199999999999932" w:val="single" w:color="#F0F2F4"/>
              <w:bottom w:sz="3.2000000000000455" w:val="single" w:color="#E0E5EA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26" w:after="0"/>
              <w:ind w:left="518" w:right="3312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TOP USE CASES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Diagnostic imaging analysis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Drug discovery acceleration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Clinical documentation</w:t>
            </w:r>
          </w:p>
          <w:p>
            <w:pPr>
              <w:autoSpaceDN w:val="0"/>
              <w:autoSpaceDE w:val="0"/>
              <w:widowControl/>
              <w:spacing w:line="312" w:lineRule="auto" w:before="118" w:after="0"/>
              <w:ind w:left="518" w:right="3168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KEY BARRIERS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HIPAA/regulatory compliance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Clinical validation requirements</w:t>
            </w:r>
          </w:p>
        </w:tc>
      </w:tr>
      <w:tr>
        <w:trPr>
          <w:trHeight w:hRule="exact" w:val="434"/>
        </w:trPr>
        <w:tc>
          <w:tcPr>
            <w:tcW w:type="dxa" w:w="4896"/>
            <w:gridSpan w:val="2"/>
            <w:tcBorders>
              <w:top w:sz="3.2000000000000455" w:val="single" w:color="#E0E5EA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8" w:after="0"/>
              <w:ind w:left="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Highest AI investment intensity; regulatory pressure driving governance maturity</w:t>
            </w:r>
          </w:p>
        </w:tc>
        <w:tc>
          <w:tcPr>
            <w:tcW w:type="dxa" w:w="5416"/>
            <w:gridSpan w:val="2"/>
            <w:tcBorders>
              <w:top w:sz="3.2000000000000455" w:val="single" w:color="#E0E5EA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8" w:after="0"/>
              <w:ind w:left="514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Rapid growth in administrative AI; clinical AI adoption slower due to validation requirements</w:t>
            </w:r>
          </w:p>
        </w:tc>
      </w:tr>
      <w:tr>
        <w:trPr>
          <w:trHeight w:hRule="exact" w:val="778"/>
        </w:trPr>
        <w:tc>
          <w:tcPr>
            <w:tcW w:type="dxa" w:w="330"/>
            <w:tcBorders>
              <w:bottom w:sz="23.200000000000045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0500" cy="1905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6"/>
            <w:tcBorders>
              <w:bottom w:sz="23.200000000000045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314" w:after="0"/>
              <w:ind w:left="44" w:right="360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3"/>
              </w:rPr>
              <w:t xml:space="preserve">Manufacturing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E85B30"/>
                <w:sz w:val="12"/>
              </w:rPr>
              <w:t>58% adoption</w:t>
            </w:r>
          </w:p>
        </w:tc>
        <w:tc>
          <w:tcPr>
            <w:tcW w:type="dxa" w:w="834"/>
            <w:tcBorders>
              <w:bottom w:sz="23.200000000000045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0" w:after="0"/>
              <w:ind w:left="0" w:right="2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90500" cy="1905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82"/>
            <w:tcBorders>
              <w:bottom w:sz="23.200000000000045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300" w:after="0"/>
              <w:ind w:left="58" w:right="3168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3"/>
              </w:rPr>
              <w:t xml:space="preserve">Retail &amp; E-commerce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F9B71F"/>
                <w:sz w:val="12"/>
              </w:rPr>
              <w:t>68% adoption</w:t>
            </w:r>
          </w:p>
        </w:tc>
      </w:tr>
      <w:tr>
        <w:trPr>
          <w:trHeight w:hRule="exact" w:val="1412"/>
        </w:trPr>
        <w:tc>
          <w:tcPr>
            <w:tcW w:type="dxa" w:w="4896"/>
            <w:gridSpan w:val="2"/>
            <w:tcBorders>
              <w:top w:sz="23.200000000000045" w:val="single" w:color="#F0F2F4"/>
              <w:bottom w:sz="2.400000000000091" w:val="single" w:color="#E0E5EA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auto" w:before="126" w:after="0"/>
              <w:ind w:left="0" w:right="3456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TOP USE CASES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Predictive maintenance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Quality control automation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Supply chain optimization</w:t>
            </w:r>
          </w:p>
          <w:p>
            <w:pPr>
              <w:autoSpaceDN w:val="0"/>
              <w:autoSpaceDE w:val="0"/>
              <w:widowControl/>
              <w:spacing w:line="314" w:lineRule="auto" w:before="110" w:after="0"/>
              <w:ind w:left="0" w:right="3312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KEY BARRIERS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OT/IT integration complexity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Workforce skills gap</w:t>
            </w:r>
          </w:p>
        </w:tc>
        <w:tc>
          <w:tcPr>
            <w:tcW w:type="dxa" w:w="5416"/>
            <w:gridSpan w:val="2"/>
            <w:tcBorders>
              <w:top w:sz="23.200000000000045" w:val="single" w:color="#F0F2F4"/>
              <w:bottom w:sz="2.400000000000091" w:val="single" w:color="#E0E5EA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auto" w:before="126" w:after="0"/>
              <w:ind w:left="518" w:right="360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TOP USE CASES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Personalization engines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Demand forecasting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Inventory optimization</w:t>
            </w:r>
          </w:p>
          <w:p>
            <w:pPr>
              <w:autoSpaceDN w:val="0"/>
              <w:autoSpaceDE w:val="0"/>
              <w:widowControl/>
              <w:spacing w:line="314" w:lineRule="auto" w:before="110" w:after="0"/>
              <w:ind w:left="518" w:right="3024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KEY BARRIERS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Data quality issues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Real-time processing requirements</w:t>
            </w:r>
          </w:p>
        </w:tc>
      </w:tr>
      <w:tr>
        <w:trPr>
          <w:trHeight w:hRule="exact" w:val="430"/>
        </w:trPr>
        <w:tc>
          <w:tcPr>
            <w:tcW w:type="dxa" w:w="4896"/>
            <w:gridSpan w:val="2"/>
            <w:tcBorders>
              <w:top w:sz="2.400000000000091" w:val="single" w:color="#E0E5EA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0" w:after="0"/>
              <w:ind w:left="0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Strong industrial AI adoption driven by operational efficiency gains</w:t>
            </w:r>
          </w:p>
        </w:tc>
        <w:tc>
          <w:tcPr>
            <w:tcW w:type="dxa" w:w="5416"/>
            <w:gridSpan w:val="2"/>
            <w:tcBorders>
              <w:top w:sz="2.400000000000091" w:val="single" w:color="#E0E5EA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0" w:after="0"/>
              <w:ind w:left="514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Mature adoption in customer-facing AI; growing investment in supply chain applications</w:t>
            </w:r>
          </w:p>
        </w:tc>
      </w:tr>
      <w:tr>
        <w:trPr>
          <w:trHeight w:hRule="exact" w:val="782"/>
        </w:trPr>
        <w:tc>
          <w:tcPr>
            <w:tcW w:type="dxa" w:w="330"/>
            <w:tcBorders>
              <w:bottom w:sz="23.200000000000273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0500" cy="1905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66"/>
            <w:tcBorders>
              <w:bottom w:sz="23.200000000000273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304" w:after="0"/>
              <w:ind w:left="44" w:right="3168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3"/>
              </w:rPr>
              <w:t xml:space="preserve">Professional Services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F9FDF"/>
                <w:sz w:val="12"/>
              </w:rPr>
              <w:t>54% adoption</w:t>
            </w:r>
          </w:p>
        </w:tc>
        <w:tc>
          <w:tcPr>
            <w:tcW w:type="dxa" w:w="834"/>
            <w:tcBorders>
              <w:bottom w:sz="23.200000000000273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" cy="1143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14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82"/>
            <w:tcBorders>
              <w:bottom w:sz="23.200000000000273" w:val="single" w:color="#F0F2F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304" w:after="0"/>
              <w:ind w:left="58" w:right="360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3"/>
              </w:rPr>
              <w:t xml:space="preserve">Public Sector </w:t>
            </w:r>
            <w:r>
              <w:br/>
            </w: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42% adoption</w:t>
            </w:r>
          </w:p>
        </w:tc>
      </w:tr>
      <w:tr>
        <w:trPr>
          <w:trHeight w:hRule="exact" w:val="1292"/>
        </w:trPr>
        <w:tc>
          <w:tcPr>
            <w:tcW w:type="dxa" w:w="4896"/>
            <w:gridSpan w:val="2"/>
            <w:tcBorders>
              <w:top w:sz="23.200000000000273" w:val="single" w:color="#F0F2F4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auto" w:before="126" w:after="0"/>
              <w:ind w:left="0" w:right="3312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TOP USE CASES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Document analysis &amp; review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Research automation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Client insights</w:t>
            </w:r>
          </w:p>
          <w:p>
            <w:pPr>
              <w:autoSpaceDN w:val="0"/>
              <w:autoSpaceDE w:val="0"/>
              <w:widowControl/>
              <w:spacing w:line="312" w:lineRule="auto" w:before="112" w:after="0"/>
              <w:ind w:left="0" w:right="3168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KEY BARRIERS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Confidentiality concerns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Quality assurance requirements</w:t>
            </w:r>
          </w:p>
        </w:tc>
        <w:tc>
          <w:tcPr>
            <w:tcW w:type="dxa" w:w="5416"/>
            <w:gridSpan w:val="2"/>
            <w:tcBorders>
              <w:top w:sz="23.200000000000273" w:val="single" w:color="#F0F2F4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auto" w:before="126" w:after="0"/>
              <w:ind w:left="518" w:right="3456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TOP USE CASES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Citizen services automation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Fraud detection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Document processing</w:t>
            </w:r>
          </w:p>
          <w:p>
            <w:pPr>
              <w:autoSpaceDN w:val="0"/>
              <w:autoSpaceDE w:val="0"/>
              <w:widowControl/>
              <w:spacing w:line="312" w:lineRule="auto" w:before="110" w:after="0"/>
              <w:ind w:left="518" w:right="3456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KEY BARRIERS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Procurement complexity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EE4343"/>
                <w:sz w:val="10"/>
              </w:rPr>
              <w:t>•</w:t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 Transparency requirements</w:t>
            </w:r>
          </w:p>
        </w:tc>
      </w:tr>
    </w:tbl>
    <w:p>
      <w:pPr>
        <w:autoSpaceDN w:val="0"/>
        <w:autoSpaceDE w:val="0"/>
        <w:widowControl/>
        <w:spacing w:line="14" w:lineRule="exact" w:before="0" w:after="98"/>
        <w:ind w:left="0" w:right="0"/>
      </w:pPr>
    </w:p>
    <w:p>
      <w:pPr>
        <w:sectPr>
          <w:pgSz w:w="11918" w:h="16838"/>
          <w:pgMar w:top="400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6" w:lineRule="auto" w:before="86" w:after="0"/>
        <w:ind w:left="342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Rapid adoption in legal and consulting; focus on augmentation over automation</w:t>
      </w:r>
    </w:p>
    <w:p>
      <w:pPr>
        <w:autoSpaceDN w:val="0"/>
        <w:autoSpaceDE w:val="0"/>
        <w:widowControl/>
        <w:spacing w:line="209" w:lineRule="auto" w:before="580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Cross-Industry Insights</w:t>
      </w:r>
    </w:p>
    <w:p>
      <w:pPr>
        <w:sectPr>
          <w:type w:val="continuous"/>
          <w:pgSz w:w="11918" w:h="16838"/>
          <w:pgMar w:top="400" w:right="432" w:bottom="280" w:left="464" w:header="720" w:footer="720" w:gutter="0"/>
          <w:cols w:num="2" w:equalWidth="0">
            <w:col w:w="5498" w:space="0"/>
            <w:col w:w="5523" w:space="0"/>
          </w:cols>
          <w:docGrid w:linePitch="360"/>
        </w:sectPr>
      </w:pPr>
    </w:p>
    <w:p>
      <w:pPr>
        <w:autoSpaceDN w:val="0"/>
        <w:autoSpaceDE w:val="0"/>
        <w:widowControl/>
        <w:spacing w:line="211" w:lineRule="auto" w:before="84" w:after="928"/>
        <w:ind w:left="258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Growing adoption driven by efficiency mandates; governance requirements creating structured approaches</w:t>
      </w:r>
    </w:p>
    <w:p>
      <w:pPr>
        <w:sectPr>
          <w:type w:val="nextColumn"/>
          <w:pgSz w:w="11918" w:h="16838"/>
          <w:pgMar w:top="400" w:right="432" w:bottom="280" w:left="464" w:header="720" w:footer="720" w:gutter="0"/>
          <w:cols w:num="2" w:equalWidth="0">
            <w:col w:w="5498" w:space="0"/>
            <w:col w:w="5523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06" w:type="dxa"/>
      </w:tblPr>
      <w:tblGrid>
        <w:gridCol w:w="3674"/>
        <w:gridCol w:w="3674"/>
        <w:gridCol w:w="3674"/>
      </w:tblGrid>
      <w:tr>
        <w:trPr>
          <w:trHeight w:hRule="exact" w:val="368"/>
        </w:trPr>
        <w:tc>
          <w:tcPr>
            <w:tcW w:type="dxa" w:w="3610"/>
            <w:tcBorders>
              <w:start w:sz="11.199999999999989" w:val="single" w:color="#1F9FDF"/>
              <w:end w:sz="11.200000000000045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4" w:after="0"/>
              <w:ind w:left="17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Regulated Industries Lead in Governance</w:t>
            </w:r>
          </w:p>
        </w:tc>
        <w:tc>
          <w:tcPr>
            <w:tcW w:type="dxa" w:w="3610"/>
            <w:tcBorders>
              <w:start w:sz="11.200000000000045" w:val="single" w:color="#1F9FDF"/>
              <w:end w:sz="12.0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4" w:after="0"/>
              <w:ind w:left="17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Skills Gap Persists Across All Sectors</w:t>
            </w:r>
          </w:p>
        </w:tc>
        <w:tc>
          <w:tcPr>
            <w:tcW w:type="dxa" w:w="3368"/>
            <w:tcBorders>
              <w:start w:sz="12.0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4" w:after="0"/>
              <w:ind w:left="17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Customer-Facing AI Most Mature</w:t>
            </w:r>
          </w:p>
        </w:tc>
      </w:tr>
      <w:tr>
        <w:trPr>
          <w:trHeight w:hRule="exact" w:val="180"/>
        </w:trPr>
        <w:tc>
          <w:tcPr>
            <w:tcW w:type="dxa" w:w="3610"/>
            <w:tcBorders>
              <w:start w:sz="11.199999999999989" w:val="single" w:color="#1F9FDF"/>
              <w:end w:sz="11.200000000000045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6" w:after="0"/>
              <w:ind w:left="17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Financial services, healthcare, and public sector show more</w:t>
            </w:r>
          </w:p>
        </w:tc>
        <w:tc>
          <w:tcPr>
            <w:tcW w:type="dxa" w:w="3610"/>
            <w:tcBorders>
              <w:start w:sz="11.200000000000045" w:val="single" w:color="#1F9FDF"/>
              <w:end w:sz="12.0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6" w:after="0"/>
              <w:ind w:left="17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Despite varying adoption rates, all industries report skills gaps</w:t>
            </w:r>
          </w:p>
        </w:tc>
        <w:tc>
          <w:tcPr>
            <w:tcW w:type="dxa" w:w="3368"/>
            <w:tcBorders>
              <w:start w:sz="12.0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Chatbots, recommendation engines, and personalization have</w:t>
            </w:r>
          </w:p>
        </w:tc>
      </w:tr>
      <w:tr>
        <w:trPr>
          <w:trHeight w:hRule="exact" w:val="140"/>
        </w:trPr>
        <w:tc>
          <w:tcPr>
            <w:tcW w:type="dxa" w:w="3610"/>
            <w:tcBorders>
              <w:start w:sz="11.199999999999989" w:val="single" w:color="#1F9FDF"/>
              <w:end w:sz="11.200000000000045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0" w:after="0"/>
              <w:ind w:left="17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mature AI governance frameworks, driven by regulatory</w:t>
            </w:r>
          </w:p>
        </w:tc>
        <w:tc>
          <w:tcPr>
            <w:tcW w:type="dxa" w:w="3610"/>
            <w:tcBorders>
              <w:start w:sz="11.200000000000045" w:val="single" w:color="#1F9FDF"/>
              <w:end w:sz="12.0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0" w:after="0"/>
              <w:ind w:left="17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as a top-3 barrier. Technical skills (data science, ML</w:t>
            </w:r>
          </w:p>
        </w:tc>
        <w:tc>
          <w:tcPr>
            <w:tcW w:type="dxa" w:w="3368"/>
            <w:tcBorders>
              <w:start w:sz="12.0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0" w:after="0"/>
              <w:ind w:left="17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highest deployment rates. Back-office and operational AI</w:t>
            </w:r>
          </w:p>
        </w:tc>
      </w:tr>
      <w:tr>
        <w:trPr>
          <w:trHeight w:hRule="exact" w:val="140"/>
        </w:trPr>
        <w:tc>
          <w:tcPr>
            <w:tcW w:type="dxa" w:w="3610"/>
            <w:tcBorders>
              <w:start w:sz="11.199999999999989" w:val="single" w:color="#1F9FDF"/>
              <w:end w:sz="11.200000000000045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4" w:after="0"/>
              <w:ind w:left="17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requirements. This structured approach correlates with higher</w:t>
            </w:r>
          </w:p>
        </w:tc>
        <w:tc>
          <w:tcPr>
            <w:tcW w:type="dxa" w:w="3610"/>
            <w:tcBorders>
              <w:start w:sz="11.200000000000045" w:val="single" w:color="#1F9FDF"/>
              <w:end w:sz="12.0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4" w:after="0"/>
              <w:ind w:left="17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engineering) and strategic skills (AI strategy, change</w:t>
            </w:r>
          </w:p>
        </w:tc>
        <w:tc>
          <w:tcPr>
            <w:tcW w:type="dxa" w:w="3368"/>
            <w:vMerge w:val="restart"/>
            <w:tcBorders>
              <w:start w:sz="12.0" w:val="single" w:color="#1F9FD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4" w:after="0"/>
              <w:ind w:left="17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adoption growing but less mature.</w:t>
            </w:r>
          </w:p>
        </w:tc>
      </w:tr>
      <w:tr>
        <w:trPr>
          <w:trHeight w:hRule="exact" w:val="322"/>
        </w:trPr>
        <w:tc>
          <w:tcPr>
            <w:tcW w:type="dxa" w:w="3610"/>
            <w:tcBorders>
              <w:start w:sz="11.199999999999989" w:val="single" w:color="#1F9FDF"/>
              <w:end w:sz="11.200000000000045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8" w:after="0"/>
              <w:ind w:left="17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value realization rates.</w:t>
            </w:r>
          </w:p>
        </w:tc>
        <w:tc>
          <w:tcPr>
            <w:tcW w:type="dxa" w:w="3610"/>
            <w:tcBorders>
              <w:start w:sz="11.200000000000045" w:val="single" w:color="#1F9FDF"/>
              <w:end w:sz="12.0" w:val="single" w:color="#1F9FD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8" w:after="0"/>
              <w:ind w:left="17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management) both in short supply.</w:t>
            </w:r>
          </w:p>
        </w:tc>
        <w:tc>
          <w:tcPr>
            <w:tcW w:type="dxa" w:w="3674"/>
            <w:vMerge/>
            <w:tcBorders>
              <w:start w:sz="12.0" w:val="single" w:color="#1F9FDF"/>
            </w:tcBorders>
          </w:tcPr>
          <w:p/>
        </w:tc>
      </w:tr>
    </w:tbl>
    <w:p>
      <w:pPr>
        <w:autoSpaceDN w:val="0"/>
        <w:autoSpaceDE w:val="0"/>
        <w:widowControl/>
        <w:spacing w:line="204" w:lineRule="auto" w:before="482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SECTION 4</w:t>
      </w:r>
    </w:p>
    <w:p>
      <w:pPr>
        <w:autoSpaceDN w:val="0"/>
        <w:autoSpaceDE w:val="0"/>
        <w:widowControl/>
        <w:spacing w:line="206" w:lineRule="auto" w:before="162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26"/>
        </w:rPr>
        <w:t>The Productivity Evidence Gap</w:t>
      </w:r>
    </w:p>
    <w:p>
      <w:pPr>
        <w:autoSpaceDN w:val="0"/>
        <w:autoSpaceDE w:val="0"/>
        <w:widowControl/>
        <w:spacing w:line="209" w:lineRule="auto" w:before="138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A central question in AI adoption research is whether documented productivity gains translate to aggregate economic impact. Current evidence reveals a significant gap between micro-level</w:t>
      </w:r>
    </w:p>
    <w:p>
      <w:pPr>
        <w:autoSpaceDN w:val="0"/>
        <w:autoSpaceDE w:val="0"/>
        <w:widowControl/>
        <w:spacing w:line="204" w:lineRule="auto" w:before="72" w:after="31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findings and macro-level statistics — a pattern with important implications for interpreting claims that "AI hype is dying."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1022"/>
      </w:tblGrid>
      <w:tr>
        <w:trPr>
          <w:trHeight w:hRule="exact" w:val="414"/>
        </w:trPr>
        <w:tc>
          <w:tcPr>
            <w:tcW w:type="dxa" w:w="10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26" w:after="0"/>
              <w:ind w:left="17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FFFFF"/>
                <w:sz w:val="13"/>
              </w:rPr>
              <w:t>Research Summary</w:t>
            </w:r>
          </w:p>
        </w:tc>
      </w:tr>
    </w:tbl>
    <w:p>
      <w:pPr>
        <w:autoSpaceDN w:val="0"/>
        <w:autoSpaceDE w:val="0"/>
        <w:widowControl/>
        <w:spacing w:line="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1022"/>
      </w:tblGrid>
      <w:tr>
        <w:trPr>
          <w:trHeight w:hRule="exact" w:val="204"/>
        </w:trPr>
        <w:tc>
          <w:tcPr>
            <w:tcW w:type="dxa" w:w="10656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60" w:after="0"/>
              <w:ind w:left="17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The narrative that AI hype is dying is understandable given current evidence — enterprises bought AI tools and aren't seeing returns; productivity gains aren't showing up in labor market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1022"/>
      </w:tblGrid>
      <w:tr>
        <w:trPr>
          <w:trHeight w:hRule="exact" w:val="202"/>
        </w:trPr>
        <w:tc>
          <w:tcPr>
            <w:tcW w:type="dxa" w:w="9420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8" w:after="0"/>
              <w:ind w:left="19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data. However, this interpretation conflates a temporary plateau in one phase of adoption with evidence of fundamental technology limitations.</w:t>
            </w:r>
          </w:p>
        </w:tc>
      </w:tr>
    </w:tbl>
    <w:p>
      <w:pPr>
        <w:autoSpaceDN w:val="0"/>
        <w:autoSpaceDE w:val="0"/>
        <w:widowControl/>
        <w:spacing w:line="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1022"/>
      </w:tblGrid>
      <w:tr>
        <w:trPr>
          <w:trHeight w:hRule="exact" w:val="222"/>
        </w:trPr>
        <w:tc>
          <w:tcPr>
            <w:tcW w:type="dxa" w:w="9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9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This section presents the evidence for both the productivity gap and the argument that it represents a phase transition rather than a ceiling on AI capability.</w:t>
            </w:r>
          </w:p>
        </w:tc>
      </w:tr>
    </w:tbl>
    <w:p>
      <w:pPr>
        <w:autoSpaceDN w:val="0"/>
        <w:autoSpaceDE w:val="0"/>
        <w:widowControl/>
        <w:spacing w:line="206" w:lineRule="auto" w:before="466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4.1 Task-Level Productivity Gains (Micro Evidence)</w:t>
      </w:r>
    </w:p>
    <w:p>
      <w:pPr>
        <w:autoSpaceDN w:val="0"/>
        <w:autoSpaceDE w:val="0"/>
        <w:widowControl/>
        <w:spacing w:line="209" w:lineRule="auto" w:before="156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Controlled studies consistently document significant productivity improvements at the task level.</w:t>
      </w:r>
    </w:p>
    <w:p>
      <w:pPr>
        <w:sectPr>
          <w:type w:val="continuous"/>
          <w:pgSz w:w="11918" w:h="16838"/>
          <w:pgMar w:top="400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"/>
        <w:ind w:left="0" w:right="0"/>
      </w:pPr>
    </w:p>
    <w:p>
      <w:pPr>
        <w:autoSpaceDN w:val="0"/>
        <w:autoSpaceDE w:val="0"/>
        <w:widowControl/>
        <w:spacing w:line="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8.00000000000006" w:type="dxa"/>
      </w:tblPr>
      <w:tblGrid>
        <w:gridCol w:w="11022"/>
      </w:tblGrid>
      <w:tr>
        <w:trPr>
          <w:trHeight w:hRule="exact" w:val="274"/>
        </w:trPr>
        <w:tc>
          <w:tcPr>
            <w:tcW w:type="dxa" w:w="10648"/>
            <w:tcBorders>
              <w:start w:sz="2.876147508621216" w:val="single" w:color="#E0E5EA"/>
              <w:end w:sz="2.876147508621216" w:val="single" w:color="#E0E5EA"/>
              <w:bottom w:sz="2.3999999999999773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66"/>
              </w:trPr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4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Study</w:t>
                  </w:r>
                </w:p>
              </w:tc>
              <w:tc>
                <w:tcPr>
                  <w:tcW w:type="dxa" w:w="2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4" w:after="0"/>
                    <w:ind w:left="0" w:right="842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Sample</w:t>
                  </w:r>
                </w:p>
              </w:tc>
              <w:tc>
                <w:tcPr>
                  <w:tcW w:type="dxa" w:w="3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6" w:after="0"/>
                    <w:ind w:left="84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Finding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2"/>
        </w:trPr>
        <w:tc>
          <w:tcPr>
            <w:tcW w:type="dxa" w:w="10648"/>
            <w:tcBorders>
              <w:start w:sz="2.876147508621216" w:val="single" w:color="#E0E5EA"/>
              <w:top w:sz="2.3999999999999773" w:val="single" w:color="#E0E5EA"/>
              <w:end w:sz="2.876147508621216" w:val="single" w:color="#E0E5EA"/>
              <w:bottom w:sz="2.400000000000034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94"/>
              </w:trPr>
              <w:tc>
                <w:tcPr>
                  <w:tcW w:type="dxa" w:w="2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2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NBER Executive Survey (2025)</w:t>
                  </w:r>
                </w:p>
              </w:tc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6,000 executives</w:t>
                  </w:r>
                </w:p>
              </w:tc>
              <w:tc>
                <w:tcPr>
                  <w:tcW w:type="dxa" w:w="6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62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90% of firms report zero measurable productivity or employment impact despite $2.5 trillion global AI spending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10648"/>
            <w:tcBorders>
              <w:start w:sz="2.876147508621216" w:val="single" w:color="#E0E5EA"/>
              <w:top w:sz="2.400000000000034" w:val="single" w:color="#E0E5EA"/>
              <w:end w:sz="2.876147508621216" w:val="single" w:color="#E0E5EA"/>
              <w:bottom w:sz="3.2000000000000455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92"/>
              </w:trPr>
              <w:tc>
                <w:tcPr>
                  <w:tcW w:type="dxa" w:w="2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GitHub Copilot Study (Peng et al. 2023)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39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Software developers</w:t>
                  </w:r>
                </w:p>
              </w:tc>
              <w:tc>
                <w:tcPr>
                  <w:tcW w:type="dxa" w:w="4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54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55% faster task completion for coding tasks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10648"/>
            <w:tcBorders>
              <w:start w:sz="2.876147508621216" w:val="single" w:color="#E0E5EA"/>
              <w:top w:sz="3.2000000000000455" w:val="single" w:color="#E0E5EA"/>
              <w:end w:sz="2.876147508621216" w:val="single" w:color="#E0E5EA"/>
              <w:bottom w:sz="3.199999999999932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90"/>
              </w:trPr>
              <w:tc>
                <w:tcPr>
                  <w:tcW w:type="dxa" w:w="2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Customer Service Study (Brynjolfsson et al. 2025)</w:t>
                  </w:r>
                </w:p>
              </w:tc>
              <w:tc>
                <w:tcPr>
                  <w:tcW w:type="dxa" w:w="1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13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5,179 customer service agents</w:t>
                  </w:r>
                </w:p>
              </w:tc>
              <w:tc>
                <w:tcPr>
                  <w:tcW w:type="dxa" w:w="5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14% increase in issues resolved per hour; novice workers improved 34%, top performers showed minimal gains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10648"/>
            <w:tcBorders>
              <w:start w:sz="2.876147508621216" w:val="single" w:color="#E0E5EA"/>
              <w:top w:sz="3.199999999999932" w:val="single" w:color="#E0E5EA"/>
              <w:end w:sz="2.876147508621216" w:val="single" w:color="#E0E5EA"/>
              <w:bottom w:sz="3.199999999999932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96"/>
              </w:trPr>
              <w:tc>
                <w:tcPr>
                  <w:tcW w:type="dxa" w:w="2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4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BCG Consulting Study (Dell'Acqua et al. 2023)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56" w:after="0"/>
                    <w:ind w:left="23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758 consultants</w:t>
                  </w:r>
                </w:p>
              </w:tc>
              <w:tc>
                <w:tcPr>
                  <w:tcW w:type="dxa" w:w="6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6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25% faster completion, 40% higher quality for AI-suitable tasks; 19% worse performance on tasks requiring judgment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10648"/>
            <w:tcBorders>
              <w:start w:sz="2.876147508621216" w:val="single" w:color="#E0E5EA"/>
              <w:top w:sz="3.199999999999932" w:val="single" w:color="#E0E5EA"/>
              <w:end w:sz="2.876147508621216" w:val="single" w:color="#E0E5EA"/>
              <w:bottom w:sz="2.400000000000091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92"/>
              </w:trPr>
              <w:tc>
                <w:tcPr>
                  <w:tcW w:type="dxa" w:w="1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METR Study (2025)</w:t>
                  </w:r>
                </w:p>
              </w:tc>
              <w:tc>
                <w:tcPr>
                  <w:tcW w:type="dxa" w:w="2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2" w:after="0"/>
                    <w:ind w:left="0" w:right="112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Experienced open-source developers</w:t>
                  </w:r>
                </w:p>
              </w:tc>
              <w:tc>
                <w:tcPr>
                  <w:tcW w:type="dxa" w:w="5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14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19% longer to complete real coding tasks with AI tools, though perceived themselves as 20% faster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0648"/>
            <w:tcBorders>
              <w:start w:sz="2.876147508621216" w:val="single" w:color="#E0E5EA"/>
              <w:top w:sz="2.400000000000091" w:val="single" w:color="#E0E5EA"/>
              <w:end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66"/>
              </w:trPr>
              <w:tc>
                <w:tcPr>
                  <w:tcW w:type="dxa" w:w="2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CEO Survey (BuildMVPFast 2025)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0" w:right="624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Enterprise CEOs</w:t>
                  </w:r>
                </w:p>
              </w:tc>
              <w:tc>
                <w:tcPr>
                  <w:tcW w:type="dxa" w:w="5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95% of companies report zero measurable productivity ROI; 95% of AI pilots never escape the lab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716"/>
        </w:trPr>
        <w:tc>
          <w:tcPr>
            <w:tcW w:type="dxa" w:w="10548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59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78340E"/>
                <w:sz w:val="10"/>
              </w:rPr>
              <w:t>Key Pattern: Gains are real but context-dependent. Novice workers improve disproportionately (34% vs minimal for experts). Experienced developers may actually take longer while perceiving themselves as faster. AI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54"/>
        </w:trPr>
        <w:tc>
          <w:tcPr>
            <w:tcW w:type="dxa" w:w="10548"/>
            <w:tcBorders>
              <w:bottom w:sz="2.876147508621216" w:val="single" w:color="#FDE68A"/>
            </w:tcBorders>
            <w:shd w:fill="fffa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78340E"/>
                <w:sz w:val="10"/>
              </w:rPr>
              <w:t>accelerates drafting but creates downstream verification work — what researchers call "workslop."</w:t>
            </w:r>
          </w:p>
        </w:tc>
      </w:tr>
    </w:tbl>
    <w:p>
      <w:pPr>
        <w:autoSpaceDN w:val="0"/>
        <w:autoSpaceDE w:val="0"/>
        <w:widowControl/>
        <w:spacing w:line="206" w:lineRule="auto" w:before="232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4.2 Aggregate Economic Impact (Macro Evidence)</w:t>
      </w:r>
    </w:p>
    <w:p>
      <w:pPr>
        <w:autoSpaceDN w:val="0"/>
        <w:autoSpaceDE w:val="0"/>
        <w:widowControl/>
        <w:spacing w:line="204" w:lineRule="auto" w:before="156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Despite task-level gains, aggregate statistics show minimal measurable impact.</w:t>
      </w:r>
    </w:p>
    <w:p>
      <w:pPr>
        <w:autoSpaceDN w:val="0"/>
        <w:autoSpaceDE w:val="0"/>
        <w:widowControl/>
        <w:spacing w:line="209" w:lineRule="auto" w:before="362" w:after="0"/>
        <w:ind w:left="296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BLS Productivity Data (2025-2025)</w:t>
      </w:r>
    </w:p>
    <w:p>
      <w:pPr>
        <w:autoSpaceDN w:val="0"/>
        <w:autoSpaceDE w:val="0"/>
        <w:widowControl/>
        <w:spacing w:line="204" w:lineRule="auto" w:before="76" w:after="0"/>
        <w:ind w:left="296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US productivity growth: 2.7% in 2025 vs 1.4% decade average — early signs of acceleration</w:t>
      </w:r>
    </w:p>
    <w:p>
      <w:pPr>
        <w:autoSpaceDN w:val="0"/>
        <w:autoSpaceDE w:val="0"/>
        <w:widowControl/>
        <w:spacing w:line="206" w:lineRule="auto" w:before="90" w:after="0"/>
        <w:ind w:left="292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Suggestive but not conclusive; confounded by other economic factors</w:t>
      </w:r>
    </w:p>
    <w:p>
      <w:pPr>
        <w:autoSpaceDN w:val="0"/>
        <w:autoSpaceDE w:val="0"/>
        <w:widowControl/>
        <w:spacing w:line="204" w:lineRule="auto" w:before="410" w:after="0"/>
        <w:ind w:left="296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Eurostat Enterprise Survey (2025)</w:t>
      </w:r>
    </w:p>
    <w:p>
      <w:pPr>
        <w:autoSpaceDN w:val="0"/>
        <w:autoSpaceDE w:val="0"/>
        <w:widowControl/>
        <w:spacing w:line="209" w:lineRule="auto" w:before="76" w:after="0"/>
        <w:ind w:left="296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Enterprise AI adoption reached 20% EU average, up from 8% in 2023</w:t>
      </w:r>
    </w:p>
    <w:p>
      <w:pPr>
        <w:autoSpaceDN w:val="0"/>
        <w:autoSpaceDE w:val="0"/>
        <w:widowControl/>
        <w:spacing w:line="206" w:lineRule="auto" w:before="90" w:after="0"/>
        <w:ind w:left="292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Adoption metrics improving but not yet reflected in aggregate output statistics</w:t>
      </w:r>
    </w:p>
    <w:p>
      <w:pPr>
        <w:autoSpaceDN w:val="0"/>
        <w:autoSpaceDE w:val="0"/>
        <w:widowControl/>
        <w:spacing w:line="209" w:lineRule="auto" w:before="408" w:after="0"/>
        <w:ind w:left="296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UK Office for National Statistics (2025)</w:t>
      </w:r>
    </w:p>
    <w:p>
      <w:pPr>
        <w:autoSpaceDN w:val="0"/>
        <w:autoSpaceDE w:val="0"/>
        <w:widowControl/>
        <w:spacing w:line="204" w:lineRule="auto" w:before="76" w:after="0"/>
        <w:ind w:left="296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Most businesses report no measurable productivity impact from AI adoption</w:t>
      </w:r>
    </w:p>
    <w:p>
      <w:pPr>
        <w:autoSpaceDN w:val="0"/>
        <w:autoSpaceDE w:val="0"/>
        <w:widowControl/>
        <w:spacing w:line="206" w:lineRule="auto" w:before="90" w:after="0"/>
        <w:ind w:left="292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Consistent with deployment-value gap pattern observed across markets</w:t>
      </w:r>
    </w:p>
    <w:p>
      <w:pPr>
        <w:autoSpaceDN w:val="0"/>
        <w:autoSpaceDE w:val="0"/>
        <w:widowControl/>
        <w:spacing w:line="204" w:lineRule="auto" w:before="458" w:after="0"/>
        <w:ind w:left="296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The Central Paradox: Task-level studies document 14-55% productivity gains. Aggregate data shows 90-95% of firms reporting zero measurable impact. This disconnect defines the current phase of AI adoption.</w:t>
      </w:r>
    </w:p>
    <w:p>
      <w:pPr>
        <w:autoSpaceDN w:val="0"/>
        <w:autoSpaceDE w:val="0"/>
        <w:widowControl/>
        <w:spacing w:line="206" w:lineRule="auto" w:before="346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4.3 Historical Precedent: The Solow Paradox</w:t>
      </w:r>
    </w:p>
    <w:p>
      <w:pPr>
        <w:autoSpaceDN w:val="0"/>
        <w:autoSpaceDE w:val="0"/>
        <w:widowControl/>
        <w:spacing w:line="204" w:lineRule="auto" w:before="172" w:after="254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In 1987, economist Robert Solow observed: "You can see the computer age everywhere but in the productivity statistics." The current AI pattern mirrors this historical precedent.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.00000000000006" w:type="dxa"/>
      </w:tblPr>
      <w:tblGrid>
        <w:gridCol w:w="11022"/>
      </w:tblGrid>
      <w:tr>
        <w:trPr>
          <w:trHeight w:hRule="exact" w:val="272"/>
        </w:trPr>
        <w:tc>
          <w:tcPr>
            <w:tcW w:type="dxa" w:w="10648"/>
            <w:tcBorders>
              <w:start w:sz="2.876147508621216" w:val="single" w:color="#E0E5EA"/>
              <w:end w:sz="2.876147508621216" w:val="single" w:color="#E0E5EA"/>
              <w:bottom w:sz="2.400000000000091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70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Dimension</w:t>
                  </w:r>
                </w:p>
              </w:tc>
              <w:tc>
                <w:tcPr>
                  <w:tcW w:type="dxa" w:w="3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8" w:after="0"/>
                    <w:ind w:left="0" w:right="1590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Computing (1980s)</w:t>
                  </w:r>
                </w:p>
              </w:tc>
              <w:tc>
                <w:tcPr>
                  <w:tcW w:type="dxa" w:w="3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8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AI (2020s)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8"/>
        </w:trPr>
        <w:tc>
          <w:tcPr>
            <w:tcW w:type="dxa" w:w="10648"/>
            <w:tcBorders>
              <w:start w:sz="2.876147508621216" w:val="single" w:color="#E0E5EA"/>
              <w:top w:sz="2.400000000000091" w:val="single" w:color="#E0E5EA"/>
              <w:end w:sz="2.876147508621216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82"/>
              </w:trPr>
              <w:tc>
                <w:tcPr>
                  <w:tcW w:type="dxa" w:w="19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56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Investment vs. Returns</w:t>
                  </w:r>
                </w:p>
              </w:tc>
              <w:tc>
                <w:tcPr>
                  <w:tcW w:type="dxa" w:w="4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78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Hundredfold increase in computing capacity; productivity growth dropped from</w:t>
                  </w:r>
                </w:p>
              </w:tc>
              <w:tc>
                <w:tcPr>
                  <w:tcW w:type="dxa" w:w="3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4" w:after="0"/>
                    <w:ind w:left="19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$2.5 trillion global AI spending; 95% of firms report no measurable</w:t>
                  </w:r>
                </w:p>
              </w:tc>
            </w:tr>
            <w:tr>
              <w:trPr>
                <w:trHeight w:hRule="exact" w:val="158"/>
              </w:trPr>
              <w:tc>
                <w:tcPr>
                  <w:tcW w:type="dxa" w:w="3549"/>
                  <w:vMerge/>
                  <w:tcBorders/>
                </w:tcPr>
                <w:p/>
              </w:tc>
              <w:tc>
                <w:tcPr>
                  <w:tcW w:type="dxa" w:w="4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78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3% to 1%</w:t>
                  </w:r>
                </w:p>
              </w:tc>
              <w:tc>
                <w:tcPr>
                  <w:tcW w:type="dxa" w:w="3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28" w:after="0"/>
                    <w:ind w:left="19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productivity impact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10648"/>
            <w:tcBorders>
              <w:start w:sz="2.876147508621216" w:val="single" w:color="#E0E5EA"/>
              <w:top w:sz="3.199999999999818" w:val="single" w:color="#E0E5EA"/>
              <w:end w:sz="2.876147508621216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94"/>
              </w:trPr>
              <w:tc>
                <w:tcPr>
                  <w:tcW w:type="dxa" w:w="1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4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Time to Impact</w:t>
                  </w:r>
                </w:p>
              </w:tc>
              <w:tc>
                <w:tcPr>
                  <w:tcW w:type="dxa" w:w="4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4" w:after="0"/>
                    <w:ind w:left="98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10-15 years (1980-1995) before IT productivity gains appeared in macro data</w:t>
                  </w:r>
                </w:p>
              </w:tc>
              <w:tc>
                <w:tcPr>
                  <w:tcW w:type="dxa" w:w="3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Unknown; economists debate whether J-curve arrives 2027 or 2037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16"/>
        </w:trPr>
        <w:tc>
          <w:tcPr>
            <w:tcW w:type="dxa" w:w="10648"/>
            <w:tcBorders>
              <w:start w:sz="2.876147508621216" w:val="single" w:color="#E0E5EA"/>
              <w:top w:sz="3.199999999999818" w:val="single" w:color="#E0E5EA"/>
              <w:end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70"/>
              </w:trPr>
              <w:tc>
                <w:tcPr>
                  <w:tcW w:type="dxa" w:w="18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56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Resolution Pattern</w:t>
                  </w:r>
                </w:p>
              </w:tc>
              <w:tc>
                <w:tcPr>
                  <w:tcW w:type="dxa" w:w="4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4" w:after="0"/>
                    <w:ind w:left="90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Gains emerged when organizations redesigned processes around technology</w:t>
                  </w:r>
                </w:p>
              </w:tc>
              <w:tc>
                <w:tcPr>
                  <w:tcW w:type="dxa" w:w="3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Early evidence suggests same pattern: 95% bolted AI onto existing</w:t>
                  </w:r>
                </w:p>
              </w:tc>
            </w:tr>
            <w:tr>
              <w:trPr>
                <w:trHeight w:hRule="exact" w:val="144"/>
              </w:trPr>
              <w:tc>
                <w:tcPr>
                  <w:tcW w:type="dxa" w:w="3549"/>
                  <w:vMerge/>
                  <w:tcBorders/>
                </w:tcPr>
                <w:p/>
              </w:tc>
              <w:tc>
                <w:tcPr>
                  <w:tcW w:type="dxa" w:w="4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40" w:after="0"/>
                    <w:ind w:left="90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(Walmart supply chain, financial services)</w:t>
                  </w:r>
                </w:p>
              </w:tc>
              <w:tc>
                <w:tcPr>
                  <w:tcW w:type="dxa" w:w="3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40" w:after="0"/>
                    <w:ind w:left="23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workflows rather than redesigning around 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030"/>
        </w:trPr>
        <w:tc>
          <w:tcPr>
            <w:tcW w:type="dxa" w:w="10548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90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54E3B"/>
                <w:sz w:val="10"/>
              </w:rPr>
              <w:t>Resolution Pattern: IT productivity gains emerged in the 1990s when organizations redesigned processes around technology rather than bolting computers onto existing workflows. Research suggests the same pattern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56"/>
        </w:trPr>
        <w:tc>
          <w:tcPr>
            <w:tcW w:type="dxa" w:w="10548"/>
            <w:tcBorders>
              <w:bottom w:sz="2.876147508621216" w:val="single" w:color="#A6F2D0"/>
            </w:tcBorders>
            <w:shd w:fill="ecfd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6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54E3B"/>
                <w:sz w:val="10"/>
              </w:rPr>
              <w:t>will determine AI value realization.</w:t>
            </w:r>
          </w:p>
        </w:tc>
      </w:tr>
    </w:tbl>
    <w:p>
      <w:pPr>
        <w:autoSpaceDN w:val="0"/>
        <w:autoSpaceDE w:val="0"/>
        <w:widowControl/>
        <w:spacing w:line="206" w:lineRule="auto" w:before="232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4.4 Why AI Differs from Metaverse/VR Hype Cycles</w:t>
      </w:r>
    </w:p>
    <w:p>
      <w:pPr>
        <w:autoSpaceDN w:val="0"/>
        <w:autoSpaceDE w:val="0"/>
        <w:widowControl/>
        <w:spacing w:line="204" w:lineRule="auto" w:before="156" w:after="246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A critical question is whether current AI adoption patterns reflect the metaverse/VR cycle (hype without sustained capability progress) or the computing cycle (temporary lag before transformative impact).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.00000000000006" w:type="dxa"/>
      </w:tblPr>
      <w:tblGrid>
        <w:gridCol w:w="11022"/>
      </w:tblGrid>
      <w:tr>
        <w:trPr>
          <w:trHeight w:hRule="exact" w:val="272"/>
        </w:trPr>
        <w:tc>
          <w:tcPr>
            <w:tcW w:type="dxa" w:w="10648"/>
            <w:tcBorders>
              <w:start w:sz="2.876147508621216" w:val="single" w:color="#E0E5EA"/>
              <w:end w:sz="2.876147508621216" w:val="single" w:color="#E0E5EA"/>
              <w:bottom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70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Dimension</w:t>
                  </w:r>
                </w:p>
              </w:tc>
              <w:tc>
                <w:tcPr>
                  <w:tcW w:type="dxa" w:w="3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8" w:after="0"/>
                    <w:ind w:left="0" w:right="1984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AI (2024-2025)</w:t>
                  </w:r>
                </w:p>
              </w:tc>
              <w:tc>
                <w:tcPr>
                  <w:tcW w:type="dxa" w:w="3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0" w:after="0"/>
                    <w:ind w:left="0" w:right="1206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Metaverse/VR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8"/>
        </w:trPr>
        <w:tc>
          <w:tcPr>
            <w:tcW w:type="dxa" w:w="10648"/>
            <w:tcBorders>
              <w:start w:sz="2.876147508621216" w:val="single" w:color="#E0E5EA"/>
              <w:top w:sz="2.399999999999636" w:val="single" w:color="#E0E5EA"/>
              <w:end w:sz="2.876147508621216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74"/>
              </w:trPr>
              <w:tc>
                <w:tcPr>
                  <w:tcW w:type="dxa" w:w="18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Current Deployment</w:t>
                  </w:r>
                </w:p>
              </w:tc>
              <w:tc>
                <w:tcPr>
                  <w:tcW w:type="dxa" w:w="51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32" w:after="0"/>
                    <w:ind w:left="8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88% enterprise adoption; measurable task-level productivity gains documented</w:t>
                  </w:r>
                </w:p>
              </w:tc>
              <w:tc>
                <w:tcPr>
                  <w:tcW w:type="dxa" w:w="3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48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Limited enterprise adoption; use cases remain primarily</w:t>
                  </w:r>
                </w:p>
              </w:tc>
            </w:tr>
            <w:tr>
              <w:trPr>
                <w:trHeight w:hRule="exact" w:val="158"/>
              </w:trPr>
              <w:tc>
                <w:tcPr>
                  <w:tcW w:type="dxa" w:w="3549"/>
                  <w:vMerge/>
                  <w:tcBorders/>
                </w:tcPr>
                <w:p/>
              </w:tc>
              <w:tc>
                <w:tcPr>
                  <w:tcW w:type="dxa" w:w="3549"/>
                  <w:vMerge/>
                  <w:tcBorders/>
                </w:tcPr>
                <w:p/>
              </w:tc>
              <w:tc>
                <w:tcPr>
                  <w:tcW w:type="dxa" w:w="3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0" w:after="0"/>
                    <w:ind w:left="48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consumer entertainment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8"/>
        </w:trPr>
        <w:tc>
          <w:tcPr>
            <w:tcW w:type="dxa" w:w="10648"/>
            <w:tcBorders>
              <w:start w:sz="2.876147508621216" w:val="single" w:color="#E0E5EA"/>
              <w:top w:sz="3.199999999999818" w:val="single" w:color="#E0E5EA"/>
              <w:end w:sz="2.876147508621216" w:val="single" w:color="#E0E5EA"/>
              <w:bottom w:sz="3.200000000000727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66"/>
              </w:trPr>
              <w:tc>
                <w:tcPr>
                  <w:tcW w:type="dxa" w:w="18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Capability Progress</w:t>
                  </w:r>
                </w:p>
              </w:tc>
              <w:tc>
                <w:tcPr>
                  <w:tcW w:type="dxa" w:w="5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8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Benchmarks improving continuously: GPQA Diamond scores rose from 79.2% to 87.3% in</w:t>
                  </w:r>
                </w:p>
              </w:tc>
              <w:tc>
                <w:tcPr>
                  <w:tcW w:type="dxa" w:w="3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2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Hardware improvements incremental; fundamental interaction</w:t>
                  </w:r>
                </w:p>
              </w:tc>
            </w:tr>
            <w:tr>
              <w:trPr>
                <w:trHeight w:hRule="exact" w:val="170"/>
              </w:trPr>
              <w:tc>
                <w:tcPr>
                  <w:tcW w:type="dxa" w:w="3549"/>
                  <w:vMerge/>
                  <w:tcBorders/>
                </w:tcPr>
                <w:p/>
              </w:tc>
              <w:tc>
                <w:tcPr>
                  <w:tcW w:type="dxa" w:w="5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8" w:after="0"/>
                    <w:ind w:left="8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months; inference costs dropped 280-fold over two years</w:t>
                  </w:r>
                </w:p>
              </w:tc>
              <w:tc>
                <w:tcPr>
                  <w:tcW w:type="dxa" w:w="3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8" w:after="0"/>
                    <w:ind w:left="2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paradigm unchanged since 2016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8"/>
        </w:trPr>
        <w:tc>
          <w:tcPr>
            <w:tcW w:type="dxa" w:w="10648"/>
            <w:tcBorders>
              <w:start w:sz="2.876147508621216" w:val="single" w:color="#E0E5EA"/>
              <w:top w:sz="3.2000000000007276" w:val="single" w:color="#E0E5EA"/>
              <w:end w:sz="2.876147508621216" w:val="single" w:color="#E0E5EA"/>
              <w:bottom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78"/>
              </w:trPr>
              <w:tc>
                <w:tcPr>
                  <w:tcW w:type="dxa" w:w="190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Economic Integration</w:t>
                  </w:r>
                </w:p>
              </w:tc>
              <w:tc>
                <w:tcPr>
                  <w:tcW w:type="dxa" w:w="51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30" w:after="0"/>
                    <w:ind w:left="82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GitHub Copilot, ChatGPT, enterprise LLMs embedded in daily workflows of millions</w:t>
                  </w:r>
                </w:p>
              </w:tc>
              <w:tc>
                <w:tcPr>
                  <w:tcW w:type="dxa" w:w="3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40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Virtual offices, metaverse platforms largely abandoned or</w:t>
                  </w:r>
                </w:p>
              </w:tc>
            </w:tr>
            <w:tr>
              <w:trPr>
                <w:trHeight w:hRule="exact" w:val="156"/>
              </w:trPr>
              <w:tc>
                <w:tcPr>
                  <w:tcW w:type="dxa" w:w="3549"/>
                  <w:vMerge/>
                  <w:tcBorders/>
                </w:tcPr>
                <w:p/>
              </w:tc>
              <w:tc>
                <w:tcPr>
                  <w:tcW w:type="dxa" w:w="3549"/>
                  <w:vMerge/>
                  <w:tcBorders/>
                </w:tcPr>
                <w:p/>
              </w:tc>
              <w:tc>
                <w:tcPr>
                  <w:tcW w:type="dxa" w:w="3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26" w:after="0"/>
                    <w:ind w:left="40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pivoted by major tech companies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16"/>
        </w:trPr>
        <w:tc>
          <w:tcPr>
            <w:tcW w:type="dxa" w:w="10648"/>
            <w:tcBorders>
              <w:start w:sz="2.876147508621216" w:val="single" w:color="#E0E5EA"/>
              <w:top w:sz="2.399999999999636" w:val="single" w:color="#E0E5EA"/>
              <w:end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54"/>
              </w:trPr>
              <w:tc>
                <w:tcPr>
                  <w:tcW w:type="dxa" w:w="190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2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Investment Trajectory</w:t>
                  </w:r>
                </w:p>
              </w:tc>
              <w:tc>
                <w:tcPr>
                  <w:tcW w:type="dxa" w:w="5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52" w:after="0"/>
                    <w:ind w:left="82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Continued scaling: Microsoft $80B, Google $75B, Amazon $100B committed to AI</w:t>
                  </w:r>
                </w:p>
              </w:tc>
              <w:tc>
                <w:tcPr>
                  <w:tcW w:type="dxa" w:w="3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52" w:after="0"/>
                    <w:ind w:left="44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Meta pivoted from metaverse focus; VR investment declining</w:t>
                  </w:r>
                </w:p>
              </w:tc>
            </w:tr>
            <w:tr>
              <w:trPr>
                <w:trHeight w:hRule="exact" w:val="160"/>
              </w:trPr>
              <w:tc>
                <w:tcPr>
                  <w:tcW w:type="dxa" w:w="3549"/>
                  <w:vMerge/>
                  <w:tcBorders/>
                </w:tcPr>
                <w:p/>
              </w:tc>
              <w:tc>
                <w:tcPr>
                  <w:tcW w:type="dxa" w:w="5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42" w:after="0"/>
                    <w:ind w:left="82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infrastructure 2025-2027</w:t>
                  </w:r>
                </w:p>
              </w:tc>
              <w:tc>
                <w:tcPr>
                  <w:tcW w:type="dxa" w:w="3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52" w:after="0"/>
                    <w:ind w:left="44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across major platforms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646"/>
        </w:trPr>
        <w:tc>
          <w:tcPr>
            <w:tcW w:type="dxa" w:w="10548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52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D3A8A"/>
                <w:sz w:val="10"/>
              </w:rPr>
              <w:t>Key Distinction: AI capabilities continue improving on fundamental metrics (benchmark scores, inference costs, context windows). Metaverse/VR hype collapsed without sustained capability breakthroughs. AI has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54"/>
        </w:trPr>
        <w:tc>
          <w:tcPr>
            <w:tcW w:type="dxa" w:w="10548"/>
            <w:tcBorders>
              <w:bottom w:sz="2.876147508621216" w:val="single" w:color="#BEDAFE"/>
            </w:tcBorders>
            <w:shd w:fill="eff5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D3A8A"/>
                <w:sz w:val="10"/>
              </w:rPr>
              <w:t>crossed from theoretical capability to operational implementation embedded in daily workflows of millions.</w:t>
            </w:r>
          </w:p>
        </w:tc>
      </w:tr>
    </w:tbl>
    <w:p>
      <w:pPr>
        <w:autoSpaceDN w:val="0"/>
        <w:autoSpaceDE w:val="0"/>
        <w:widowControl/>
        <w:spacing w:line="204" w:lineRule="auto" w:before="216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17"/>
        </w:rPr>
        <w:t>4.5 AGI Timeline Forecasts</w:t>
      </w:r>
    </w:p>
    <w:p>
      <w:pPr>
        <w:autoSpaceDN w:val="0"/>
        <w:autoSpaceDE w:val="0"/>
        <w:widowControl/>
        <w:spacing w:line="204" w:lineRule="auto" w:before="174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Aggregated forecasts from prediction markets and expert surveys provide context on expected capability trajectories.</w:t>
      </w:r>
    </w:p>
    <w:p>
      <w:pPr>
        <w:sectPr>
          <w:pgSz w:w="11918" w:h="16838"/>
          <w:pgMar w:top="284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"/>
        <w:ind w:left="0" w:right="0"/>
      </w:pPr>
    </w:p>
    <w:p>
      <w:pPr>
        <w:autoSpaceDN w:val="0"/>
        <w:autoSpaceDE w:val="0"/>
        <w:widowControl/>
        <w:spacing w:line="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8.00000000000006" w:type="dxa"/>
      </w:tblPr>
      <w:tblGrid>
        <w:gridCol w:w="11022"/>
      </w:tblGrid>
      <w:tr>
        <w:trPr>
          <w:trHeight w:hRule="exact" w:val="274"/>
        </w:trPr>
        <w:tc>
          <w:tcPr>
            <w:tcW w:type="dxa" w:w="10648"/>
            <w:tcBorders>
              <w:start w:sz="2.876147508621216" w:val="single" w:color="#E0E5EA"/>
              <w:end w:sz="2.876147508621216" w:val="single" w:color="#E0E5EA"/>
              <w:bottom w:sz="2.3999999999999773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68"/>
              </w:trPr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Source</w:t>
                  </w:r>
                </w:p>
              </w:tc>
              <w:tc>
                <w:tcPr>
                  <w:tcW w:type="dxa" w:w="3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2" w:after="0"/>
                    <w:ind w:left="0" w:right="2120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Prediction</w:t>
                  </w:r>
                </w:p>
              </w:tc>
              <w:tc>
                <w:tcPr>
                  <w:tcW w:type="dxa" w:w="4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2" w:after="0"/>
                    <w:ind w:left="0" w:right="1556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Notes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2"/>
        </w:trPr>
        <w:tc>
          <w:tcPr>
            <w:tcW w:type="dxa" w:w="10648"/>
            <w:tcBorders>
              <w:start w:sz="2.876147508621216" w:val="single" w:color="#E0E5EA"/>
              <w:top w:sz="2.3999999999999773" w:val="single" w:color="#E0E5EA"/>
              <w:end w:sz="2.876147508621216" w:val="single" w:color="#E0E5EA"/>
              <w:bottom w:sz="2.400000000000034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92"/>
              </w:trPr>
              <w:tc>
                <w:tcPr>
                  <w:tcW w:type="dxa" w:w="2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Metaculus (Community Forecast)</w:t>
                  </w:r>
                </w:p>
              </w:tc>
              <w:tc>
                <w:tcPr>
                  <w:tcW w:type="dxa" w:w="3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38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First general AI announced: May 2033 (median)</w:t>
                  </w:r>
                </w:p>
              </w:tc>
              <w:tc>
                <w:tcPr>
                  <w:tcW w:type="dxa" w:w="3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6" w:lineRule="auto" w:before="64" w:after="0"/>
                    <w:ind w:left="0" w:right="886" w:firstLine="0"/>
                    <w:jc w:val="right"/>
                  </w:pPr>
                  <w:r>
                    <w:rPr>
                      <w:w w:val="95.87158626980252"/>
                      <w:rFonts w:ascii="" w:hAnsi="" w:eastAsia=""/>
                      <w:b w:val="0"/>
                      <w:i w:val="0"/>
                      <w:color w:val="67727E"/>
                      <w:sz w:val="9"/>
                    </w:rPr>
                    <w:t>Weakly general AI forecast: March 2028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10648"/>
            <w:tcBorders>
              <w:start w:sz="2.876147508621216" w:val="single" w:color="#E0E5EA"/>
              <w:top w:sz="2.400000000000034" w:val="single" w:color="#E0E5EA"/>
              <w:end w:sz="2.876147508621216" w:val="single" w:color="#E0E5EA"/>
              <w:bottom w:sz="3.2000000000000455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92"/>
              </w:trPr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AI Impacts ESPAI Survey</w:t>
                  </w:r>
                </w:p>
              </w:tc>
              <w:tc>
                <w:tcPr>
                  <w:tcW w:type="dxa" w:w="4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58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HLMI (50% probability): 2031-2047 depending on methodology</w:t>
                  </w:r>
                </w:p>
              </w:tc>
              <w:tc>
                <w:tcPr>
                  <w:tcW w:type="dxa" w:w="3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6" w:lineRule="auto" w:before="64" w:after="0"/>
                    <w:ind w:left="896" w:right="0" w:firstLine="0"/>
                    <w:jc w:val="left"/>
                  </w:pPr>
                  <w:r>
                    <w:rPr>
                      <w:w w:val="95.87158626980252"/>
                      <w:rFonts w:ascii="" w:hAnsi="" w:eastAsia=""/>
                      <w:b w:val="0"/>
                      <w:i w:val="0"/>
                      <w:color w:val="67727E"/>
                      <w:sz w:val="9"/>
                    </w:rPr>
                    <w:t>Timelines shortened by 13 years between 2022-2023 surveys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4"/>
        </w:trPr>
        <w:tc>
          <w:tcPr>
            <w:tcW w:type="dxa" w:w="10648"/>
            <w:tcBorders>
              <w:start w:sz="2.876147508621216" w:val="single" w:color="#E0E5EA"/>
              <w:top w:sz="3.2000000000000455" w:val="single" w:color="#E0E5EA"/>
              <w:end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3549"/>
              <w:gridCol w:w="3549"/>
              <w:gridCol w:w="3549"/>
            </w:tblGrid>
            <w:tr>
              <w:trPr>
                <w:trHeight w:hRule="exact" w:val="166"/>
              </w:trPr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80,000 Hours Analysis (2025)</w:t>
                  </w:r>
                </w:p>
              </w:tc>
              <w:tc>
                <w:tcPr>
                  <w:tcW w:type="dxa" w:w="4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466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Expert forecasts contracted from 50 years to 5 years over past four years</w:t>
                  </w:r>
                </w:p>
              </w:tc>
              <w:tc>
                <w:tcPr>
                  <w:tcW w:type="dxa" w:w="3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6" w:lineRule="auto" w:before="64" w:after="0"/>
                    <w:ind w:left="656" w:right="0" w:firstLine="0"/>
                    <w:jc w:val="left"/>
                  </w:pPr>
                  <w:r>
                    <w:rPr>
                      <w:w w:val="95.87158626980252"/>
                      <w:rFonts w:ascii="" w:hAnsi="" w:eastAsia=""/>
                      <w:b w:val="0"/>
                      <w:i w:val="0"/>
                      <w:color w:val="67727E"/>
                      <w:sz w:val="9"/>
                    </w:rPr>
                    <w:t>AI company leaders claim AGI within 2-5 years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1746"/>
        </w:trPr>
        <w:tc>
          <w:tcPr>
            <w:tcW w:type="dxa" w:w="10548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62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871237"/>
                <w:sz w:val="10"/>
              </w:rPr>
              <w:t>Timeline Implications: Expert forecasts have contracted dramatically — from 50 years to 5 years over four years. While prediction uncertainty is high, the direction of revision (consistently earlier) suggests current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52"/>
        </w:trPr>
        <w:tc>
          <w:tcPr>
            <w:tcW w:type="dxa" w:w="10548"/>
            <w:tcBorders>
              <w:bottom w:sz="2.876147508621216" w:val="single" w:color="#FECCD3"/>
            </w:tcBorders>
            <w:shd w:fill="ff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871237"/>
                <w:sz w:val="10"/>
              </w:rPr>
              <w:t>deployment challenges reflect early-phase adoption rather than fundamental capability limits.</w:t>
            </w:r>
          </w:p>
        </w:tc>
      </w:tr>
    </w:tbl>
    <w:p>
      <w:pPr>
        <w:autoSpaceDN w:val="0"/>
        <w:autoSpaceDE w:val="0"/>
        <w:widowControl/>
        <w:spacing w:line="206" w:lineRule="auto" w:before="234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4.6 Interpreting the Evidence</w:t>
      </w:r>
    </w:p>
    <w:p>
      <w:pPr>
        <w:autoSpaceDN w:val="0"/>
        <w:autoSpaceDE w:val="0"/>
        <w:widowControl/>
        <w:spacing w:line="204" w:lineRule="auto" w:before="166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The evidence supports several conclusions:</w:t>
      </w:r>
    </w:p>
    <w:p>
      <w:pPr>
        <w:autoSpaceDN w:val="0"/>
        <w:autoSpaceDE w:val="0"/>
        <w:widowControl/>
        <w:spacing w:line="209" w:lineRule="auto" w:before="180" w:after="0"/>
        <w:ind w:left="174" w:right="0" w:firstLine="0"/>
        <w:jc w:val="left"/>
      </w:pPr>
      <w:r>
        <w:rPr>
          <w:w w:val="98.32134393752865"/>
          <w:rFonts w:ascii="" w:hAnsi="" w:eastAsia=""/>
          <w:b w:val="0"/>
          <w:i w:val="0"/>
          <w:color w:val="1C262F"/>
          <w:sz w:val="10"/>
        </w:rPr>
        <w:t>1.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The productivity gap is real. 90-95% of firms report no measurable AI productivity impact despite significant investment.</w:t>
      </w:r>
    </w:p>
    <w:p>
      <w:pPr>
        <w:autoSpaceDN w:val="0"/>
        <w:autoSpaceDE w:val="0"/>
        <w:widowControl/>
        <w:spacing w:line="230" w:lineRule="auto" w:before="130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2.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Task-level gains are also real. Controlled studies consistently document 14-55% improvements for specific tasks.</w:t>
      </w:r>
    </w:p>
    <w:p>
      <w:pPr>
        <w:autoSpaceDN w:val="0"/>
        <w:autoSpaceDE w:val="0"/>
        <w:widowControl/>
        <w:spacing w:line="223" w:lineRule="auto" w:before="134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3.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This pattern has historical precedent. The Solow Paradox showed a 10-15 year lag between IT investment and productivity gains.</w:t>
      </w:r>
    </w:p>
    <w:p>
      <w:pPr>
        <w:autoSpaceDN w:val="0"/>
        <w:autoSpaceDE w:val="0"/>
        <w:widowControl/>
        <w:spacing w:line="230" w:lineRule="auto" w:before="132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4.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AI differs from previous hype cycles. Unlike metaverse/VR, AI capabilities continue improving on fundamental metrics and are embedded in daily workflows.</w:t>
      </w:r>
    </w:p>
    <w:p>
      <w:pPr>
        <w:autoSpaceDN w:val="0"/>
        <w:autoSpaceDE w:val="0"/>
        <w:widowControl/>
        <w:spacing w:line="223" w:lineRule="auto" w:before="134" w:after="13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5.</w:t>
      </w: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 xml:space="preserve"> Timeline forecasts suggest limited runway. AGI predictions have compressed from decades to years, though uncertainty remains high.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1022"/>
      </w:tblGrid>
      <w:tr>
        <w:trPr>
          <w:trHeight w:hRule="exact" w:val="360"/>
        </w:trPr>
        <w:tc>
          <w:tcPr>
            <w:tcW w:type="dxa" w:w="10656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16" w:after="0"/>
              <w:ind w:left="17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Bottom Line: Current evidence is consistent with a temporary plateau between adoption phases rather than evidence that AI has reached its limits. Organizations interpreting current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1022"/>
      </w:tblGrid>
      <w:tr>
        <w:trPr>
          <w:trHeight w:hRule="exact" w:val="204"/>
        </w:trPr>
        <w:tc>
          <w:tcPr>
            <w:tcW w:type="dxa" w:w="10120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19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deployment challenges as confirmation that "the hype is dying" may be making the same error as those who dismissed computing's transformative potential in the 1980s.</w:t>
            </w:r>
          </w:p>
        </w:tc>
      </w:tr>
    </w:tbl>
    <w:p>
      <w:pPr>
        <w:autoSpaceDN w:val="0"/>
        <w:autoSpaceDE w:val="0"/>
        <w:widowControl/>
        <w:spacing w:line="204" w:lineRule="auto" w:before="724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SECTION 5</w:t>
      </w:r>
    </w:p>
    <w:p>
      <w:pPr>
        <w:autoSpaceDN w:val="0"/>
        <w:autoSpaceDE w:val="0"/>
        <w:widowControl/>
        <w:spacing w:line="206" w:lineRule="auto" w:before="138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26"/>
        </w:rPr>
        <w:t>Future Outlook</w:t>
      </w:r>
    </w:p>
    <w:p>
      <w:pPr>
        <w:autoSpaceDN w:val="0"/>
        <w:autoSpaceDE w:val="0"/>
        <w:widowControl/>
        <w:spacing w:line="209" w:lineRule="auto" w:before="164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The productivity gap documented in Section 4 reflects a phase transition, not a technology ceiling. This section presents evidence on capability trajectories, AGI timelines, and organizational</w:t>
      </w:r>
    </w:p>
    <w:p>
      <w:pPr>
        <w:autoSpaceDN w:val="0"/>
        <w:autoSpaceDE w:val="0"/>
        <w:widowControl/>
        <w:spacing w:line="204" w:lineRule="auto" w:before="72" w:after="0"/>
        <w:ind w:left="174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67727E"/>
          <w:sz w:val="12"/>
        </w:rPr>
        <w:t>preparation requirements.</w:t>
      </w:r>
    </w:p>
    <w:p>
      <w:pPr>
        <w:autoSpaceDN w:val="0"/>
        <w:autoSpaceDE w:val="0"/>
        <w:widowControl/>
        <w:spacing w:line="206" w:lineRule="auto" w:before="366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5.1 Evidence of Continued Capability Progress</w:t>
      </w:r>
    </w:p>
    <w:p>
      <w:pPr>
        <w:autoSpaceDN w:val="0"/>
        <w:autoSpaceDE w:val="0"/>
        <w:widowControl/>
        <w:spacing w:line="209" w:lineRule="auto" w:before="156" w:after="252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Unlike previous technology hype cycles, AI capabilities continue improving on fundamental performance metrics. This distinguishes current adoption challenges from evidence of technology limits.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.00000000000006" w:type="dxa"/>
      </w:tblPr>
      <w:tblGrid>
        <w:gridCol w:w="11022"/>
      </w:tblGrid>
      <w:tr>
        <w:trPr>
          <w:trHeight w:hRule="exact" w:val="274"/>
        </w:trPr>
        <w:tc>
          <w:tcPr>
            <w:tcW w:type="dxa" w:w="10648"/>
            <w:tcBorders>
              <w:start w:sz="2.876147508621216" w:val="single" w:color="#E0E5EA"/>
              <w:end w:sz="2.876147508621216" w:val="single" w:color="#E0E5EA"/>
              <w:bottom w:sz="2.400000000000091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2662"/>
              <w:gridCol w:w="2662"/>
              <w:gridCol w:w="2662"/>
              <w:gridCol w:w="2662"/>
            </w:tblGrid>
            <w:tr>
              <w:trPr>
                <w:trHeight w:hRule="exact" w:val="170"/>
              </w:trPr>
              <w:tc>
                <w:tcPr>
                  <w:tcW w:type="dxa" w:w="2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Benchmark</w:t>
                  </w:r>
                </w:p>
              </w:tc>
              <w:tc>
                <w:tcPr>
                  <w:tcW w:type="dxa" w:w="3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0" w:after="0"/>
                    <w:ind w:left="0" w:right="546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2024 Baseline</w:t>
                  </w:r>
                </w:p>
              </w:tc>
              <w:tc>
                <w:tcPr>
                  <w:tcW w:type="dxa" w:w="2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0" w:after="0"/>
                    <w:ind w:left="0" w:right="1258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2025</w:t>
                  </w:r>
                </w:p>
              </w:tc>
              <w:tc>
                <w:tcPr>
                  <w:tcW w:type="dxa" w:w="2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8" w:after="0"/>
                    <w:ind w:left="0" w:right="680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Change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2"/>
        </w:trPr>
        <w:tc>
          <w:tcPr>
            <w:tcW w:type="dxa" w:w="10648"/>
            <w:tcBorders>
              <w:start w:sz="2.876147508621216" w:val="single" w:color="#E0E5EA"/>
              <w:top w:sz="2.400000000000091" w:val="single" w:color="#E0E5EA"/>
              <w:end w:sz="2.876147508621216" w:val="single" w:color="#E0E5EA"/>
              <w:bottom w:sz="3.200000000000273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2662"/>
              <w:gridCol w:w="2662"/>
              <w:gridCol w:w="2662"/>
              <w:gridCol w:w="2662"/>
            </w:tblGrid>
            <w:tr>
              <w:trPr>
                <w:trHeight w:hRule="exact" w:val="196"/>
              </w:trPr>
              <w:tc>
                <w:tcPr>
                  <w:tcW w:type="dxa" w:w="3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4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GPQA Diamond (PhD-level reasoning)</w:t>
                  </w:r>
                </w:p>
              </w:tc>
              <w:tc>
                <w:tcPr>
                  <w:tcW w:type="dxa" w:w="2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56" w:after="0"/>
                    <w:ind w:left="0" w:right="734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~65%</w:t>
                  </w:r>
                </w:p>
              </w:tc>
              <w:tc>
                <w:tcPr>
                  <w:tcW w:type="dxa" w:w="2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4" w:after="0"/>
                    <w:ind w:left="0" w:right="974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87.3% (Claude 5)</w:t>
                  </w:r>
                </w:p>
              </w:tc>
              <w:tc>
                <w:tcPr>
                  <w:tcW w:type="dxa" w:w="2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4" w:after="0"/>
                    <w:ind w:left="0" w:right="606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047857"/>
                      <w:sz w:val="10"/>
                    </w:rPr>
                    <w:t>+22 points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10648"/>
            <w:tcBorders>
              <w:start w:sz="2.876147508621216" w:val="single" w:color="#E0E5EA"/>
              <w:top w:sz="3.200000000000273" w:val="single" w:color="#E0E5EA"/>
              <w:end w:sz="2.876147508621216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2662"/>
              <w:gridCol w:w="2662"/>
              <w:gridCol w:w="2662"/>
              <w:gridCol w:w="2662"/>
            </w:tblGrid>
            <w:tr>
              <w:trPr>
                <w:trHeight w:hRule="exact" w:val="196"/>
              </w:trPr>
              <w:tc>
                <w:tcPr>
                  <w:tcW w:type="dxa" w:w="3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SWE-bench Verified (real GitHub issues)</w:t>
                  </w:r>
                </w:p>
              </w:tc>
              <w:tc>
                <w:tcPr>
                  <w:tcW w:type="dxa" w:w="2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56" w:after="0"/>
                    <w:ind w:left="0" w:right="732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~45%</w:t>
                  </w:r>
                </w:p>
              </w:tc>
              <w:tc>
                <w:tcPr>
                  <w:tcW w:type="dxa" w:w="2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80.8% (Claude Opus 4.5)</w:t>
                  </w:r>
                </w:p>
              </w:tc>
              <w:tc>
                <w:tcPr>
                  <w:tcW w:type="dxa" w:w="1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0" w:right="604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047857"/>
                      <w:sz w:val="10"/>
                    </w:rPr>
                    <w:t>+35 points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10648"/>
            <w:tcBorders>
              <w:start w:sz="2.876147508621216" w:val="single" w:color="#E0E5EA"/>
              <w:top w:sz="3.199999999999818" w:val="single" w:color="#E0E5EA"/>
              <w:end w:sz="2.876147508621216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2662"/>
              <w:gridCol w:w="2662"/>
              <w:gridCol w:w="2662"/>
              <w:gridCol w:w="2662"/>
            </w:tblGrid>
            <w:tr>
              <w:trPr>
                <w:trHeight w:hRule="exact" w:val="196"/>
              </w:trPr>
              <w:tc>
                <w:tcPr>
                  <w:tcW w:type="dxa" w:w="2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HumanEval (code generation)</w:t>
                  </w:r>
                </w:p>
              </w:tc>
              <w:tc>
                <w:tcPr>
                  <w:tcW w:type="dxa" w:w="2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56" w:after="0"/>
                    <w:ind w:left="0" w:right="734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~85%</w:t>
                  </w:r>
                </w:p>
              </w:tc>
              <w:tc>
                <w:tcPr>
                  <w:tcW w:type="dxa" w:w="2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98.1% (GPT-5.3-Codex)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0" w:right="622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047857"/>
                      <w:sz w:val="10"/>
                    </w:rPr>
                    <w:t>+13 points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0648"/>
            <w:tcBorders>
              <w:start w:sz="2.876147508621216" w:val="single" w:color="#E0E5EA"/>
              <w:top w:sz="3.199999999999818" w:val="single" w:color="#E0E5EA"/>
              <w:end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2662"/>
              <w:gridCol w:w="2662"/>
              <w:gridCol w:w="2662"/>
              <w:gridCol w:w="2662"/>
            </w:tblGrid>
            <w:tr>
              <w:trPr>
                <w:trHeight w:hRule="exact" w:val="172"/>
              </w:trPr>
              <w:tc>
                <w:tcPr>
                  <w:tcW w:type="dxa" w:w="2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Inference cost (per million tokens)</w:t>
                  </w:r>
                </w:p>
              </w:tc>
              <w:tc>
                <w:tcPr>
                  <w:tcW w:type="dxa" w:w="2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58" w:after="0"/>
                    <w:ind w:left="0" w:right="790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$60</w:t>
                  </w:r>
                </w:p>
              </w:tc>
              <w:tc>
                <w:tcPr>
                  <w:tcW w:type="dxa" w:w="2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58" w:after="0"/>
                    <w:ind w:left="0" w:right="1254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$0.21</w:t>
                  </w:r>
                </w:p>
              </w:tc>
              <w:tc>
                <w:tcPr>
                  <w:tcW w:type="dxa" w:w="2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56" w:after="0"/>
                    <w:ind w:left="0" w:right="506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047857"/>
                      <w:sz w:val="10"/>
                    </w:rPr>
                    <w:t>280x reduction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072"/>
        </w:trPr>
        <w:tc>
          <w:tcPr>
            <w:tcW w:type="dxa" w:w="10548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944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D3A8A"/>
                <w:sz w:val="10"/>
              </w:rPr>
              <w:t>Key Observation: These improvements are driven by inference-time computation and architectural refinements, not simply parameter scaling. Progress is constrained by research breakthroughs rather than resource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52"/>
        </w:trPr>
        <w:tc>
          <w:tcPr>
            <w:tcW w:type="dxa" w:w="10548"/>
            <w:tcBorders>
              <w:bottom w:sz="2.876147508621216" w:val="single" w:color="#BEDAFE"/>
            </w:tcBorders>
            <w:shd w:fill="eff5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D3A8A"/>
                <w:sz w:val="10"/>
              </w:rPr>
              <w:t>limitations — a fundamentally different constraint than previous hype cycles.</w:t>
            </w:r>
          </w:p>
        </w:tc>
      </w:tr>
    </w:tbl>
    <w:p>
      <w:pPr>
        <w:autoSpaceDN w:val="0"/>
        <w:autoSpaceDE w:val="0"/>
        <w:widowControl/>
        <w:spacing w:line="206" w:lineRule="auto" w:before="330" w:after="0"/>
        <w:ind w:left="174" w:right="0" w:firstLine="0"/>
        <w:jc w:val="left"/>
      </w:pPr>
      <w:r>
        <w:rPr>
          <w:rFonts w:ascii="" w:hAnsi="" w:eastAsia=""/>
          <w:b w:val="0"/>
          <w:i w:val="0"/>
          <w:color w:val="1C262F"/>
          <w:sz w:val="17"/>
        </w:rPr>
        <w:t>5.2 AGI Timeline Forecasts</w:t>
      </w:r>
    </w:p>
    <w:p>
      <w:pPr>
        <w:autoSpaceDN w:val="0"/>
        <w:autoSpaceDE w:val="0"/>
        <w:widowControl/>
        <w:spacing w:line="209" w:lineRule="auto" w:before="172" w:after="252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Expert forecasts have compressed dramatically. The consistent direction of revision (earlier, not later) suggests systematic underestimation of capability progress.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.00000000000006" w:type="dxa"/>
      </w:tblPr>
      <w:tblGrid>
        <w:gridCol w:w="11022"/>
      </w:tblGrid>
      <w:tr>
        <w:trPr>
          <w:trHeight w:hRule="exact" w:val="274"/>
        </w:trPr>
        <w:tc>
          <w:tcPr>
            <w:tcW w:type="dxa" w:w="10648"/>
            <w:tcBorders>
              <w:start w:sz="2.876147508621216" w:val="single" w:color="#E0E5EA"/>
              <w:end w:sz="2.876147508621216" w:val="single" w:color="#E0E5EA"/>
              <w:bottom w:sz="2.4000000000005457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2662"/>
              <w:gridCol w:w="2662"/>
              <w:gridCol w:w="2662"/>
              <w:gridCol w:w="2662"/>
            </w:tblGrid>
            <w:tr>
              <w:trPr>
                <w:trHeight w:hRule="exact" w:val="168"/>
              </w:trPr>
              <w:tc>
                <w:tcPr>
                  <w:tcW w:type="dxa" w:w="2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Source</w:t>
                  </w:r>
                </w:p>
              </w:tc>
              <w:tc>
                <w:tcPr>
                  <w:tcW w:type="dxa" w:w="3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2" w:after="0"/>
                    <w:ind w:left="0" w:right="816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Earlier Forecast</w:t>
                  </w:r>
                </w:p>
              </w:tc>
              <w:tc>
                <w:tcPr>
                  <w:tcW w:type="dxa" w:w="2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2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Recent Forecast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32" w:after="0"/>
                    <w:ind w:left="0" w:right="638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Revision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2"/>
        </w:trPr>
        <w:tc>
          <w:tcPr>
            <w:tcW w:type="dxa" w:w="10648"/>
            <w:tcBorders>
              <w:start w:sz="2.876147508621216" w:val="single" w:color="#E0E5EA"/>
              <w:top w:sz="2.4000000000005457" w:val="single" w:color="#E0E5EA"/>
              <w:end w:sz="2.876147508621216" w:val="single" w:color="#E0E5EA"/>
              <w:bottom w:sz="2.39999999999963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2662"/>
              <w:gridCol w:w="2662"/>
              <w:gridCol w:w="2662"/>
              <w:gridCol w:w="2662"/>
            </w:tblGrid>
            <w:tr>
              <w:trPr>
                <w:trHeight w:hRule="exact" w:val="196"/>
              </w:trPr>
              <w:tc>
                <w:tcPr>
                  <w:tcW w:type="dxa" w:w="2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56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Metaculus Mean</w:t>
                  </w:r>
                </w:p>
              </w:tc>
              <w:tc>
                <w:tcPr>
                  <w:tcW w:type="dxa" w:w="3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4" w:after="0"/>
                    <w:ind w:left="0" w:right="820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2070 (50 years)</w:t>
                  </w:r>
                </w:p>
              </w:tc>
              <w:tc>
                <w:tcPr>
                  <w:tcW w:type="dxa" w:w="2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4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2030 (6 years)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0" w:right="598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BE123C"/>
                      <w:sz w:val="10"/>
                    </w:rPr>
                    <w:t>-40 years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24"/>
        </w:trPr>
        <w:tc>
          <w:tcPr>
            <w:tcW w:type="dxa" w:w="10648"/>
            <w:tcBorders>
              <w:start w:sz="2.876147508621216" w:val="single" w:color="#E0E5EA"/>
              <w:top w:sz="2.399999999999636" w:val="single" w:color="#E0E5EA"/>
              <w:end w:sz="2.876147508621216" w:val="single" w:color="#E0E5EA"/>
              <w:bottom w:sz="3.199999999999818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2662"/>
              <w:gridCol w:w="2662"/>
              <w:gridCol w:w="2662"/>
              <w:gridCol w:w="2662"/>
            </w:tblGrid>
            <w:tr>
              <w:trPr>
                <w:trHeight w:hRule="exact" w:val="198"/>
              </w:trPr>
              <w:tc>
                <w:tcPr>
                  <w:tcW w:type="dxa" w:w="2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6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AI Researcher Survey (HLMI)</w:t>
                  </w:r>
                </w:p>
              </w:tc>
              <w:tc>
                <w:tcPr>
                  <w:tcW w:type="dxa" w:w="2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56" w:after="0"/>
                    <w:ind w:left="0" w:right="1070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2059</w:t>
                  </w:r>
                </w:p>
              </w:tc>
              <w:tc>
                <w:tcPr>
                  <w:tcW w:type="dxa" w:w="2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56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2046</w:t>
                  </w:r>
                </w:p>
              </w:tc>
              <w:tc>
                <w:tcPr>
                  <w:tcW w:type="dxa" w:w="2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6" w:after="0"/>
                    <w:ind w:left="0" w:right="624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BE123C"/>
                      <w:sz w:val="10"/>
                    </w:rPr>
                    <w:t>-13 years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4"/>
        </w:trPr>
        <w:tc>
          <w:tcPr>
            <w:tcW w:type="dxa" w:w="10648"/>
            <w:tcBorders>
              <w:start w:sz="2.876147508621216" w:val="single" w:color="#E0E5EA"/>
              <w:top w:sz="3.199999999999818" w:val="single" w:color="#E0E5EA"/>
              <w:end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4.00000000000006" w:type="dxa"/>
            </w:tblPr>
            <w:tblGrid>
              <w:gridCol w:w="2662"/>
              <w:gridCol w:w="2662"/>
              <w:gridCol w:w="2662"/>
              <w:gridCol w:w="2662"/>
            </w:tblGrid>
            <w:tr>
              <w:trPr>
                <w:trHeight w:hRule="exact" w:val="166"/>
              </w:trPr>
              <w:tc>
                <w:tcPr>
                  <w:tcW w:type="dxa" w:w="2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4" w:lineRule="auto" w:before="60" w:after="0"/>
                    <w:ind w:left="60" w:right="0" w:firstLine="0"/>
                    <w:jc w:val="left"/>
                  </w:pPr>
                  <w:r>
                    <w:rPr>
                      <w:rFonts w:ascii="" w:hAnsi="" w:eastAsia=""/>
                      <w:b w:val="0"/>
                      <w:i w:val="0"/>
                      <w:color w:val="1C262F"/>
                      <w:sz w:val="10"/>
                    </w:rPr>
                    <w:t>Industry Leaders</w:t>
                  </w:r>
                </w:p>
              </w:tc>
              <w:tc>
                <w:tcPr>
                  <w:tcW w:type="dxa" w:w="3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0" w:right="914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10-20 years</w:t>
                  </w:r>
                </w:p>
              </w:tc>
              <w:tc>
                <w:tcPr>
                  <w:tcW w:type="dxa" w:w="2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0" w:right="0" w:firstLine="0"/>
                    <w:jc w:val="center"/>
                  </w:pPr>
                  <w:r>
                    <w:rPr>
                      <w:rFonts w:ascii="" w:hAnsi="" w:eastAsia=""/>
                      <w:b w:val="0"/>
                      <w:i w:val="0"/>
                      <w:color w:val="67727E"/>
                      <w:sz w:val="10"/>
                    </w:rPr>
                    <w:t>2-5 years</w:t>
                  </w:r>
                </w:p>
              </w:tc>
              <w:tc>
                <w:tcPr>
                  <w:tcW w:type="dxa" w:w="2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60" w:after="0"/>
                    <w:ind w:left="0" w:right="576" w:firstLine="0"/>
                    <w:jc w:val="right"/>
                  </w:pPr>
                  <w:r>
                    <w:rPr>
                      <w:rFonts w:ascii="" w:hAnsi="" w:eastAsia=""/>
                      <w:b w:val="0"/>
                      <w:i w:val="0"/>
                      <w:color w:val="BE123C"/>
                      <w:sz w:val="10"/>
                    </w:rPr>
                    <w:t>-10+ years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1746"/>
        </w:trPr>
        <w:tc>
          <w:tcPr>
            <w:tcW w:type="dxa" w:w="10548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62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871237"/>
                <w:sz w:val="10"/>
              </w:rPr>
              <w:t>Aggregated Estimate: Greater than 80% probability of AGI by 2031. AGI defined as systems capable of performing most economically valuable work at or above human level. Current productivity challenges will appear</w:t>
            </w:r>
          </w:p>
        </w:tc>
      </w:tr>
    </w:tbl>
    <w:p>
      <w:pPr>
        <w:autoSpaceDN w:val="0"/>
        <w:autoSpaceDE w:val="0"/>
        <w:widowControl/>
        <w:spacing w:line="20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11022"/>
      </w:tblGrid>
      <w:tr>
        <w:trPr>
          <w:trHeight w:hRule="exact" w:val="206"/>
        </w:trPr>
        <w:tc>
          <w:tcPr>
            <w:tcW w:type="dxa" w:w="10572"/>
            <w:tcBorders/>
            <w:shd w:fill="fffa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6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1C262F"/>
                <w:sz w:val="12"/>
              </w:rPr>
              <w:t>Individual Assistants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11022"/>
      </w:tblGrid>
      <w:tr>
        <w:trPr>
          <w:trHeight w:hRule="exact" w:val="206"/>
        </w:trPr>
        <w:tc>
          <w:tcPr>
            <w:tcW w:type="dxa" w:w="7740"/>
            <w:tcBorders/>
            <w:shd w:fill="fffa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56" w:after="0"/>
              <w:ind w:left="16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Human-in-the-loop tools that augment individual tasks (ChatGPT, Copilot, drafting assistants)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3720"/>
        </w:trPr>
        <w:tc>
          <w:tcPr>
            <w:tcW w:type="dxa" w:w="10548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926" w:after="0"/>
              <w:ind w:left="0" w:right="288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Critical distinction: What we are seeing now regarding AI hype "dying down" relates to deployment challenges and organizational adaptation — not architectural breakthroughs or capability 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ceilings. This technology is a few research advances away from capabilities that will supersede human performance on most tasks regardless of current adoption status.</w:t>
            </w:r>
          </w:p>
          <w:p>
            <w:pPr>
              <w:autoSpaceDN w:val="0"/>
              <w:autoSpaceDE w:val="0"/>
              <w:widowControl/>
              <w:spacing w:line="209" w:lineRule="auto" w:before="366" w:after="0"/>
              <w:ind w:left="0" w:right="0" w:firstLine="0"/>
              <w:jc w:val="left"/>
            </w:pPr>
            <w:r>
              <w:rPr>
                <w:w w:val="101.51109134449679"/>
                <w:rFonts w:ascii="" w:hAnsi="" w:eastAsia=""/>
                <w:b w:val="0"/>
                <w:i w:val="0"/>
                <w:color w:val="1C262F"/>
                <w:sz w:val="17"/>
              </w:rPr>
              <w:t>5.3 Adoption Phase Transitions</w:t>
            </w:r>
          </w:p>
          <w:p>
            <w:pPr>
              <w:autoSpaceDN w:val="0"/>
              <w:autoSpaceDE w:val="0"/>
              <w:widowControl/>
              <w:spacing w:line="204" w:lineRule="auto" w:before="154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Current productivity challenges are phase-specific. The ChatGPT era — individual assistants and copilots — has reached its ceiling. This does not indicate technology failure; it indicates transition to the next phase.</w:t>
            </w:r>
          </w:p>
          <w:p>
            <w:pPr>
              <w:autoSpaceDN w:val="0"/>
              <w:autoSpaceDE w:val="0"/>
              <w:widowControl/>
              <w:spacing w:line="206" w:lineRule="auto" w:before="1486" w:after="0"/>
              <w:ind w:left="6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PHASE 2 (2025-2027)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5511"/>
        <w:gridCol w:w="5511"/>
      </w:tblGrid>
      <w:tr>
        <w:trPr>
          <w:trHeight w:hRule="exact" w:val="290"/>
        </w:trPr>
        <w:tc>
          <w:tcPr>
            <w:tcW w:type="dxa" w:w="9746"/>
            <w:tcBorders>
              <w:top w:sz="2.876147508621216" w:val="single" w:color="#FBD34D"/>
            </w:tcBorders>
            <w:shd w:fill="fffa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78" w:after="0"/>
              <w:ind w:left="68" w:right="0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67727E"/>
                <w:sz w:val="9"/>
              </w:rPr>
              <w:t>PHASE 1 (2022-2025)</w:t>
            </w:r>
          </w:p>
        </w:tc>
        <w:tc>
          <w:tcPr>
            <w:tcW w:type="dxa" w:w="802"/>
            <w:tcBorders>
              <w:top w:sz="2.876147508621216" w:val="single" w:color="#FBD34D"/>
            </w:tcBorders>
            <w:shd w:fill="fffa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802"/>
            </w:tblGrid>
            <w:tr>
              <w:trPr>
                <w:trHeight w:hRule="exact" w:val="152"/>
              </w:trPr>
              <w:tc>
                <w:tcPr>
                  <w:tcW w:type="dxa" w:w="734"/>
                  <w:tcBorders/>
                  <w:shd w:fill="fde68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6" w:lineRule="auto" w:before="50" w:after="0"/>
                    <w:ind w:left="0" w:right="0" w:firstLine="0"/>
                    <w:jc w:val="center"/>
                  </w:pPr>
                  <w:r>
                    <w:rPr>
                      <w:w w:val="95.87158626980252"/>
                      <w:rFonts w:ascii="" w:hAnsi="" w:eastAsia=""/>
                      <w:b w:val="0"/>
                      <w:i w:val="0"/>
                      <w:color w:val="91400D"/>
                      <w:sz w:val="9"/>
                    </w:rPr>
                    <w:t>Current Ceiling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84"/>
        </w:trPr>
        <w:tc>
          <w:tcPr>
            <w:tcW w:type="dxa" w:w="10548"/>
            <w:tcBorders>
              <w:bottom w:sz="2.876147508621216" w:val="single" w:color="#FBD34D"/>
            </w:tcBorders>
            <w:shd w:fill="fffa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5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91400D"/>
                <w:sz w:val="10"/>
              </w:rPr>
              <w:t>Productivity ceiling emerging; 95% of firms report no measurable ROI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232"/>
        </w:trPr>
        <w:tc>
          <w:tcPr>
            <w:tcW w:type="dxa" w:w="10548"/>
            <w:tcBorders>
              <w:bottom w:sz="2.876147508621216" w:val="single" w:color="#FECCD3"/>
            </w:tcBorders>
            <w:shd w:fill="ff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2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871237"/>
                <w:sz w:val="10"/>
              </w:rPr>
              <w:t>modest in retrospect if these forecasts prove accurate.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284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1022"/>
      </w:tblGrid>
      <w:tr>
        <w:trPr>
          <w:trHeight w:hRule="exact" w:val="210"/>
        </w:trPr>
        <w:tc>
          <w:tcPr>
            <w:tcW w:type="dxa" w:w="10656"/>
            <w:tcBorders/>
            <w:shd w:fill="e0e5e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4" w:after="0"/>
              <w:ind w:left="122" w:right="0" w:firstLine="0"/>
              <w:jc w:val="left"/>
            </w:pPr>
            <w:r>
              <w:rPr>
                <w:w w:val="103.04556962400969"/>
                <w:rFonts w:ascii="" w:hAnsi="" w:eastAsia=""/>
                <w:b w:val="0"/>
                <w:i w:val="0"/>
                <w:color w:val="1C262F"/>
                <w:sz w:val="11"/>
              </w:rPr>
              <w:t>Task Agents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.0" w:type="dxa"/>
      </w:tblPr>
      <w:tblGrid>
        <w:gridCol w:w="11022"/>
      </w:tblGrid>
      <w:tr>
        <w:trPr>
          <w:trHeight w:hRule="exact" w:val="204"/>
        </w:trPr>
        <w:tc>
          <w:tcPr>
            <w:tcW w:type="dxa" w:w="7900"/>
            <w:tcBorders/>
            <w:shd w:fill="e0e5e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52" w:after="0"/>
              <w:ind w:left="16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Autonomous multi-step task completion with human oversight (research synthesis, code refactoring)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402"/>
        </w:trPr>
        <w:tc>
          <w:tcPr>
            <w:tcW w:type="dxa" w:w="10548"/>
            <w:tcBorders>
              <w:bottom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50" w:after="0"/>
              <w:ind w:left="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Production deployments beginning; reliability constraints being addressed</w:t>
            </w:r>
          </w:p>
        </w:tc>
      </w:tr>
    </w:tbl>
    <w:p>
      <w:pPr>
        <w:autoSpaceDN w:val="0"/>
        <w:autoSpaceDE w:val="0"/>
        <w:widowControl/>
        <w:spacing w:line="206" w:lineRule="auto" w:before="182" w:after="0"/>
        <w:ind w:left="296" w:right="0" w:firstLine="0"/>
        <w:jc w:val="left"/>
      </w:pPr>
      <w:r>
        <w:rPr>
          <w:w w:val="95.87158626980252"/>
          <w:rFonts w:ascii="" w:hAnsi="" w:eastAsia=""/>
          <w:b w:val="0"/>
          <w:i w:val="0"/>
          <w:color w:val="67727E"/>
          <w:sz w:val="9"/>
        </w:rPr>
        <w:t>PHASE 3 (2027+)</w:t>
      </w:r>
    </w:p>
    <w:p>
      <w:pPr>
        <w:autoSpaceDN w:val="0"/>
        <w:autoSpaceDE w:val="0"/>
        <w:widowControl/>
        <w:spacing w:line="204" w:lineRule="auto" w:before="66" w:after="0"/>
        <w:ind w:left="296" w:right="0" w:firstLine="0"/>
        <w:jc w:val="left"/>
      </w:pPr>
      <w:r>
        <w:rPr>
          <w:w w:val="95.87158362070718"/>
          <w:rFonts w:ascii="" w:hAnsi="" w:eastAsia=""/>
          <w:b w:val="0"/>
          <w:i w:val="0"/>
          <w:color w:val="1C262F"/>
          <w:sz w:val="12"/>
        </w:rPr>
        <w:t>Workflow Agents</w:t>
      </w:r>
    </w:p>
    <w:p>
      <w:pPr>
        <w:autoSpaceDN w:val="0"/>
        <w:autoSpaceDE w:val="0"/>
        <w:widowControl/>
        <w:spacing w:line="204" w:lineRule="auto" w:before="106" w:after="0"/>
        <w:ind w:left="296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End-to-end process automation with minimal intervention (full feature development, complex analysis)</w:t>
      </w:r>
    </w:p>
    <w:p>
      <w:pPr>
        <w:autoSpaceDN w:val="0"/>
        <w:autoSpaceDE w:val="0"/>
        <w:widowControl/>
        <w:spacing w:line="209" w:lineRule="auto" w:before="100" w:after="126"/>
        <w:ind w:left="296" w:right="0" w:firstLine="0"/>
        <w:jc w:val="left"/>
      </w:pPr>
      <w:r>
        <w:rPr>
          <w:rFonts w:ascii="" w:hAnsi="" w:eastAsia=""/>
          <w:b w:val="0"/>
          <w:i w:val="0"/>
          <w:color w:val="1C262F"/>
          <w:sz w:val="10"/>
        </w:rPr>
        <w:t>Early pilots; governance and safety frameworks under development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8.00000000000006" w:type="dxa"/>
      </w:tblPr>
      <w:tblGrid>
        <w:gridCol w:w="11022"/>
      </w:tblGrid>
      <w:tr>
        <w:trPr>
          <w:trHeight w:hRule="exact" w:val="444"/>
        </w:trPr>
        <w:tc>
          <w:tcPr>
            <w:tcW w:type="dxa" w:w="10548"/>
            <w:tcBorders>
              <w:top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18" w:after="0"/>
              <w:ind w:left="6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The same plateau will appear with AI agents. Organizations will deploy them, hit a ceiling on what current systems can reliably do, and interpret that as confirmation the hype is dying. The pattern will repeat until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1022"/>
      </w:tblGrid>
      <w:tr>
        <w:trPr>
          <w:trHeight w:hRule="exact" w:val="248"/>
        </w:trPr>
        <w:tc>
          <w:tcPr>
            <w:tcW w:type="dxa" w:w="10656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2" w:after="0"/>
              <w:ind w:left="1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organizations learn to anticipate phase transitions rather than interpreting them as technology failure.</w:t>
            </w:r>
          </w:p>
        </w:tc>
      </w:tr>
    </w:tbl>
    <w:p>
      <w:pPr>
        <w:autoSpaceDN w:val="0"/>
        <w:autoSpaceDE w:val="0"/>
        <w:widowControl/>
        <w:spacing w:line="206" w:lineRule="auto" w:before="344" w:after="0"/>
        <w:ind w:left="174" w:right="0" w:firstLine="0"/>
        <w:jc w:val="left"/>
      </w:pPr>
      <w:r>
        <w:rPr>
          <w:w w:val="101.51109134449679"/>
          <w:rFonts w:ascii="" w:hAnsi="" w:eastAsia=""/>
          <w:b w:val="0"/>
          <w:i w:val="0"/>
          <w:color w:val="1C262F"/>
          <w:sz w:val="17"/>
        </w:rPr>
        <w:t>5.4 Organizational Preparation</w:t>
      </w:r>
    </w:p>
    <w:p>
      <w:pPr>
        <w:autoSpaceDN w:val="0"/>
        <w:autoSpaceDE w:val="0"/>
        <w:widowControl/>
        <w:spacing w:line="204" w:lineRule="auto" w:before="100" w:after="252"/>
        <w:ind w:left="174" w:right="0" w:firstLine="0"/>
        <w:jc w:val="left"/>
      </w:pPr>
      <w:r>
        <w:rPr>
          <w:rFonts w:ascii="" w:hAnsi="" w:eastAsia=""/>
          <w:b w:val="0"/>
          <w:i w:val="0"/>
          <w:color w:val="67727E"/>
          <w:sz w:val="10"/>
        </w:rPr>
        <w:t>Transition to agentic AI will require organizational capabilities that differ from those developed for current-generation tools.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.00000000000006" w:type="dxa"/>
      </w:tblPr>
      <w:tblGrid>
        <w:gridCol w:w="11022"/>
      </w:tblGrid>
      <w:tr>
        <w:trPr>
          <w:trHeight w:hRule="exact" w:val="272"/>
        </w:trPr>
        <w:tc>
          <w:tcPr>
            <w:tcW w:type="dxa" w:w="10648"/>
            <w:tcBorders>
              <w:start w:sz="2.876147508621216" w:val="single" w:color="#E0E5EA"/>
              <w:end w:sz="2.876147508621216" w:val="single" w:color="#E0E5EA"/>
              <w:bottom w:sz="2.400000000000091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02" w:val="left"/>
              </w:tabs>
              <w:autoSpaceDE w:val="0"/>
              <w:widowControl/>
              <w:spacing w:line="226" w:lineRule="auto" w:before="62" w:after="0"/>
              <w:ind w:left="1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 xml:space="preserve">Area </w:t>
            </w:r>
            <w:r>
              <w:tab/>
            </w: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Requirements</w:t>
            </w:r>
          </w:p>
        </w:tc>
      </w:tr>
      <w:tr>
        <w:trPr>
          <w:trHeight w:hRule="exact" w:val="670"/>
        </w:trPr>
        <w:tc>
          <w:tcPr>
            <w:tcW w:type="dxa" w:w="10648"/>
            <w:tcBorders>
              <w:start w:sz="2.876147508621216" w:val="single" w:color="#E0E5EA"/>
              <w:top w:sz="2.400000000000091" w:val="single" w:color="#E0E5EA"/>
              <w:end w:sz="2.876147508621216" w:val="single" w:color="#E0E5EA"/>
              <w:bottom w:sz="3.2000000000000455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02" w:val="left"/>
              </w:tabs>
              <w:autoSpaceDE w:val="0"/>
              <w:widowControl/>
              <w:spacing w:line="312" w:lineRule="auto" w:before="110" w:after="0"/>
              <w:ind w:left="114" w:right="6768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Governance</w:t>
            </w:r>
            <w:r>
              <w:tab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Decision boundary frameworks for autonomous systems</w:t>
            </w:r>
            <w:r>
              <w:br/>
            </w:r>
            <w:r>
              <w:tab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Audit trail and accountability structures</w:t>
            </w:r>
            <w:r>
              <w:br/>
            </w:r>
            <w:r>
              <w:tab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Escalation protocols for agent failures</w:t>
            </w:r>
          </w:p>
        </w:tc>
      </w:tr>
      <w:tr>
        <w:trPr>
          <w:trHeight w:hRule="exact" w:val="668"/>
        </w:trPr>
        <w:tc>
          <w:tcPr>
            <w:tcW w:type="dxa" w:w="10648"/>
            <w:tcBorders>
              <w:start w:sz="2.876147508621216" w:val="single" w:color="#E0E5EA"/>
              <w:top w:sz="3.2000000000000455" w:val="single" w:color="#E0E5EA"/>
              <w:end w:sz="2.876147508621216" w:val="single" w:color="#E0E5EA"/>
              <w:bottom w:sz="2.400000000000091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02" w:val="left"/>
              </w:tabs>
              <w:autoSpaceDE w:val="0"/>
              <w:widowControl/>
              <w:spacing w:line="226" w:lineRule="auto" w:before="108" w:after="0"/>
              <w:ind w:left="1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Skills</w:t>
            </w:r>
            <w:r>
              <w:tab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Transition from AI usage to AI supervision</w:t>
            </w:r>
          </w:p>
          <w:p>
            <w:pPr>
              <w:autoSpaceDN w:val="0"/>
              <w:autoSpaceDE w:val="0"/>
              <w:widowControl/>
              <w:spacing w:line="209" w:lineRule="auto" w:before="72" w:after="0"/>
              <w:ind w:left="10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Evaluation and quality assurance capabilities</w:t>
            </w:r>
          </w:p>
          <w:p>
            <w:pPr>
              <w:autoSpaceDN w:val="0"/>
              <w:autoSpaceDE w:val="0"/>
              <w:widowControl/>
              <w:spacing w:line="209" w:lineRule="auto" w:before="70" w:after="0"/>
              <w:ind w:left="10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Orchestration and integration competencies</w:t>
            </w:r>
          </w:p>
        </w:tc>
      </w:tr>
      <w:tr>
        <w:trPr>
          <w:trHeight w:hRule="exact" w:val="620"/>
        </w:trPr>
        <w:tc>
          <w:tcPr>
            <w:tcW w:type="dxa" w:w="10648"/>
            <w:tcBorders>
              <w:start w:sz="2.876147508621216" w:val="single" w:color="#E0E5EA"/>
              <w:top w:sz="2.400000000000091" w:val="single" w:color="#E0E5EA"/>
              <w:end w:sz="2.876147508621216" w:val="single" w:color="#E0E5E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02" w:val="left"/>
              </w:tabs>
              <w:autoSpaceDE w:val="0"/>
              <w:widowControl/>
              <w:spacing w:line="312" w:lineRule="auto" w:before="110" w:after="0"/>
              <w:ind w:left="114" w:right="720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0"/>
              </w:rPr>
              <w:t>Infrastructure</w:t>
            </w:r>
            <w:r>
              <w:tab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Observability for AI system behavior</w:t>
            </w:r>
            <w:r>
              <w:br/>
            </w:r>
            <w:r>
              <w:tab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Safety guardrails and containment mechanisms</w:t>
            </w:r>
            <w:r>
              <w:br/>
            </w:r>
            <w:r>
              <w:tab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Testing and validation frameworks</w:t>
            </w:r>
          </w:p>
        </w:tc>
      </w:tr>
    </w:tbl>
    <w:p>
      <w:pPr>
        <w:autoSpaceDN w:val="0"/>
        <w:autoSpaceDE w:val="0"/>
        <w:widowControl/>
        <w:spacing w:line="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6.0" w:type="dxa"/>
      </w:tblPr>
      <w:tblGrid>
        <w:gridCol w:w="3674"/>
        <w:gridCol w:w="3674"/>
        <w:gridCol w:w="3674"/>
      </w:tblGrid>
      <w:tr>
        <w:trPr>
          <w:trHeight w:hRule="exact" w:val="5580"/>
        </w:trPr>
        <w:tc>
          <w:tcPr>
            <w:tcW w:type="dxa" w:w="10820"/>
            <w:gridSpan w:val="3"/>
            <w:tcBorders>
              <w:top w:sz="2.876147508621216" w:val="single" w:color="#E0E5EA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42" w:after="0"/>
              <w:ind w:left="0" w:right="0" w:firstLine="0"/>
              <w:jc w:val="left"/>
            </w:pPr>
            <w:r>
              <w:rPr>
                <w:w w:val="101.51109134449679"/>
                <w:rFonts w:ascii="" w:hAnsi="" w:eastAsia=""/>
                <w:b w:val="0"/>
                <w:i w:val="0"/>
                <w:color w:val="1C262F"/>
                <w:sz w:val="17"/>
              </w:rPr>
              <w:t>5.5 Strategic Implications</w:t>
            </w:r>
          </w:p>
          <w:p>
            <w:pPr>
              <w:autoSpaceDN w:val="0"/>
              <w:autoSpaceDE w:val="0"/>
              <w:widowControl/>
              <w:spacing w:line="206" w:lineRule="auto" w:before="2334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26"/>
              </w:rPr>
              <w:t>Conclusion</w:t>
            </w:r>
          </w:p>
          <w:p>
            <w:pPr>
              <w:autoSpaceDN w:val="0"/>
              <w:autoSpaceDE w:val="0"/>
              <w:widowControl/>
              <w:spacing w:line="271" w:lineRule="auto" w:before="222" w:after="0"/>
              <w:ind w:left="0" w:right="288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This research documents a significant gap between AI adoption rates and value realization. While 88% of organizations report using AI, only 6% qualify as high performers capturing meaningful 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business impact. This finding is consistent across geographies and industries.</w:t>
            </w:r>
          </w:p>
          <w:p>
            <w:pPr>
              <w:autoSpaceDN w:val="0"/>
              <w:autoSpaceDE w:val="0"/>
              <w:widowControl/>
              <w:spacing w:line="271" w:lineRule="auto" w:before="244" w:after="0"/>
              <w:ind w:left="0" w:right="288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The productivity analysis reveals a pattern consistent with historical technology adoption cycles. Controlled studies document substantial productivity gains (14-55%), while aggregate statistics 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show minimal impact. This micro-macro gap reflects training deficits, task bottlenecks, and J-curve investment effects rather than fundamental technology limitations.</w:t>
            </w:r>
          </w:p>
          <w:p>
            <w:pPr>
              <w:autoSpaceDN w:val="0"/>
              <w:autoSpaceDE w:val="0"/>
              <w:widowControl/>
              <w:spacing w:line="271" w:lineRule="auto" w:before="244" w:after="0"/>
              <w:ind w:left="0" w:right="432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Barriers to value realization cluster around three areas: financial constraints limiting sustained investment, organizational inertia slowing deployment, and skills gaps that persist regardless of 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adoption maturity. Notably, skills challenges evolve rather than resolve as organizations advance through adoption stages.</w:t>
            </w:r>
          </w:p>
          <w:p>
            <w:pPr>
              <w:autoSpaceDN w:val="0"/>
              <w:autoSpaceDE w:val="0"/>
              <w:widowControl/>
              <w:spacing w:line="271" w:lineRule="auto" w:before="244" w:after="0"/>
              <w:ind w:left="0" w:right="432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 xml:space="preserve">Capability forecasts suggest compressed timelines for future AI development. Aggregated predictions indicate greater than 80% probability of AGI by 2031. Organizations that delay building </w:t>
            </w:r>
            <w:r>
              <w:rPr>
                <w:w w:val="95.87158362070718"/>
                <w:rFonts w:ascii="" w:hAnsi="" w:eastAsia=""/>
                <w:b w:val="0"/>
                <w:i w:val="0"/>
                <w:color w:val="67727E"/>
                <w:sz w:val="12"/>
              </w:rPr>
              <w:t>adaptive capabilities — governance frameworks, evaluation skills, flexible infrastructure — may face challenging transition periods.</w:t>
            </w:r>
          </w:p>
        </w:tc>
      </w:tr>
      <w:tr>
        <w:trPr>
          <w:trHeight w:hRule="exact" w:val="3148"/>
        </w:trPr>
        <w:tc>
          <w:tcPr>
            <w:tcW w:type="dxa" w:w="5420"/>
            <w:tcBorders>
              <w:start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70" w:after="0"/>
              <w:ind w:left="1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1C262F"/>
                <w:sz w:val="11"/>
              </w:rPr>
              <w:t>Key Takeaways</w:t>
            </w:r>
          </w:p>
          <w:p>
            <w:pPr>
              <w:autoSpaceDN w:val="0"/>
              <w:autoSpaceDE w:val="0"/>
              <w:widowControl/>
              <w:spacing w:line="360" w:lineRule="auto" w:before="134" w:after="0"/>
              <w:ind w:left="174" w:right="1008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The adoption-value gap is the defining challenge of enterprise AI in 2025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Current productivity plateaus are phase-specific, not technology-specific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Skills requirements evolve as adoption matures; training is not a one-time investment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• Organizations should prioritize adaptive capabilities over tool optimization</w:t>
            </w:r>
          </w:p>
          <w:p>
            <w:pPr>
              <w:autoSpaceDN w:val="0"/>
              <w:autoSpaceDE w:val="0"/>
              <w:widowControl/>
              <w:spacing w:line="336" w:lineRule="auto" w:before="664" w:after="0"/>
              <w:ind w:left="0" w:right="1584" w:firstLine="0"/>
              <w:jc w:val="left"/>
            </w:pPr>
            <w:r>
              <w:rPr>
                <w:w w:val="95.87158626980252"/>
                <w:rFonts w:ascii="" w:hAnsi="" w:eastAsia=""/>
                <w:b w:val="0"/>
                <w:i w:val="0"/>
                <w:color w:val="1F9FDF"/>
                <w:sz w:val="9"/>
              </w:rPr>
              <w:t xml:space="preserve">SOURCES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1C262F"/>
                <w:sz w:val="17"/>
              </w:rPr>
              <w:t xml:space="preserve">References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413 external market research sources validated against training provider surveys</w:t>
            </w:r>
          </w:p>
          <w:p>
            <w:pPr>
              <w:autoSpaceDN w:val="0"/>
              <w:autoSpaceDE w:val="0"/>
              <w:widowControl/>
              <w:spacing w:line="204" w:lineRule="auto" w:before="130" w:after="184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1F9FDF"/>
                <w:sz w:val="10"/>
              </w:rPr>
              <w:t>Download full bibliographic index (JSON)</w:t>
            </w: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 xml:space="preserve"> for digital libraries, events, or tooling. Public URLs are included where av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.000000000000057" w:type="dxa"/>
            </w:tblPr>
            <w:tblGrid>
              <w:gridCol w:w="5420"/>
            </w:tblGrid>
            <w:tr>
              <w:trPr>
                <w:trHeight w:hRule="exact" w:val="326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42"/>
                    </w:trPr>
                    <w:tc>
                      <w:tcPr>
                        <w:tcW w:type="dxa" w:w="16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2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63500" cy="101600"/>
                              <wp:docPr id="72" name="Picture 7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8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635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5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6" w:after="0"/>
                          <w:ind w:left="2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Market.us</w:t>
                        </w:r>
                      </w:p>
                    </w:tc>
                    <w:tc>
                      <w:tcPr>
                        <w:tcW w:type="dxa" w:w="162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2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73" name="Picture 73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8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2"/>
                    </w:trPr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  <w:tc>
                      <w:tcPr>
                        <w:tcW w:type="dxa" w:w="35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4" w:after="0"/>
                          <w:ind w:left="26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AI in Learning and Development Market Size | CAGR of 26%</w:t>
                        </w:r>
                      </w:p>
                    </w:tc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494" w:after="184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ailable; full-text PDFs from publishers are not redistr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26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42"/>
                    </w:trPr>
                    <w:tc>
                      <w:tcPr>
                        <w:tcW w:type="dxa" w:w="16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2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76200" cy="101600"/>
                              <wp:docPr id="74" name="Picture 74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8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762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0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6" w:after="0"/>
                          <w:ind w:left="32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Market.us</w:t>
                        </w:r>
                      </w:p>
                    </w:tc>
                    <w:tc>
                      <w:tcPr>
                        <w:tcW w:type="dxa" w:w="12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2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75" name="Picture 75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2"/>
                    </w:trPr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  <w:tc>
                      <w:tcPr>
                        <w:tcW w:type="dxa" w:w="20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4" w:after="0"/>
                          <w:ind w:left="0" w:right="0" w:firstLine="0"/>
                          <w:jc w:val="center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AI in Learning and Development Market Size | CAGR of 26%</w:t>
                        </w:r>
                      </w:p>
                    </w:tc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494" w:after="184"/>
              <w:ind w:left="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7727E"/>
                <w:sz w:val="10"/>
              </w:rPr>
              <w:t>ibuted.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26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42"/>
                    </w:trPr>
                    <w:tc>
                      <w:tcPr>
                        <w:tcW w:type="dxa" w:w="16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2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76200" cy="101600"/>
                              <wp:docPr id="76" name="Picture 76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762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9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6" w:after="0"/>
                          <w:ind w:left="30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Amazon Web Services</w:t>
                        </w:r>
                      </w:p>
                    </w:tc>
                    <w:tc>
                      <w:tcPr>
                        <w:tcW w:type="dxa" w:w="68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2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25400"/>
                              <wp:docPr id="77" name="Picture 77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2"/>
                    </w:trPr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  <w:tc>
                      <w:tcPr>
                        <w:tcW w:type="dxa" w:w="19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4" w:after="0"/>
                          <w:ind w:left="30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2025 AWS Generative AI Adoption Index</w:t>
                        </w:r>
                      </w:p>
                    </w:tc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0"/>
        </w:trPr>
        <w:tc>
          <w:tcPr>
            <w:tcW w:type="dxa" w:w="5420"/>
            <w:tcBorders>
              <w:start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.000000000000057" w:type="dxa"/>
            </w:tblPr>
            <w:tblGrid>
              <w:gridCol w:w="5420"/>
            </w:tblGrid>
            <w:tr>
              <w:trPr>
                <w:trHeight w:hRule="exact" w:val="332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74"/>
                    </w:trPr>
                    <w:tc>
                      <w:tcPr>
                        <w:tcW w:type="dxa" w:w="1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8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63500" cy="88900"/>
                              <wp:docPr id="78" name="Picture 78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635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2" w:after="0"/>
                          <w:ind w:left="2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PwC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8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38100"/>
                              <wp:docPr id="79" name="Picture 79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381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6" w:after="0"/>
                    <w:ind w:left="0" w:right="0" w:firstLine="0"/>
                    <w:jc w:val="center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Global Workforce Hopes and Fears Survey 2025 — n=49,843 workers across 48 countries; 54% used AI for work in past year, 14% use GenAI daily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32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74"/>
                    </w:trPr>
                    <w:tc>
                      <w:tcPr>
                        <w:tcW w:type="dxa" w:w="1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8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76200" cy="88900"/>
                              <wp:docPr id="80" name="Picture 80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762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5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8" w:after="0"/>
                          <w:ind w:left="32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European Commission</w:t>
                        </w:r>
                      </w:p>
                    </w:tc>
                    <w:tc>
                      <w:tcPr>
                        <w:tcW w:type="dxa" w:w="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8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38100"/>
                              <wp:docPr id="81" name="Picture 81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5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381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6" w:after="0"/>
                    <w:ind w:left="202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AI Act | Shaping Europe's digital future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32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74"/>
                    </w:trPr>
                    <w:tc>
                      <w:tcPr>
                        <w:tcW w:type="dxa" w:w="1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8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76200" cy="88900"/>
                              <wp:docPr id="82" name="Picture 8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762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4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60" w:after="0"/>
                          <w:ind w:left="30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Worklytics</w:t>
                        </w:r>
                      </w:p>
                    </w:tc>
                    <w:tc>
                      <w:tcPr>
                        <w:tcW w:type="dxa" w:w="11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8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38100"/>
                              <wp:docPr id="83" name="Picture 83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381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6" w:after="0"/>
                    <w:ind w:left="206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The Enterprise Guide to Microsoft Copilot Adoption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00"/>
        </w:trPr>
        <w:tc>
          <w:tcPr>
            <w:tcW w:type="dxa" w:w="5420"/>
            <w:tcBorders>
              <w:start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.000000000000057" w:type="dxa"/>
            </w:tblPr>
            <w:tblGrid>
              <w:gridCol w:w="5420"/>
            </w:tblGrid>
            <w:tr>
              <w:trPr>
                <w:trHeight w:hRule="exact" w:val="326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70"/>
                    </w:trPr>
                    <w:tc>
                      <w:tcPr>
                        <w:tcW w:type="dxa" w:w="1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63500" cy="88900"/>
                              <wp:docPr id="84" name="Picture 84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635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0" w:after="0"/>
                          <w:ind w:left="2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LinkedIn</w:t>
                        </w:r>
                      </w:p>
                    </w:tc>
                    <w:tc>
                      <w:tcPr>
                        <w:tcW w:type="dxa" w:w="24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50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85" name="Picture 85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9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2" w:after="0"/>
                    <w:ind w:left="202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2024 Workplace Learning Report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26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70"/>
                    </w:trPr>
                    <w:tc>
                      <w:tcPr>
                        <w:tcW w:type="dxa" w:w="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88900"/>
                              <wp:docPr id="86" name="Picture 86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0" w:after="0"/>
                          <w:ind w:left="3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Eurostat</w:t>
                        </w:r>
                      </w:p>
                    </w:tc>
                    <w:tc>
                      <w:tcPr>
                        <w:tcW w:type="dxa" w:w="9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50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87" name="Picture 87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2" w:after="0"/>
                    <w:ind w:left="246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Usage of AI technologies increasing in EU enterprises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26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70"/>
                    </w:trPr>
                    <w:tc>
                      <w:tcPr>
                        <w:tcW w:type="dxa" w:w="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88900"/>
                              <wp:docPr id="88" name="Picture 88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8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8" w:after="0"/>
                          <w:ind w:left="32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Statistics Netherlands (CBS)</w:t>
                        </w:r>
                      </w:p>
                    </w:tc>
                    <w:tc>
                      <w:tcPr>
                        <w:tcW w:type="dxa" w:w="8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50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25400"/>
                              <wp:docPr id="89" name="Picture 89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2" w:after="0"/>
                    <w:ind w:left="248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Increasing use of AI by business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12"/>
        </w:trPr>
        <w:tc>
          <w:tcPr>
            <w:tcW w:type="dxa" w:w="5420"/>
            <w:tcBorders>
              <w:start w:sz="2.876147508621216" w:val="single" w:color="#E0E5EA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.000000000000057" w:type="dxa"/>
            </w:tblPr>
            <w:tblGrid>
              <w:gridCol w:w="5420"/>
            </w:tblGrid>
            <w:tr>
              <w:trPr>
                <w:trHeight w:hRule="exact" w:val="332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44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4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90" name="Picture 90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4" w:after="0"/>
                          <w:ind w:left="30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UK Office for National Statistics</w:t>
                        </w:r>
                      </w:p>
                    </w:tc>
                    <w:tc>
                      <w:tcPr>
                        <w:tcW w:type="dxa" w:w="126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4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91" name="Picture 91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5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6"/>
                    </w:trPr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  <w:tc>
                      <w:tcPr>
                        <w:tcW w:type="dxa" w:w="38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8" w:after="0"/>
                          <w:ind w:left="30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Management practices and the adoption of technology and AI in UK firms: 2023</w:t>
                        </w:r>
                      </w:p>
                    </w:tc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32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44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4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92" name="Picture 9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8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4" w:after="0"/>
                          <w:ind w:left="3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U.S. Census Bureau</w:t>
                        </w:r>
                      </w:p>
                    </w:tc>
                    <w:tc>
                      <w:tcPr>
                        <w:tcW w:type="dxa" w:w="36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4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93" name="Picture 93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6"/>
                    </w:trPr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  <w:tc>
                      <w:tcPr>
                        <w:tcW w:type="dxa" w:w="18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8" w:after="0"/>
                          <w:ind w:left="36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Business Trends and Outlook Survey (BTOS)</w:t>
                        </w:r>
                      </w:p>
                    </w:tc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32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44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4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94" name="Picture 94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4" w:after="0"/>
                          <w:ind w:left="32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Statistics Canada</w:t>
                        </w:r>
                      </w:p>
                    </w:tc>
                    <w:tc>
                      <w:tcPr>
                        <w:tcW w:type="dxa" w:w="3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4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25400"/>
                              <wp:docPr id="95" name="Picture 95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0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6"/>
                    </w:trPr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  <w:tc>
                      <w:tcPr>
                        <w:tcW w:type="dxa" w:w="2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8" w:after="0"/>
                          <w:ind w:left="32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Analysis on artificial intelligence use by businesses in Canada</w:t>
                        </w:r>
                      </w:p>
                    </w:tc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11022"/>
      </w:tblGrid>
      <w:tr>
        <w:trPr>
          <w:trHeight w:hRule="exact" w:val="360"/>
        </w:trPr>
        <w:tc>
          <w:tcPr>
            <w:tcW w:type="dxa" w:w="10656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4" w:after="0"/>
              <w:ind w:left="172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The evidence supports a specific interpretation: Current AI adoption challenges reflect early-phase deployment friction, not fundamental technology limitations. Organizations interpreting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1022"/>
      </w:tblGrid>
      <w:tr>
        <w:trPr>
          <w:trHeight w:hRule="exact" w:val="202"/>
        </w:trPr>
        <w:tc>
          <w:tcPr>
            <w:tcW w:type="dxa" w:w="9700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8" w:after="0"/>
              <w:ind w:left="19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productivity plateaus as confirmation that "the hype is dying" are likely making the same error as those who dismissed computing's potential in the 1980s.</w:t>
            </w:r>
          </w:p>
        </w:tc>
      </w:tr>
    </w:tbl>
    <w:p>
      <w:pPr>
        <w:autoSpaceDN w:val="0"/>
        <w:autoSpaceDE w:val="0"/>
        <w:widowControl/>
        <w:spacing w:line="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1022"/>
      </w:tblGrid>
      <w:tr>
        <w:trPr>
          <w:trHeight w:hRule="exact" w:val="206"/>
        </w:trPr>
        <w:tc>
          <w:tcPr>
            <w:tcW w:type="dxa" w:w="10360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9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Unlike the metaverse or VR, AI capabilities continue improving on fundamental metrics. Benchmark scores are rising. Inference costs are falling. Expert timeline forecasts continue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1022"/>
      </w:tblGrid>
      <w:tr>
        <w:trPr>
          <w:trHeight w:hRule="exact" w:val="202"/>
        </w:trPr>
        <w:tc>
          <w:tcPr>
            <w:tcW w:type="dxa" w:w="7740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8" w:after="0"/>
              <w:ind w:left="19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compressing. The question is not whether AI will transform work, but how quickly.</w:t>
            </w:r>
          </w:p>
        </w:tc>
      </w:tr>
    </w:tbl>
    <w:p>
      <w:pPr>
        <w:autoSpaceDN w:val="0"/>
        <w:autoSpaceDE w:val="0"/>
        <w:widowControl/>
        <w:spacing w:line="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1022"/>
      </w:tblGrid>
      <w:tr>
        <w:trPr>
          <w:trHeight w:hRule="exact" w:val="206"/>
        </w:trPr>
        <w:tc>
          <w:tcPr>
            <w:tcW w:type="dxa" w:w="10440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9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Organizations should prioritize adaptive capabilities — governance frameworks, evaluation skills, flexible infrastructure — over optimizing for current-generation tools. The timeline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6.0" w:type="dxa"/>
      </w:tblPr>
      <w:tblGrid>
        <w:gridCol w:w="11022"/>
      </w:tblGrid>
      <w:tr>
        <w:trPr>
          <w:trHeight w:hRule="exact" w:val="182"/>
        </w:trPr>
        <w:tc>
          <w:tcPr>
            <w:tcW w:type="dxa" w:w="7080"/>
            <w:tcBorders/>
            <w:shd w:fill="0e172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8" w:after="0"/>
              <w:ind w:left="190" w:right="0" w:firstLine="0"/>
              <w:jc w:val="left"/>
            </w:pPr>
            <w:r>
              <w:rPr>
                <w:w w:val="95.87158362070718"/>
                <w:rFonts w:ascii="" w:hAnsi="" w:eastAsia=""/>
                <w:b w:val="0"/>
                <w:i w:val="0"/>
                <w:color w:val="FFFFFF"/>
                <w:sz w:val="12"/>
              </w:rPr>
              <w:t>forecasts suggest limited runway for gradual adaptation.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284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"/>
        <w:ind w:left="0" w:right="0"/>
      </w:pPr>
    </w:p>
    <w:p>
      <w:pPr>
        <w:autoSpaceDN w:val="0"/>
        <w:autoSpaceDE w:val="0"/>
        <w:widowControl/>
        <w:spacing w:line="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.00000000000001" w:type="dxa"/>
      </w:tblPr>
      <w:tblGrid>
        <w:gridCol w:w="2755"/>
        <w:gridCol w:w="2755"/>
        <w:gridCol w:w="2755"/>
        <w:gridCol w:w="2755"/>
      </w:tblGrid>
      <w:tr>
        <w:trPr>
          <w:trHeight w:hRule="exact" w:val="388"/>
        </w:trPr>
        <w:tc>
          <w:tcPr>
            <w:tcW w:type="dxa" w:w="5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5520"/>
            </w:tblGrid>
            <w:tr>
              <w:trPr>
                <w:trHeight w:hRule="exact" w:val="324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62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2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96" name="Picture 96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66" w:after="0"/>
                          <w:ind w:left="30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IMDA Singapore</w:t>
                        </w:r>
                      </w:p>
                    </w:tc>
                    <w:tc>
                      <w:tcPr>
                        <w:tcW w:type="dxa" w:w="18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2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97" name="Picture 97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06"/>
                    </w:trPr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  <w:tc>
                      <w:tcPr>
                        <w:tcW w:type="dxa" w:w="3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18" w:after="0"/>
                          <w:ind w:left="30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Singapore's Digital Economy at 18.6% of GDP</w:t>
                        </w:r>
                      </w:p>
                    </w:tc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24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62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2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98" name="Picture 98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7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66" w:after="0"/>
                          <w:ind w:left="3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IMDA Singapore</w:t>
                        </w:r>
                      </w:p>
                    </w:tc>
                    <w:tc>
                      <w:tcPr>
                        <w:tcW w:type="dxa" w:w="4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2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99" name="Picture 99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06"/>
                    </w:trPr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  <w:tc>
                      <w:tcPr>
                        <w:tcW w:type="dxa" w:w="17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18" w:after="0"/>
                          <w:ind w:left="36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IMDA SGDE Report FY2024-2025 (PDF)</w:t>
                        </w:r>
                      </w:p>
                    </w:tc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44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42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2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00" name="Picture 100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8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8" w:after="0"/>
                          <w:ind w:left="32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Stanford HAI</w:t>
                        </w:r>
                      </w:p>
                    </w:tc>
                    <w:tc>
                      <w:tcPr>
                        <w:tcW w:type="dxa" w:w="76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2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25400"/>
                              <wp:docPr id="101" name="Picture 101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6"/>
                    </w:trPr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  <w:tc>
                      <w:tcPr>
                        <w:tcW w:type="dxa" w:w="18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8" w:after="0"/>
                          <w:ind w:left="32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AI Index 2025 — Economy chapter</w:t>
                        </w:r>
                      </w:p>
                    </w:tc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52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48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8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02" name="Picture 10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4" w:after="0"/>
                          <w:ind w:left="32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ITB Denmark</w:t>
                        </w:r>
                      </w:p>
                    </w:tc>
                    <w:tc>
                      <w:tcPr>
                        <w:tcW w:type="dxa" w:w="6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8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38100"/>
                              <wp:docPr id="103" name="Picture 103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381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2"/>
                    </w:trPr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  <w:tc>
                      <w:tcPr>
                        <w:tcW w:type="dxa" w:w="2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4" w:after="0"/>
                          <w:ind w:left="32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The Economic Opportunity of AI in Denmark</w:t>
                        </w:r>
                      </w:p>
                    </w:tc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44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48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8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88900"/>
                              <wp:docPr id="104" name="Picture 104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9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2" w:after="0"/>
                          <w:ind w:left="32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Deloitte</w:t>
                        </w:r>
                      </w:p>
                    </w:tc>
                    <w:tc>
                      <w:tcPr>
                        <w:tcW w:type="dxa" w:w="6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8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25400"/>
                              <wp:docPr id="105" name="Picture 105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1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10"/>
                    </w:trPr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  <w:tc>
                      <w:tcPr>
                        <w:tcW w:type="dxa" w:w="19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18" w:after="0"/>
                          <w:ind w:left="32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The State of Generative AI in the Nordics</w:t>
                        </w:r>
                      </w:p>
                    </w:tc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52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44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4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06" name="Picture 106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8" w:after="0"/>
                          <w:ind w:left="32" w:right="0" w:firstLine="0"/>
                          <w:jc w:val="left"/>
                        </w:pPr>
                        <w:r>
                          <w:rPr>
                            <w:w w:val="98.0618368347188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BCG</w:t>
                        </w:r>
                      </w:p>
                    </w:tc>
                    <w:tc>
                      <w:tcPr>
                        <w:tcW w:type="dxa" w:w="9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4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25400"/>
                              <wp:docPr id="107" name="Picture 107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6"/>
                    </w:trPr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  <w:tc>
                      <w:tcPr>
                        <w:tcW w:type="dxa" w:w="1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4" w:after="0"/>
                          <w:ind w:left="32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State of GenAI in Denmark</w:t>
                        </w:r>
                      </w:p>
                    </w:tc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46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44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4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08" name="Picture 108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1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62" w:after="0"/>
                          <w:ind w:left="32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European Commission</w:t>
                        </w:r>
                      </w:p>
                    </w:tc>
                    <w:tc>
                      <w:tcPr>
                        <w:tcW w:type="dxa" w:w="5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4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25400"/>
                              <wp:docPr id="109" name="Picture 109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18"/>
                    </w:trPr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  <w:tc>
                      <w:tcPr>
                        <w:tcW w:type="dxa" w:w="21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2" w:lineRule="auto" w:before="32" w:after="0"/>
                          <w:ind w:left="32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Netherlands 2024 Digital Decade Country Report</w:t>
                        </w:r>
                      </w:p>
                    </w:tc>
                    <w:tc>
                      <w:tcPr>
                        <w:tcW w:type="dxa" w:w="954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2900"/>
            </w:tblGrid>
            <w:tr>
              <w:trPr>
                <w:trHeight w:hRule="exact" w:val="334"/>
              </w:trPr>
              <w:tc>
                <w:tcPr>
                  <w:tcW w:type="dxa" w:w="2862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6.000000000000227" w:type="dxa"/>
                  </w:tblPr>
                  <w:tblGrid>
                    <w:gridCol w:w="954"/>
                    <w:gridCol w:w="954"/>
                    <w:gridCol w:w="954"/>
                  </w:tblGrid>
                  <w:tr>
                    <w:trPr>
                      <w:trHeight w:hRule="exact" w:val="174"/>
                    </w:trPr>
                    <w:tc>
                      <w:tcPr>
                        <w:tcW w:type="dxa" w:w="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88900"/>
                              <wp:docPr id="110" name="Picture 110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3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0" w:after="0"/>
                          <w:ind w:left="32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TNO</w:t>
                        </w:r>
                      </w:p>
                    </w:tc>
                    <w:tc>
                      <w:tcPr>
                        <w:tcW w:type="dxa" w:w="12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50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50800" cy="25400"/>
                              <wp:docPr id="111" name="Picture 111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5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08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4" w:after="0"/>
                    <w:ind w:left="0" w:right="0" w:firstLine="0"/>
                    <w:jc w:val="center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Large dataset news organizations for Dutch AI language model GPT-NL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0"/>
        </w:trPr>
        <w:tc>
          <w:tcPr>
            <w:tcW w:type="dxa" w:w="5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5520"/>
            </w:tblGrid>
            <w:tr>
              <w:trPr>
                <w:trHeight w:hRule="exact" w:val="332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48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8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12" name="Picture 11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43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62" w:after="0"/>
                          <w:ind w:left="30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Oxford Insights</w:t>
                        </w:r>
                      </w:p>
                    </w:tc>
                    <w:tc>
                      <w:tcPr>
                        <w:tcW w:type="dxa" w:w="8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8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38100"/>
                              <wp:docPr id="113" name="Picture 113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381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2"/>
                    </w:trPr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  <w:tc>
                      <w:tcPr>
                        <w:tcW w:type="dxa" w:w="43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4" w:after="0"/>
                          <w:ind w:left="30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Government AI Readiness Index 2024 (URL may reject automated probes with 403; verified live in browser)</w:t>
                        </w:r>
                      </w:p>
                    </w:tc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32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48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8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14" name="Picture 114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5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62" w:after="0"/>
                          <w:ind w:left="3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Training Provider Survey</w:t>
                        </w:r>
                      </w:p>
                    </w:tc>
                    <w:tc>
                      <w:tcPr>
                        <w:tcW w:type="dxa" w:w="6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8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38100"/>
                              <wp:docPr id="115" name="Picture 115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2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381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2"/>
                    </w:trPr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  <w:tc>
                      <w:tcPr>
                        <w:tcW w:type="dxa" w:w="15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4" w:after="0"/>
                          <w:ind w:left="36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Nordic Region</w:t>
                        </w:r>
                      </w:p>
                    </w:tc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755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5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5520"/>
            </w:tblGrid>
            <w:tr>
              <w:trPr>
                <w:trHeight w:hRule="exact" w:val="324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70"/>
                    </w:trPr>
                    <w:tc>
                      <w:tcPr>
                        <w:tcW w:type="dxa" w:w="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8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88900"/>
                              <wp:docPr id="116" name="Picture 116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6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0" w:after="0"/>
                          <w:ind w:left="30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IMF</w:t>
                        </w:r>
                      </w:p>
                    </w:tc>
                    <w:tc>
                      <w:tcPr>
                        <w:tcW w:type="dxa" w:w="25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8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117" name="Picture 117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2" w:after="0"/>
                    <w:ind w:left="246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AI Preparedness Index 2025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24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70"/>
                    </w:trPr>
                    <w:tc>
                      <w:tcPr>
                        <w:tcW w:type="dxa" w:w="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8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88900"/>
                              <wp:docPr id="118" name="Picture 118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3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2" w:after="0"/>
                          <w:ind w:left="3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Silicon Canals</w:t>
                        </w:r>
                      </w:p>
                    </w:tc>
                    <w:tc>
                      <w:tcPr>
                        <w:tcW w:type="dxa" w:w="8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8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119" name="Picture 119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2" w:after="0"/>
                    <w:ind w:left="246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Denmark doubles down on digital sovereignty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755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5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5520"/>
            </w:tblGrid>
            <w:tr>
              <w:trPr>
                <w:trHeight w:hRule="exact" w:val="332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84"/>
                    </w:trPr>
                    <w:tc>
                      <w:tcPr>
                        <w:tcW w:type="dxa" w:w="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4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20" name="Picture 120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3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64" w:after="0"/>
                          <w:ind w:left="30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Health &amp; Safety International</w:t>
                        </w:r>
                      </w:p>
                    </w:tc>
                    <w:tc>
                      <w:tcPr>
                        <w:tcW w:type="dxa" w:w="20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4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121" name="Picture 121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5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2" w:after="0"/>
                    <w:ind w:left="246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Skills gap stops 62% of Danish companies embracing AI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32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84"/>
                    </w:trPr>
                    <w:tc>
                      <w:tcPr>
                        <w:tcW w:type="dxa" w:w="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4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22" name="Picture 122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2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66" w:after="0"/>
                          <w:ind w:left="3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McKinsey</w:t>
                        </w:r>
                      </w:p>
                    </w:tc>
                    <w:tc>
                      <w:tcPr>
                        <w:tcW w:type="dxa" w:w="9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4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123" name="Picture 123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2" w:after="0"/>
                    <w:ind w:left="246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Harnessing the Opportunity of AI in Denmark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755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5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5520"/>
            </w:tblGrid>
            <w:tr>
              <w:trPr>
                <w:trHeight w:hRule="exact" w:val="326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44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4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24" name="Picture 124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9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4" w:after="0"/>
                          <w:ind w:left="30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AI Finland</w:t>
                        </w:r>
                      </w:p>
                    </w:tc>
                    <w:tc>
                      <w:tcPr>
                        <w:tcW w:type="dxa" w:w="22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4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125" name="Picture 125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3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16"/>
                    </w:trPr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  <w:tc>
                      <w:tcPr>
                        <w:tcW w:type="dxa" w:w="29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24" w:after="0"/>
                          <w:ind w:left="30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The Nordic State of AI</w:t>
                        </w:r>
                      </w:p>
                    </w:tc>
                    <w:tc>
                      <w:tcPr>
                        <w:tcW w:type="dxa" w:w="180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26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44"/>
                    </w:trPr>
                    <w:tc>
                      <w:tcPr>
                        <w:tcW w:type="dxa" w:w="20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24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101600"/>
                              <wp:docPr id="126" name="Picture 126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4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1016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5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62" w:after="0"/>
                          <w:ind w:left="3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Training Provider Survey</w:t>
                        </w:r>
                      </w:p>
                    </w:tc>
                    <w:tc>
                      <w:tcPr>
                        <w:tcW w:type="dxa" w:w="6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64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127" name="Picture 127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4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>
                    <w:trPr>
                      <w:trHeight w:hRule="exact" w:val="120"/>
                    </w:trPr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  <w:tc>
                      <w:tcPr>
                        <w:tcW w:type="dxa" w:w="15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6" w:lineRule="auto" w:before="32" w:after="0"/>
                          <w:ind w:left="36" w:right="0" w:firstLine="0"/>
                          <w:jc w:val="left"/>
                        </w:pPr>
                        <w:r>
                          <w:rPr>
                            <w:w w:val="102.71955217633928"/>
                            <w:rFonts w:ascii="" w:hAnsi="" w:eastAsia=""/>
                            <w:b w:val="0"/>
                            <w:i w:val="0"/>
                            <w:color w:val="67727E"/>
                            <w:sz w:val="7"/>
                          </w:rPr>
                          <w:t>Western Europe</w:t>
                        </w:r>
                      </w:p>
                    </w:tc>
                    <w:tc>
                      <w:tcPr>
                        <w:tcW w:type="dxa" w:w="810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755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5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5520"/>
            </w:tblGrid>
            <w:tr>
              <w:trPr>
                <w:trHeight w:hRule="exact" w:val="334"/>
              </w:trPr>
              <w:tc>
                <w:tcPr>
                  <w:tcW w:type="dxa" w:w="540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5.999999999999943" w:type="dxa"/>
                  </w:tblPr>
                  <w:tblGrid>
                    <w:gridCol w:w="1800"/>
                    <w:gridCol w:w="1800"/>
                    <w:gridCol w:w="1800"/>
                  </w:tblGrid>
                  <w:tr>
                    <w:trPr>
                      <w:trHeight w:hRule="exact" w:val="174"/>
                    </w:trPr>
                    <w:tc>
                      <w:tcPr>
                        <w:tcW w:type="dxa" w:w="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88900"/>
                              <wp:docPr id="128" name="Picture 128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4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2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4" w:lineRule="auto" w:before="50" w:after="0"/>
                          <w:ind w:left="30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Statistics Netherlands</w:t>
                        </w:r>
                      </w:p>
                    </w:tc>
                    <w:tc>
                      <w:tcPr>
                        <w:tcW w:type="dxa" w:w="2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50" w:after="0"/>
                          <w:ind w:left="0" w:right="4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129" name="Picture 129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4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4" w:after="0"/>
                    <w:ind w:left="246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Increasing use of AI by business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2500"/>
            </w:tblGrid>
            <w:tr>
              <w:trPr>
                <w:trHeight w:hRule="exact" w:val="334"/>
              </w:trPr>
              <w:tc>
                <w:tcPr>
                  <w:tcW w:type="dxa" w:w="2430"/>
                  <w:tcBorders>
                    <w:start w:sz="2.876147508621216" w:val="single" w:color="#E0E5EA"/>
                    <w:top w:sz="2.876147508621216" w:val="single" w:color="#E0E5EA"/>
                    <w:end w:sz="2.876147508621216" w:val="single" w:color="#E0E5EA"/>
                    <w:bottom w:sz="2.876147508621216" w:val="single" w:color="#E0E5EA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.0" w:type="dxa"/>
                  </w:tblPr>
                  <w:tblGrid>
                    <w:gridCol w:w="810"/>
                    <w:gridCol w:w="810"/>
                    <w:gridCol w:w="810"/>
                  </w:tblGrid>
                  <w:tr>
                    <w:trPr>
                      <w:trHeight w:hRule="exact" w:val="174"/>
                    </w:trPr>
                    <w:tc>
                      <w:tcPr>
                        <w:tcW w:type="dxa" w:w="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0" w:after="0"/>
                          <w:ind w:left="0" w:right="0" w:firstLine="0"/>
                          <w:jc w:val="center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101600" cy="88900"/>
                              <wp:docPr id="130" name="Picture 130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44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01600" cy="889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type="dxa" w:w="11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58" w:after="0"/>
                          <w:ind w:left="36" w:right="0" w:firstLine="0"/>
                          <w:jc w:val="left"/>
                        </w:pPr>
                        <w:r>
                          <w:rPr>
                            <w:w w:val="98.86757135391235"/>
                            <w:rFonts w:ascii="" w:hAnsi="" w:eastAsia=""/>
                            <w:b w:val="0"/>
                            <w:i w:val="0"/>
                            <w:color w:val="1C262F"/>
                            <w:sz w:val="8"/>
                          </w:rPr>
                          <w:t>ioplus</w:t>
                        </w:r>
                      </w:p>
                    </w:tc>
                    <w:tc>
                      <w:tcPr>
                        <w:tcW w:type="dxa" w:w="1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50" w:after="0"/>
                          <w:ind w:left="0" w:right="20" w:firstLine="0"/>
                          <w:jc w:val="right"/>
                        </w:pPr>
                        <w:r>
                          <w:drawing>
                            <wp:inline xmlns:a="http://schemas.openxmlformats.org/drawingml/2006/main" xmlns:pic="http://schemas.openxmlformats.org/drawingml/2006/picture">
                              <wp:extent cx="38100" cy="25400"/>
                              <wp:docPr id="131" name="Picture 131"/>
                              <wp:cNvGraphicFramePr>
                                <a:graphicFrameLocks noChangeAspect="1"/>
                              </wp:cNvGraphicFramePr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id="0" name="image.png"/>
                                      <pic:cNvPicPr/>
                                    </pic:nvPicPr>
                                    <pic:blipFill>
                                      <a:blip r:embed="rId145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8100" cy="25400"/>
                                      </a:xfrm>
                                      <a:prstGeom prst="rect"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6" w:lineRule="auto" w:before="4" w:after="0"/>
                    <w:ind w:left="246" w:right="0" w:firstLine="0"/>
                    <w:jc w:val="left"/>
                  </w:pPr>
                  <w:r>
                    <w:rPr>
                      <w:w w:val="102.71955217633928"/>
                      <w:rFonts w:ascii="" w:hAnsi="" w:eastAsia=""/>
                      <w:b w:val="0"/>
                      <w:i w:val="0"/>
                      <w:color w:val="67727E"/>
                      <w:sz w:val="7"/>
                    </w:rPr>
                    <w:t>GPT-NL in the making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755"/>
            <w:vMerge/>
            <w:tcBorders/>
          </w:tcPr>
          <w:p/>
        </w:tc>
      </w:tr>
      <w:tr>
        <w:trPr>
          <w:trHeight w:hRule="exact" w:val="250"/>
        </w:trPr>
        <w:tc>
          <w:tcPr>
            <w:tcW w:type="dxa" w:w="59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10" w:after="0"/>
              <w:ind w:left="0" w:right="2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1F9FDF"/>
                <w:sz w:val="10"/>
              </w:rPr>
              <w:t>Show All 413 References</w:t>
            </w:r>
          </w:p>
        </w:tc>
        <w:tc>
          <w:tcPr>
            <w:tcW w:type="dxa" w:w="2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4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800" cy="254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25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5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284" w:right="432" w:bottom="280" w:left="4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292100</wp:posOffset>
            </wp:positionH>
            <wp:positionV relativeFrom="page">
              <wp:posOffset>355600</wp:posOffset>
            </wp:positionV>
            <wp:extent cx="6997700" cy="1409700"/>
            <wp:wrapNone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997700" cy="1409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80"/>
        <w:gridCol w:w="3280"/>
        <w:gridCol w:w="3280"/>
      </w:tblGrid>
      <w:tr>
        <w:trPr>
          <w:trHeight w:hRule="exact" w:val="168"/>
        </w:trPr>
        <w:tc>
          <w:tcPr>
            <w:tcW w:type="dxa" w:w="332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348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Analysis of global enterprise AI adoption patterns, barriers, and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0" w:after="0"/>
              <w:ind w:left="3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60A5FA"/>
                <w:sz w:val="10"/>
              </w:rPr>
              <w:t>METHODOLOGY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60A5FA"/>
                <w:sz w:val="10"/>
              </w:rPr>
              <w:t>REPORT DETAILS</w:t>
            </w:r>
          </w:p>
        </w:tc>
      </w:tr>
      <w:tr>
        <w:trPr>
          <w:trHeight w:hRule="exact" w:val="280"/>
        </w:trPr>
        <w:tc>
          <w:tcPr>
            <w:tcW w:type="dxa" w:w="3280"/>
            <w:vMerge/>
            <w:tcBorders/>
          </w:tcPr>
          <w:p/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0" w:after="0"/>
              <w:ind w:left="3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• Global market analysis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0" w:after="0"/>
              <w:ind w:left="0" w:right="76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Report Date: March 2026</w:t>
            </w:r>
          </w:p>
        </w:tc>
      </w:tr>
      <w:tr>
        <w:trPr>
          <w:trHeight w:hRule="exact" w:val="120"/>
        </w:trPr>
        <w:tc>
          <w:tcPr>
            <w:tcW w:type="dxa" w:w="332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future outlook. Synthesizing 413 research sources.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20" w:after="0"/>
              <w:ind w:left="3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• Academic research synthesis</w:t>
            </w:r>
          </w:p>
        </w:tc>
        <w:tc>
          <w:tcPr>
            <w:tcW w:type="dxa" w:w="3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" w:after="0"/>
              <w:ind w:left="0" w:right="51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Research Period: 2024 – 2025</w:t>
            </w:r>
          </w:p>
        </w:tc>
      </w:tr>
      <w:tr>
        <w:trPr>
          <w:trHeight w:hRule="exact" w:val="90"/>
        </w:trPr>
        <w:tc>
          <w:tcPr>
            <w:tcW w:type="dxa" w:w="3280"/>
            <w:vMerge/>
            <w:tcBorders/>
          </w:tcPr>
          <w:p/>
        </w:tc>
        <w:tc>
          <w:tcPr>
            <w:tcW w:type="dxa" w:w="2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104" w:after="0"/>
              <w:ind w:left="34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• Industry survey data</w:t>
            </w:r>
          </w:p>
        </w:tc>
        <w:tc>
          <w:tcPr>
            <w:tcW w:type="dxa" w:w="3280"/>
            <w:vMerge/>
            <w:tcBorders/>
          </w:tcPr>
          <w:p/>
        </w:tc>
      </w:tr>
      <w:tr>
        <w:trPr>
          <w:trHeight w:hRule="exact" w:val="192"/>
        </w:trPr>
        <w:tc>
          <w:tcPr>
            <w:tcW w:type="dxa" w:w="3280"/>
            <w:vMerge/>
            <w:tcBorders/>
          </w:tcPr>
          <w:p/>
        </w:tc>
        <w:tc>
          <w:tcPr>
            <w:tcW w:type="dxa" w:w="3280"/>
            <w:vMerge/>
            <w:tcBorders/>
          </w:tcPr>
          <w:p/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auto" w:before="70" w:after="0"/>
              <w:ind w:left="0" w:right="4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FFFFFF"/>
                <w:sz w:val="10"/>
              </w:rPr>
              <w:t>Coverage: Global Enterprise AI</w:t>
            </w:r>
          </w:p>
        </w:tc>
      </w:tr>
    </w:tbl>
    <w:p>
      <w:pPr>
        <w:autoSpaceDN w:val="0"/>
        <w:autoSpaceDE w:val="0"/>
        <w:widowControl/>
        <w:spacing w:line="209" w:lineRule="auto" w:before="22" w:after="0"/>
        <w:ind w:left="0" w:right="4610" w:firstLine="0"/>
        <w:jc w:val="right"/>
      </w:pPr>
      <w:r>
        <w:rPr>
          <w:rFonts w:ascii="" w:hAnsi="" w:eastAsia=""/>
          <w:b w:val="0"/>
          <w:i w:val="0"/>
          <w:color w:val="FFFFFF"/>
          <w:sz w:val="10"/>
        </w:rPr>
        <w:t>• Forecasting model aggregation</w:t>
      </w:r>
    </w:p>
    <w:p>
      <w:pPr>
        <w:autoSpaceDN w:val="0"/>
        <w:autoSpaceDE w:val="0"/>
        <w:widowControl/>
        <w:spacing w:line="204" w:lineRule="auto" w:before="740" w:after="0"/>
        <w:ind w:left="0" w:right="3606" w:firstLine="0"/>
        <w:jc w:val="right"/>
      </w:pPr>
      <w:r>
        <w:rPr>
          <w:rFonts w:ascii="" w:hAnsi="" w:eastAsia=""/>
          <w:b w:val="0"/>
          <w:i w:val="0"/>
          <w:color w:val="FFFFFF"/>
          <w:sz w:val="10"/>
        </w:rPr>
        <w:t>© 2026 Enterprise AI Adoption Report</w:t>
      </w:r>
    </w:p>
    <w:sectPr w:rsidR="00FC693F" w:rsidRPr="0006063C" w:rsidSect="00034616">
      <w:pgSz w:w="11918" w:h="16838"/>
      <w:pgMar w:top="386" w:right="1440" w:bottom="1440" w:left="63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hyperlink" Target="http://127.0.0.1:4173/market-profiles" TargetMode="External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hyperlink" Target="https://gdpr.eu/" TargetMode="External"/><Relationship Id="rId64" Type="http://schemas.openxmlformats.org/officeDocument/2006/relationships/hyperlink" Target="https://artificialintelligenceact.eu/" TargetMode="External"/><Relationship Id="rId65" Type="http://schemas.openxmlformats.org/officeDocument/2006/relationships/hyperlink" Target="https://www.finma.ch/en/" TargetMode="External"/><Relationship Id="rId66" Type="http://schemas.openxmlformats.org/officeDocument/2006/relationships/hyperlink" Target="https://www.digital-operational-resilience-act.com/" TargetMode="External"/><Relationship Id="rId67" Type="http://schemas.openxmlformats.org/officeDocument/2006/relationships/hyperlink" Target="https://www.hhs.gov/hipaa/index.html" TargetMode="External"/><Relationship Id="rId68" Type="http://schemas.openxmlformats.org/officeDocument/2006/relationships/image" Target="media/image54.png"/><Relationship Id="rId69" Type="http://schemas.openxmlformats.org/officeDocument/2006/relationships/image" Target="media/image55.png"/><Relationship Id="rId70" Type="http://schemas.openxmlformats.org/officeDocument/2006/relationships/image" Target="media/image56.png"/><Relationship Id="rId71" Type="http://schemas.openxmlformats.org/officeDocument/2006/relationships/image" Target="media/image57.png"/><Relationship Id="rId72" Type="http://schemas.openxmlformats.org/officeDocument/2006/relationships/image" Target="media/image58.png"/><Relationship Id="rId73" Type="http://schemas.openxmlformats.org/officeDocument/2006/relationships/image" Target="media/image59.png"/><Relationship Id="rId74" Type="http://schemas.openxmlformats.org/officeDocument/2006/relationships/image" Target="media/image60.png"/><Relationship Id="rId75" Type="http://schemas.openxmlformats.org/officeDocument/2006/relationships/image" Target="media/image61.png"/><Relationship Id="rId76" Type="http://schemas.openxmlformats.org/officeDocument/2006/relationships/image" Target="media/image62.png"/><Relationship Id="rId77" Type="http://schemas.openxmlformats.org/officeDocument/2006/relationships/image" Target="media/image63.png"/><Relationship Id="rId78" Type="http://schemas.openxmlformats.org/officeDocument/2006/relationships/image" Target="media/image64.png"/><Relationship Id="rId79" Type="http://schemas.openxmlformats.org/officeDocument/2006/relationships/image" Target="media/image65.png"/><Relationship Id="rId80" Type="http://schemas.openxmlformats.org/officeDocument/2006/relationships/image" Target="media/image66.png"/><Relationship Id="rId81" Type="http://schemas.openxmlformats.org/officeDocument/2006/relationships/image" Target="media/image67.png"/><Relationship Id="rId82" Type="http://schemas.openxmlformats.org/officeDocument/2006/relationships/image" Target="media/image68.png"/><Relationship Id="rId83" Type="http://schemas.openxmlformats.org/officeDocument/2006/relationships/image" Target="media/image69.png"/><Relationship Id="rId84" Type="http://schemas.openxmlformats.org/officeDocument/2006/relationships/image" Target="media/image70.png"/><Relationship Id="rId85" Type="http://schemas.openxmlformats.org/officeDocument/2006/relationships/image" Target="media/image71.png"/><Relationship Id="rId86" Type="http://schemas.openxmlformats.org/officeDocument/2006/relationships/image" Target="media/image72.png"/><Relationship Id="rId87" Type="http://schemas.openxmlformats.org/officeDocument/2006/relationships/image" Target="media/image73.png"/><Relationship Id="rId88" Type="http://schemas.openxmlformats.org/officeDocument/2006/relationships/image" Target="media/image74.png"/><Relationship Id="rId89" Type="http://schemas.openxmlformats.org/officeDocument/2006/relationships/image" Target="media/image75.png"/><Relationship Id="rId90" Type="http://schemas.openxmlformats.org/officeDocument/2006/relationships/image" Target="media/image76.png"/><Relationship Id="rId91" Type="http://schemas.openxmlformats.org/officeDocument/2006/relationships/image" Target="media/image77.png"/><Relationship Id="rId92" Type="http://schemas.openxmlformats.org/officeDocument/2006/relationships/image" Target="media/image78.png"/><Relationship Id="rId93" Type="http://schemas.openxmlformats.org/officeDocument/2006/relationships/image" Target="media/image79.png"/><Relationship Id="rId94" Type="http://schemas.openxmlformats.org/officeDocument/2006/relationships/image" Target="media/image80.png"/><Relationship Id="rId95" Type="http://schemas.openxmlformats.org/officeDocument/2006/relationships/image" Target="media/image81.png"/><Relationship Id="rId96" Type="http://schemas.openxmlformats.org/officeDocument/2006/relationships/image" Target="media/image82.png"/><Relationship Id="rId97" Type="http://schemas.openxmlformats.org/officeDocument/2006/relationships/image" Target="media/image83.png"/><Relationship Id="rId98" Type="http://schemas.openxmlformats.org/officeDocument/2006/relationships/image" Target="media/image84.png"/><Relationship Id="rId99" Type="http://schemas.openxmlformats.org/officeDocument/2006/relationships/image" Target="media/image85.png"/><Relationship Id="rId100" Type="http://schemas.openxmlformats.org/officeDocument/2006/relationships/image" Target="media/image86.png"/><Relationship Id="rId101" Type="http://schemas.openxmlformats.org/officeDocument/2006/relationships/image" Target="media/image87.png"/><Relationship Id="rId102" Type="http://schemas.openxmlformats.org/officeDocument/2006/relationships/image" Target="media/image88.png"/><Relationship Id="rId103" Type="http://schemas.openxmlformats.org/officeDocument/2006/relationships/image" Target="media/image89.png"/><Relationship Id="rId104" Type="http://schemas.openxmlformats.org/officeDocument/2006/relationships/image" Target="media/image90.png"/><Relationship Id="rId105" Type="http://schemas.openxmlformats.org/officeDocument/2006/relationships/image" Target="media/image91.png"/><Relationship Id="rId106" Type="http://schemas.openxmlformats.org/officeDocument/2006/relationships/image" Target="media/image92.png"/><Relationship Id="rId107" Type="http://schemas.openxmlformats.org/officeDocument/2006/relationships/image" Target="media/image93.png"/><Relationship Id="rId108" Type="http://schemas.openxmlformats.org/officeDocument/2006/relationships/image" Target="media/image94.png"/><Relationship Id="rId109" Type="http://schemas.openxmlformats.org/officeDocument/2006/relationships/image" Target="media/image95.png"/><Relationship Id="rId110" Type="http://schemas.openxmlformats.org/officeDocument/2006/relationships/image" Target="media/image96.png"/><Relationship Id="rId111" Type="http://schemas.openxmlformats.org/officeDocument/2006/relationships/image" Target="media/image97.png"/><Relationship Id="rId112" Type="http://schemas.openxmlformats.org/officeDocument/2006/relationships/image" Target="media/image98.png"/><Relationship Id="rId113" Type="http://schemas.openxmlformats.org/officeDocument/2006/relationships/image" Target="media/image99.png"/><Relationship Id="rId114" Type="http://schemas.openxmlformats.org/officeDocument/2006/relationships/image" Target="media/image100.png"/><Relationship Id="rId115" Type="http://schemas.openxmlformats.org/officeDocument/2006/relationships/image" Target="media/image101.png"/><Relationship Id="rId116" Type="http://schemas.openxmlformats.org/officeDocument/2006/relationships/image" Target="media/image102.png"/><Relationship Id="rId117" Type="http://schemas.openxmlformats.org/officeDocument/2006/relationships/image" Target="media/image103.png"/><Relationship Id="rId118" Type="http://schemas.openxmlformats.org/officeDocument/2006/relationships/image" Target="media/image104.png"/><Relationship Id="rId119" Type="http://schemas.openxmlformats.org/officeDocument/2006/relationships/image" Target="media/image105.png"/><Relationship Id="rId120" Type="http://schemas.openxmlformats.org/officeDocument/2006/relationships/image" Target="media/image106.png"/><Relationship Id="rId121" Type="http://schemas.openxmlformats.org/officeDocument/2006/relationships/image" Target="media/image107.png"/><Relationship Id="rId122" Type="http://schemas.openxmlformats.org/officeDocument/2006/relationships/image" Target="media/image108.png"/><Relationship Id="rId123" Type="http://schemas.openxmlformats.org/officeDocument/2006/relationships/image" Target="media/image109.png"/><Relationship Id="rId124" Type="http://schemas.openxmlformats.org/officeDocument/2006/relationships/image" Target="media/image110.png"/><Relationship Id="rId125" Type="http://schemas.openxmlformats.org/officeDocument/2006/relationships/image" Target="media/image111.png"/><Relationship Id="rId126" Type="http://schemas.openxmlformats.org/officeDocument/2006/relationships/image" Target="media/image112.png"/><Relationship Id="rId127" Type="http://schemas.openxmlformats.org/officeDocument/2006/relationships/image" Target="media/image113.png"/><Relationship Id="rId128" Type="http://schemas.openxmlformats.org/officeDocument/2006/relationships/image" Target="media/image114.png"/><Relationship Id="rId129" Type="http://schemas.openxmlformats.org/officeDocument/2006/relationships/image" Target="media/image115.png"/><Relationship Id="rId130" Type="http://schemas.openxmlformats.org/officeDocument/2006/relationships/image" Target="media/image116.png"/><Relationship Id="rId131" Type="http://schemas.openxmlformats.org/officeDocument/2006/relationships/image" Target="media/image117.png"/><Relationship Id="rId132" Type="http://schemas.openxmlformats.org/officeDocument/2006/relationships/image" Target="media/image118.png"/><Relationship Id="rId133" Type="http://schemas.openxmlformats.org/officeDocument/2006/relationships/image" Target="media/image119.png"/><Relationship Id="rId134" Type="http://schemas.openxmlformats.org/officeDocument/2006/relationships/image" Target="media/image120.png"/><Relationship Id="rId135" Type="http://schemas.openxmlformats.org/officeDocument/2006/relationships/image" Target="media/image121.png"/><Relationship Id="rId136" Type="http://schemas.openxmlformats.org/officeDocument/2006/relationships/image" Target="media/image122.png"/><Relationship Id="rId137" Type="http://schemas.openxmlformats.org/officeDocument/2006/relationships/image" Target="media/image123.png"/><Relationship Id="rId138" Type="http://schemas.openxmlformats.org/officeDocument/2006/relationships/image" Target="media/image124.png"/><Relationship Id="rId139" Type="http://schemas.openxmlformats.org/officeDocument/2006/relationships/image" Target="media/image125.png"/><Relationship Id="rId140" Type="http://schemas.openxmlformats.org/officeDocument/2006/relationships/image" Target="media/image126.png"/><Relationship Id="rId141" Type="http://schemas.openxmlformats.org/officeDocument/2006/relationships/image" Target="media/image127.png"/><Relationship Id="rId142" Type="http://schemas.openxmlformats.org/officeDocument/2006/relationships/image" Target="media/image128.png"/><Relationship Id="rId143" Type="http://schemas.openxmlformats.org/officeDocument/2006/relationships/image" Target="media/image129.png"/><Relationship Id="rId144" Type="http://schemas.openxmlformats.org/officeDocument/2006/relationships/image" Target="media/image130.png"/><Relationship Id="rId145" Type="http://schemas.openxmlformats.org/officeDocument/2006/relationships/image" Target="media/image131.png"/><Relationship Id="rId146" Type="http://schemas.openxmlformats.org/officeDocument/2006/relationships/image" Target="media/image132.png"/><Relationship Id="rId147" Type="http://schemas.openxmlformats.org/officeDocument/2006/relationships/image" Target="media/image1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