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D3708" w14:textId="775F79DE" w:rsidR="00EC46BA" w:rsidRPr="005C538E" w:rsidRDefault="001C4AEA" w:rsidP="005C538E">
      <w:pPr>
        <w:pStyle w:val="Title"/>
        <w:jc w:val="center"/>
        <w:rPr>
          <w:b/>
          <w:bCs/>
        </w:rPr>
      </w:pPr>
      <w:r w:rsidRPr="005C538E">
        <w:rPr>
          <w:b/>
          <w:bCs/>
        </w:rPr>
        <w:t xml:space="preserve">Al Ashlih Asbaabun </w:t>
      </w:r>
      <w:proofErr w:type="spellStart"/>
      <w:r w:rsidRPr="005C538E">
        <w:rPr>
          <w:b/>
          <w:bCs/>
        </w:rPr>
        <w:t>Nuzul</w:t>
      </w:r>
      <w:proofErr w:type="spellEnd"/>
    </w:p>
    <w:p w14:paraId="48A4DBE9" w14:textId="77777777" w:rsidR="00EC46BA" w:rsidRDefault="001C4AEA" w:rsidP="005C538E">
      <w:pPr>
        <w:spacing w:after="240"/>
        <w:jc w:val="center"/>
      </w:pPr>
      <w:r>
        <w:rPr>
          <w:b/>
          <w:sz w:val="24"/>
        </w:rPr>
        <w:t>Disediakan oleh: Peguam Ghazali</w:t>
      </w:r>
    </w:p>
    <w:p w14:paraId="779567B6" w14:textId="77777777" w:rsidR="00EC46BA" w:rsidRDefault="001C4AEA">
      <w:pPr>
        <w:pStyle w:val="Heading1"/>
      </w:pPr>
      <w:r>
        <w:t>Memahami masalah dalam ayat dan mengusahakan penyelesaiannya</w:t>
      </w:r>
    </w:p>
    <w:p w14:paraId="39B8AACD" w14:textId="77777777" w:rsidR="00EC46BA" w:rsidRDefault="001C4AEA">
      <w:pPr>
        <w:jc w:val="both"/>
      </w:pPr>
      <w:r>
        <w:t>Apabila kita membaca al-Quran, kita perlu memahami apakah yang disampaikan oleh ayat dan mengapa perkara itu penting kepada kehidupan. Dalam kerangka Al Fathun Nawa, persoalan kedua ini dihuraikan melalui kaedah Al Ashlih Asbaabun Nuzul. Kaedah ini mengajak pembaca meneliti rentetan peristiwa yang tersirat, mengenal pasti dilema, mencari jalan penyelesaian dan mengambil pengajaran daripada hasil penyelesaian tersebut.</w:t>
      </w:r>
    </w:p>
    <w:p w14:paraId="7C7D53B5" w14:textId="77777777" w:rsidR="00EC46BA" w:rsidRDefault="001C4AEA">
      <w:pPr>
        <w:jc w:val="both"/>
      </w:pPr>
      <w:r>
        <w:t>Penerangan ini menggunakan istilah pengarang, Dr. Halo-N. Dalam Jilid 9, beliau memperkenalkan Al Ashlih Asbaabun Nuzul sebagai kaedah pentafshilan ketiga belas. Istilah “pentafshilan” digunakan bagi penghuraian yang memperjelaskan makna dan pengertian ayat. Matlamatnya ialah kefahaman yang boleh membentuk pegangan dan tindakan dalam kehidupan.</w:t>
      </w:r>
    </w:p>
    <w:p w14:paraId="6F0153C4" w14:textId="77777777" w:rsidR="00EC46BA" w:rsidRDefault="001C4AEA">
      <w:pPr>
        <w:spacing w:after="240" w:line="252" w:lineRule="auto"/>
      </w:pPr>
      <w:r>
        <w:rPr>
          <w:i/>
          <w:sz w:val="20"/>
        </w:rPr>
        <w:t>Rujukan utama: Jilid 9, ms. buku 11–19 [PDF 100–108].</w:t>
      </w:r>
    </w:p>
    <w:p w14:paraId="20F780B7" w14:textId="77777777" w:rsidR="00EC46BA" w:rsidRDefault="001C4AEA">
      <w:pPr>
        <w:pStyle w:val="Heading1"/>
      </w:pPr>
      <w:r>
        <w:t>1 Maksud asas konsep</w:t>
      </w:r>
    </w:p>
    <w:p w14:paraId="52119F5B" w14:textId="77777777" w:rsidR="00EC46BA" w:rsidRDefault="001C4AEA">
      <w:pPr>
        <w:jc w:val="both"/>
      </w:pPr>
      <w:r>
        <w:t>Secara mudah, Al Ashlih Asbaabun Nuzul ialah kaedah menghuraikan ayat dengan meneliti masalah yang diisyaratkan di sebalik kenyataan ayat, kemudian mencari penyelesaian yang membawa kebaikan kepada kehidupan. Tumpuannya ialah hubungan antara kenyataan ayat, sikap manusia, kesan sikap tersebut dan perubahan yang perlu dilakukan.</w:t>
      </w:r>
    </w:p>
    <w:p w14:paraId="091B4CB7" w14:textId="77777777" w:rsidR="00EC46BA" w:rsidRDefault="001C4AEA">
      <w:pPr>
        <w:jc w:val="both"/>
      </w:pPr>
      <w:r>
        <w:t>Bayangkan seseorang membaca ayat yang menyeru supaya manusia berfikir. Pembaca tidak berhenti pada maksud perkataan “berfikir”. Dia bertanya: Apakah masalah yang timbul apabila manusia tidak berfikir? Apakah kesannya kepada keputusan dan tindakannya? Bagaimanakah seruan itu membantunya mengatasi masalah? Apakah perubahan yang dapat dirasai selepas dia bertindak?</w:t>
      </w:r>
    </w:p>
    <w:p w14:paraId="775AB61C" w14:textId="77777777" w:rsidR="00EC46BA" w:rsidRDefault="001C4AEA">
      <w:pPr>
        <w:jc w:val="both"/>
      </w:pPr>
      <w:r>
        <w:t>Soalan-soalan ini menunjukkan arah pengashlihan, iaitu pembaikan yang diusahakan melalui pemahaman dan pelaksanaan petunjuk. Pembaca bergerak daripada mengenal masalah kepada memperbaiki sikap dan keadaan. Rumus hafalannya ialah rentetan peristiwa, dilema, falsafah penyelesaian dan nostalgia.</w:t>
      </w:r>
    </w:p>
    <w:p w14:paraId="6E0941C3" w14:textId="77777777" w:rsidR="00EC46BA" w:rsidRDefault="001C4AEA">
      <w:pPr>
        <w:spacing w:after="240" w:line="252" w:lineRule="auto"/>
      </w:pPr>
      <w:r>
        <w:rPr>
          <w:i/>
          <w:sz w:val="20"/>
        </w:rPr>
        <w:lastRenderedPageBreak/>
        <w:t>Rujukan: Jilid 9, ms. buku 12–19 [PDF 101–108]; rumus hafalan ialah susunan ringkas untuk penerangan.</w:t>
      </w:r>
    </w:p>
    <w:p w14:paraId="742CBDC3" w14:textId="77777777" w:rsidR="00EC46BA" w:rsidRDefault="001C4AEA">
      <w:pPr>
        <w:pStyle w:val="Heading1"/>
      </w:pPr>
      <w:r>
        <w:t>2 Hubungannya dengan Asbaabun Nuzul</w:t>
      </w:r>
    </w:p>
    <w:p w14:paraId="7378DFA4" w14:textId="77777777" w:rsidR="00EC46BA" w:rsidRDefault="001C4AEA">
      <w:pPr>
        <w:jc w:val="both"/>
      </w:pPr>
      <w:r>
        <w:t>Dalam Jilid 1 dan Jilid 2, pengarang menerangkan Asbaabun Nuzul melalui peristiwa, sikap dan tingkah laku masyarakat pada zaman kerasulan Muhammad. Peristiwa tersebut membantu menjelaskan kepentingan ayat dan pengajaran yang boleh diambil daripadanya.</w:t>
      </w:r>
    </w:p>
    <w:p w14:paraId="7F2895E1" w14:textId="77777777" w:rsidR="00EC46BA" w:rsidRDefault="001C4AEA">
      <w:pPr>
        <w:jc w:val="both"/>
      </w:pPr>
      <w:r>
        <w:t>Dalam Jilid 9, pengarang memperluas pendekatan itu. Beliau mengajak pembaca meneliti rentetan peristiwa tersirat yang dibayangkan oleh ayat, termasuk masalah kehidupan yang boleh berulang pada zaman kemudian. Dengan itu, perhatian diberikan kepada mengapa petunjuk ayat diperlukan oleh manusia dan bagaimana petunjuk tersebut boleh digunakan untuk menyelesaikan masalah.</w:t>
      </w:r>
    </w:p>
    <w:p w14:paraId="530AC9F4" w14:textId="77777777" w:rsidR="00EC46BA" w:rsidRDefault="001C4AEA">
      <w:pPr>
        <w:jc w:val="both"/>
      </w:pPr>
      <w:r>
        <w:t>Di sini kita perlu membezakan dua jenis kenyataan. Kisah sejarah tentang peristiwa turunnya ayat memerlukan bukti sejarah. Huraian tentang rentetan peristiwa tersirat pula ialah hasil pembacaan dan pentafshilan terhadap ayat. Apabila membentangkan huraian tersirat, kita boleh menyebut “ayat ini mengisyaratkan masalah” atau “dalam kerangka pengarang, ayat ini dihuraikan sebagai”. Kita tidak menukarkan gambaran yang dibina kepada dakwaan bahawa peristiwa sejarah tertentu benar-benar berlaku.</w:t>
      </w:r>
    </w:p>
    <w:p w14:paraId="5FF28129" w14:textId="77777777" w:rsidR="00EC46BA" w:rsidRDefault="001C4AEA">
      <w:pPr>
        <w:spacing w:after="240" w:line="252" w:lineRule="auto"/>
      </w:pPr>
      <w:r>
        <w:rPr>
          <w:i/>
          <w:sz w:val="20"/>
        </w:rPr>
        <w:t>Rujukan: Jilid 1, ms. buku 20–23 [PDF 129–132]; Jilid 2, ms. buku 21–24 [PDF 82–85]; Jilid 9, ms. buku 12–15 [PDF 101–104].</w:t>
      </w:r>
    </w:p>
    <w:p w14:paraId="7551F4D5" w14:textId="77777777" w:rsidR="00EC46BA" w:rsidRDefault="001C4AEA">
      <w:pPr>
        <w:pStyle w:val="Heading1"/>
      </w:pPr>
      <w:r>
        <w:t>3 Empat unsur yang perlu difahami</w:t>
      </w:r>
    </w:p>
    <w:p w14:paraId="642A81A5" w14:textId="77777777" w:rsidR="00EC46BA" w:rsidRDefault="001C4AEA">
      <w:pPr>
        <w:jc w:val="both"/>
      </w:pPr>
      <w:r>
        <w:t>Unsur pertama ialah rentetan peristiwa tersirat. Maksudnya ialah rangkaian keadaan atau sikap yang dapat dihuraikan daripada kenyataan ayat. Rangkaian itu perlu berasaskan kalimah dan hubungan makna ayat. Tujuannya ialah memperlihatkan masalah dengan jelas, tanpa menambah nama, tarikh atau kejadian yang tidak dinyatakan.</w:t>
      </w:r>
    </w:p>
    <w:p w14:paraId="4DBC70EE" w14:textId="77777777" w:rsidR="00EC46BA" w:rsidRDefault="001C4AEA">
      <w:pPr>
        <w:jc w:val="both"/>
      </w:pPr>
      <w:r>
        <w:t>Unsur kedua ialah dilema. Dalam penggunaan pengarang, dilema merujuk masalah atau kekusutan yang memerlukan penyelesaian. Dilema boleh berkaitan kejahilan, keengganan menerima petunjuk, kelemahan tindakan atau kesan buruk sesuatu sikap. Soalan utamanya ialah: Apakah masalah yang hendak diperlihatkan kepada manusia?</w:t>
      </w:r>
    </w:p>
    <w:p w14:paraId="51453A12" w14:textId="77777777" w:rsidR="00EC46BA" w:rsidRDefault="001C4AEA">
      <w:pPr>
        <w:jc w:val="both"/>
      </w:pPr>
      <w:r>
        <w:lastRenderedPageBreak/>
        <w:t>Unsur ketiga ialah falsafah penyelesaian. Di sini, falsafah bermaksud prinsip atau arah tindakan yang dihuraikan daripada petunjuk ayat untuk meleraikan masalah. Jika masalahnya ialah keengganan meneliti, maka penyelesaiannya perlu melibatkan penelitian. Jika masalahnya ialah kerugian akibat mengabaikan masa, maka penyelesaiannya perlu melibatkan penggunaan masa yang membina kehidupan.</w:t>
      </w:r>
    </w:p>
    <w:p w14:paraId="67D195AF" w14:textId="77777777" w:rsidR="00EC46BA" w:rsidRDefault="001C4AEA">
      <w:pPr>
        <w:jc w:val="both"/>
      </w:pPr>
      <w:r>
        <w:t>Unsur keempat ialah nostalgia. Pengarang menggunakan istilah ini bagi kemanisan atau kebaikan yang terhasil setelah dilema diselesaikan. Dalam konteks ini, nostalgia merujuk pengalaman perubahan, kefahaman dan ketenteraman yang boleh dijadikan pegangan hidup. Oleh itu, pembaca perlu menerangkan apakah manfaat yang lahir daripada penyelesaian, bukan sekadar menyatakan bahawa sesuatu masalah sudah selesai.</w:t>
      </w:r>
    </w:p>
    <w:p w14:paraId="6E684FE9" w14:textId="77777777" w:rsidR="00EC46BA" w:rsidRDefault="001C4AEA">
      <w:pPr>
        <w:spacing w:after="240" w:line="252" w:lineRule="auto"/>
      </w:pPr>
      <w:r>
        <w:rPr>
          <w:i/>
          <w:sz w:val="20"/>
        </w:rPr>
        <w:t>Rujukan: Jilid 9, ms. buku 12–19 dan 28–29 [PDF 101–108 dan 117–118].</w:t>
      </w:r>
    </w:p>
    <w:p w14:paraId="32CE88B8" w14:textId="77777777" w:rsidR="00EC46BA" w:rsidRDefault="001C4AEA">
      <w:pPr>
        <w:pStyle w:val="Heading1"/>
      </w:pPr>
      <w:r>
        <w:t>4 Memahami istilah dilema Tuhan dan dilema manusia</w:t>
      </w:r>
    </w:p>
    <w:p w14:paraId="385FC40D" w14:textId="77777777" w:rsidR="00EC46BA" w:rsidRDefault="001C4AEA">
      <w:pPr>
        <w:jc w:val="both"/>
      </w:pPr>
      <w:r>
        <w:t>Pengarang menggunakan ungkapan “dilema Tuhan” dan “dilema manusia” untuk menghuraikan hubungan antara kehendak Tuhan dengan sikap manusia. Ketika menerangkan kerangka ini, nyatakan hubungan yang dimaksudkan: Tuhan memberi petunjuk, sedangkan manusia mungkin mengabaikan, menolak atau gagal melaksanakannya.</w:t>
      </w:r>
    </w:p>
    <w:p w14:paraId="4CF0EBF5" w14:textId="77777777" w:rsidR="00EC46BA" w:rsidRDefault="001C4AEA">
      <w:pPr>
        <w:jc w:val="both"/>
      </w:pPr>
      <w:r>
        <w:t>Dalam penerangan mudah, kita boleh bertanya: Apakah petunjuk yang dinyatakan? Bagaimanakah manusia bersikap terhadap petunjuk itu? Apakah kekusutan yang lahir daripada sikap tersebut? Cara ini menjelaskan maksud istilah pengarang dalam konteks perbincangan, tanpa menjadikan istilah itu dakwaan tambahan tentang sifat Tuhan.</w:t>
      </w:r>
    </w:p>
    <w:p w14:paraId="5198E98C" w14:textId="77777777" w:rsidR="00EC46BA" w:rsidRDefault="001C4AEA">
      <w:pPr>
        <w:jc w:val="both"/>
      </w:pPr>
      <w:r>
        <w:t>Jilid 9 menyenaraikan tujuh lingkungan masalah: Tuhan dengan Tuhan; Tuhan dengan Iblis dan syaitan; Tuhan dengan manusia; manusia dengan Tuhan; Tuhan dengan alam sejagat; manusia dengan alam sejagat; serta manusia dengan manusia. Senarai ini ialah klasifikasi dalam kerangka pengarang. Ia berbeza daripada tujuh peringkat pembentangan yang akan diterangkan selepas ini.</w:t>
      </w:r>
    </w:p>
    <w:p w14:paraId="72448E00" w14:textId="77777777" w:rsidR="00EC46BA" w:rsidRDefault="001C4AEA">
      <w:pPr>
        <w:spacing w:after="240" w:line="252" w:lineRule="auto"/>
      </w:pPr>
      <w:r>
        <w:rPr>
          <w:i/>
          <w:sz w:val="20"/>
        </w:rPr>
        <w:t>Rujukan: Jilid 9, ms. buku 25–27 [PDF 114–116].</w:t>
      </w:r>
    </w:p>
    <w:p w14:paraId="4B0896A7" w14:textId="77777777" w:rsidR="00EC46BA" w:rsidRDefault="001C4AEA">
      <w:pPr>
        <w:pStyle w:val="Heading1"/>
      </w:pPr>
      <w:r>
        <w:lastRenderedPageBreak/>
        <w:t>5 Cara mengenal isyarat dilema</w:t>
      </w:r>
    </w:p>
    <w:p w14:paraId="238859DD" w14:textId="77777777" w:rsidR="00EC46BA" w:rsidRDefault="001C4AEA">
      <w:pPr>
        <w:jc w:val="both"/>
      </w:pPr>
      <w:r>
        <w:t>Menurut pengarang, isyarat dilema boleh berada pada permulaan ayat, penghujung ayat atau makna keseluruhan ayat. Pembaca perlu meneliti kalimah dalam konteksnya. Sesuatu lafaz tidak mencukupi dengan sendirinya untuk menetapkan keseluruhan masalah.</w:t>
      </w:r>
    </w:p>
    <w:p w14:paraId="40EC3AEB" w14:textId="77777777" w:rsidR="00EC46BA" w:rsidRDefault="001C4AEA">
      <w:pPr>
        <w:jc w:val="both"/>
      </w:pPr>
      <w:r>
        <w:t>Sebagai contoh, ungkapan “Afalaa yatadabbaruun” dalam Muhammad 47:24 mengarahkan perhatian kepada persoalan keengganan mentadabbur al-Quran. Dalam al-Baqarah 2:186, pengarang memberi perhatian kepada “la‘allahum yarshuduun”, lalu menghuraikan masalah kefahaman dan arah hidup manusia dalam hubungannya dengan Tuhan.</w:t>
      </w:r>
    </w:p>
    <w:p w14:paraId="419D15B9" w14:textId="77777777" w:rsidR="00EC46BA" w:rsidRDefault="001C4AEA">
      <w:pPr>
        <w:jc w:val="both"/>
      </w:pPr>
      <w:r>
        <w:t>Langkah yang berguna ialah membaca seluruh ayat, mengenal pasti kalimah tumpuan, menjelaskan masalah yang disokong oleh konteks dan menyemak huraian dengan ayat berkaitan. Elakkan memutuskan makna hanya kerana satu perkataan kelihatan sesuai dengan cerita yang kita mahu bina.</w:t>
      </w:r>
    </w:p>
    <w:p w14:paraId="42573791" w14:textId="77777777" w:rsidR="00EC46BA" w:rsidRDefault="001C4AEA">
      <w:pPr>
        <w:spacing w:after="240" w:line="252" w:lineRule="auto"/>
      </w:pPr>
      <w:r>
        <w:rPr>
          <w:i/>
          <w:sz w:val="20"/>
        </w:rPr>
        <w:t>Rujukan: Jilid 9, ms. buku 20–25 dan 30–35 [PDF 109–114 dan 119–124].</w:t>
      </w:r>
    </w:p>
    <w:p w14:paraId="26FB9BF4" w14:textId="77777777" w:rsidR="00EC46BA" w:rsidRDefault="001C4AEA">
      <w:pPr>
        <w:pStyle w:val="Heading1"/>
      </w:pPr>
      <w:r>
        <w:t>6 Empat langkah asas dan tujuh peringkat pembentangan</w:t>
      </w:r>
    </w:p>
    <w:p w14:paraId="1D9AB729" w14:textId="77777777" w:rsidR="00EC46BA" w:rsidRDefault="001C4AEA">
      <w:pPr>
        <w:jc w:val="both"/>
      </w:pPr>
      <w:r>
        <w:t>Bab 4 menerangkan empat langkah asas. Pertama, baca ayat dan kenal pasti kalimah dilema. Kedua, kenal pasti masalah yang ditimbulkan. Ketiga, huraikan rentetan peristiwa tersirat yang membayangkan punca masalah. Keempat, bincangkan penyelesaian dan manfaat yang terhasil.</w:t>
      </w:r>
    </w:p>
    <w:p w14:paraId="5371595D" w14:textId="77777777" w:rsidR="00EC46BA" w:rsidRDefault="001C4AEA">
      <w:pPr>
        <w:jc w:val="both"/>
      </w:pPr>
      <w:r>
        <w:t>Dalam sukatan peperiksaan, proses ini dikembangkan kepada tujuh peringkat: sebab kepentingan ayat diturunkan; isyarat rentetan peristiwa; dilema Tuhan dengan manusia; kesan rentetan dilema; jalan falsafah pengashlih penyelesaian; nostalgia pengashlihan penyelesaian; dan rumusan.</w:t>
      </w:r>
    </w:p>
    <w:p w14:paraId="3E7E2AD7" w14:textId="77777777" w:rsidR="00EC46BA" w:rsidRDefault="001C4AEA">
      <w:pPr>
        <w:jc w:val="both"/>
      </w:pPr>
      <w:r>
        <w:t>Kedua-dua susunan ini boleh digunakan bersama. Empat langkah memberikan cara kerja asas, manakala tujuh peringkat menyusun isi pembentangan supaya kepentingan ayat, masalah, kesan, penyelesaian dan hasilnya diterangkan dengan lengkap. Untuk latihan peperiksaan, Jilid 9 juga meminta tiga ayat sokongan. Sokongan itu perlu dijelaskan kaitannya, bukan sekadar disenaraikan.</w:t>
      </w:r>
    </w:p>
    <w:p w14:paraId="093E3CB8" w14:textId="77777777" w:rsidR="00EC46BA" w:rsidRDefault="001C4AEA">
      <w:pPr>
        <w:spacing w:after="240" w:line="252" w:lineRule="auto"/>
      </w:pPr>
      <w:r>
        <w:rPr>
          <w:i/>
          <w:sz w:val="20"/>
        </w:rPr>
        <w:t>Rujukan: Jilid 9, ms. buku 28–29 [PDF 117–118] dan 399–402 [PDF 488–491].</w:t>
      </w:r>
    </w:p>
    <w:p w14:paraId="33AC24AE" w14:textId="77777777" w:rsidR="00EC46BA" w:rsidRDefault="001C4AEA">
      <w:pPr>
        <w:pStyle w:val="Heading1"/>
      </w:pPr>
      <w:r>
        <w:lastRenderedPageBreak/>
        <w:t>7 Contoh pertama al Baqarah ayat 186</w:t>
      </w:r>
    </w:p>
    <w:p w14:paraId="6E07E5C6" w14:textId="77777777" w:rsidR="00EC46BA" w:rsidRDefault="001C4AEA">
      <w:pPr>
        <w:jc w:val="both"/>
      </w:pPr>
      <w:r>
        <w:t>Al-Baqarah 2:186 menyatakan kedekatan Allah, penerimaan doa orang yang berdoa, serta seruan supaya manusia menyahut-Nya dan beriman kepada-Nya. Pengarang menggunakan ayat ini sebagai contoh awal kaedah Al Ashlih Asbaabun Nuzul.</w:t>
      </w:r>
    </w:p>
    <w:p w14:paraId="4006D078" w14:textId="77777777" w:rsidR="00EC46BA" w:rsidRDefault="001C4AEA">
      <w:pPr>
        <w:jc w:val="both"/>
      </w:pPr>
      <w:r>
        <w:t>Dalam kerangka contoh itu, dilemanya ialah manusia yang tidak memahami hubungannya dengan Tuhan: tidak menyedari kedekatan-Nya, tidak mengetahui peranan doa atau tidak memperteguh keimanan. Rentetan tersiratnya boleh dihuraikan sebagai keadaan manusia yang menghadapi keperluan tetapi tidak tahu bagaimana menyahut petunjuk ayat.</w:t>
      </w:r>
    </w:p>
    <w:p w14:paraId="60786907" w14:textId="77777777" w:rsidR="00EC46BA" w:rsidRDefault="001C4AEA">
      <w:pPr>
        <w:jc w:val="both"/>
      </w:pPr>
      <w:r>
        <w:t>Penyelesaiannya berhubung langsung dengan kandungan ayat: memahami kedekatan Allah, berdoa, menyahut seruan-Nya dan beriman kepada-Nya. Nostalgia yang dihuraikan pengarang ialah kemanisan kefahaman manusia dalam bertuhan. Pembaca dapat menjelaskan perubahan daripada kejahilan kepada kesedaran dan pegangan yang lebih terarah.</w:t>
      </w:r>
    </w:p>
    <w:p w14:paraId="06621ECB" w14:textId="77777777" w:rsidR="00EC46BA" w:rsidRDefault="001C4AEA">
      <w:pPr>
        <w:jc w:val="both"/>
      </w:pPr>
      <w:r>
        <w:t>Pengajaran yang boleh dibawa dalam penerangan ialah doa perlu dibaca bersama seruan untuk menyahut petunjuk dan beriman. Huraian ini tidak menetapkan bila atau bagaimana setiap permintaan akan tercapai; ia menerangkan hubungan unsur-unsur yang dinyatakan oleh ayat.</w:t>
      </w:r>
    </w:p>
    <w:p w14:paraId="7D43FEC6" w14:textId="77777777" w:rsidR="00EC46BA" w:rsidRDefault="001C4AEA">
      <w:pPr>
        <w:spacing w:after="240" w:line="252" w:lineRule="auto"/>
      </w:pPr>
      <w:r>
        <w:rPr>
          <w:i/>
          <w:sz w:val="20"/>
        </w:rPr>
        <w:t>Rujukan contoh pengarang: Jilid 9, ms. buku 30–33 [PDF 119–122].</w:t>
      </w:r>
    </w:p>
    <w:p w14:paraId="3491F880" w14:textId="77777777" w:rsidR="00EC46BA" w:rsidRDefault="001C4AEA">
      <w:pPr>
        <w:pStyle w:val="Heading1"/>
      </w:pPr>
      <w:r>
        <w:t>8 Contoh kedua Muhammad ayat 24</w:t>
      </w:r>
    </w:p>
    <w:p w14:paraId="5EF72907" w14:textId="77777777" w:rsidR="00EC46BA" w:rsidRDefault="001C4AEA">
      <w:pPr>
        <w:jc w:val="both"/>
      </w:pPr>
      <w:r>
        <w:t>Ayat ini bertanya: “Apakah mereka tidak mentadabbur al-Quran, atau pada hati mereka terdapat kunci?” Pertanyaan itu membawa pembaca kepada masalah sikap terhadap petunjuk dan kesediaan hati untuk menelitinya.</w:t>
      </w:r>
    </w:p>
    <w:p w14:paraId="4AEDEC46" w14:textId="77777777" w:rsidR="00EC46BA" w:rsidRDefault="001C4AEA">
      <w:pPr>
        <w:jc w:val="both"/>
      </w:pPr>
      <w:r>
        <w:t>Dalam huraian pengarang, rentetan tersiratnya ialah manusia yang mempunyai al-Quran tetapi enggan memahami dan menghuraikan kepentingannya dalam kehidupan. Dilema itu menghasilkan keadaan hati yang tertutup terhadap pengajaran. Masalah yang dibentangkan melibatkan kesediaan untuk membaca, meneliti, memahami dan menerima petunjuk.</w:t>
      </w:r>
    </w:p>
    <w:p w14:paraId="248E2780" w14:textId="77777777" w:rsidR="00EC46BA" w:rsidRDefault="001C4AEA">
      <w:pPr>
        <w:jc w:val="both"/>
      </w:pPr>
      <w:r>
        <w:t xml:space="preserve">Falsafah penyelesaiannya ialah melaksanakan tadabbur: meneliti kandungan ayat, membincangkan maksudnya, menyemak hubungan dengan ayat lain dan </w:t>
      </w:r>
      <w:r>
        <w:lastRenderedPageBreak/>
        <w:t>mengambil pengajaran untuk tindakan. Nostalgia yang dicari ialah perubahan daripada tertutup kepada terbuka terhadap kefahaman, serta daripada mengabaikan kepada mengambil berat akan petunjuk.</w:t>
      </w:r>
    </w:p>
    <w:p w14:paraId="7C8E2CD1" w14:textId="77777777" w:rsidR="00EC46BA" w:rsidRDefault="001C4AEA">
      <w:pPr>
        <w:jc w:val="both"/>
      </w:pPr>
      <w:r>
        <w:t>Jika contoh ini digunakan dalam kuliah, soalan kepada pendengar boleh berbunyi: Apakah yang ayat ini minta kita teliti? Apakah sikap yang menghalang penelitian? Apakah perubahan yang boleh kita lakukan selepas memahaminya? Soalan itu menghubungkan penerangan dengan usaha pembaikan diri.</w:t>
      </w:r>
    </w:p>
    <w:p w14:paraId="755A4D87" w14:textId="77777777" w:rsidR="00EC46BA" w:rsidRDefault="001C4AEA">
      <w:pPr>
        <w:spacing w:after="240" w:line="252" w:lineRule="auto"/>
      </w:pPr>
      <w:r>
        <w:rPr>
          <w:i/>
          <w:sz w:val="20"/>
        </w:rPr>
        <w:t>Rujukan contoh pengarang: Jilid 9, ms. buku 34–35 [PDF 123–124].</w:t>
      </w:r>
    </w:p>
    <w:p w14:paraId="245D1AC6" w14:textId="77777777" w:rsidR="00EC46BA" w:rsidRDefault="001C4AEA">
      <w:pPr>
        <w:pStyle w:val="Heading1"/>
      </w:pPr>
      <w:r>
        <w:t>9 Contoh ringkas al Asr ayat 1 hingga 3</w:t>
      </w:r>
    </w:p>
    <w:p w14:paraId="22D8D29B" w14:textId="77777777" w:rsidR="00EC46BA" w:rsidRDefault="001C4AEA">
      <w:pPr>
        <w:jc w:val="both"/>
      </w:pPr>
      <w:r>
        <w:t>Dalam bahagian ibrah tentang masa, pengarang menghubungkan Surah al-Asr dengan penggunaan masa dan kerugian kehidupan. Contoh ini membantu kita melihat bagaimana konsep dilema dan penyelesaian boleh diterangkan melalui keseluruhan rangkaian ayat.</w:t>
      </w:r>
    </w:p>
    <w:p w14:paraId="73145262" w14:textId="77777777" w:rsidR="00EC46BA" w:rsidRDefault="001C4AEA">
      <w:pPr>
        <w:jc w:val="both"/>
      </w:pPr>
      <w:r>
        <w:t>Dilemanya ialah kerugian manusia. Rentetan yang boleh dibincangkan ialah masa yang berlalu bersama peluang yang diabaikan dan tindakan yang tidak membina kehidupan. Penyelesaian perlu kembali kepada perkara yang dinyatakan dalam ayat ketiga: iman, amal soleh, saling berpesan dengan kebenaran dan saling berpesan dengan kesabaran.</w:t>
      </w:r>
    </w:p>
    <w:p w14:paraId="6DA95DC7" w14:textId="77777777" w:rsidR="00EC46BA" w:rsidRDefault="001C4AEA">
      <w:pPr>
        <w:jc w:val="both"/>
      </w:pPr>
      <w:r>
        <w:t>Dalam penerangan ini, nostalgia bermaksud manfaat kehidupan yang lebih terarah apabila prinsip tersebut diamalkan. Kita boleh memberikan contoh penggunaan masa untuk menunaikan tanggungjawab, membaiki hubungan atau melaksanakan kerja yang bermanfaat. Contoh penggunaan ini ialah aplikasi penerangan, sementara asas prinsipnya perlu kekal pada ayat.</w:t>
      </w:r>
    </w:p>
    <w:p w14:paraId="157F95F4" w14:textId="77777777" w:rsidR="00EC46BA" w:rsidRDefault="001C4AEA">
      <w:pPr>
        <w:spacing w:after="240" w:line="252" w:lineRule="auto"/>
      </w:pPr>
      <w:r>
        <w:rPr>
          <w:i/>
          <w:sz w:val="20"/>
        </w:rPr>
        <w:t>Rujukan ibrah masa pengarang: Jilid 9, ms. buku 4–6 [PDF 93–95].</w:t>
      </w:r>
    </w:p>
    <w:p w14:paraId="5AA87274" w14:textId="77777777" w:rsidR="00EC46BA" w:rsidRDefault="001C4AEA">
      <w:pPr>
        <w:pStyle w:val="Heading1"/>
      </w:pPr>
      <w:r>
        <w:t>10 Hubungan dengan kaedah lain</w:t>
      </w:r>
    </w:p>
    <w:p w14:paraId="0B3BAA8E" w14:textId="77777777" w:rsidR="00EC46BA" w:rsidRDefault="001C4AEA">
      <w:pPr>
        <w:jc w:val="both"/>
      </w:pPr>
      <w:r>
        <w:t>Jilid-jilid Al Fathun Nawa menekankan konsep al-Quran menerangkan al-Quran. Dalam kaedah ini, hubungan ayat digunakan untuk memperjelaskan dan menyemak huraian. Pembaca perlu menunjukkan mengapa ayat sokongan berkaitan dengan masalah dan penyelesaian yang sedang dibentangkan.</w:t>
      </w:r>
    </w:p>
    <w:p w14:paraId="0B0AB7F8" w14:textId="77777777" w:rsidR="00EC46BA" w:rsidRDefault="001C4AEA">
      <w:pPr>
        <w:jc w:val="both"/>
      </w:pPr>
      <w:r>
        <w:lastRenderedPageBreak/>
        <w:t>Ta’wiilul Ma’ani membantu meneliti apakah yang hendak disampaikan oleh ayat. Al Ashlih Asbaabun Nuzul memberi tumpuan kepada masalah yang hendak diperlihatkan dan dileraikan. Khitab Hilalul Wasil membantu menghuraikan hubungan ayat dan kalimah. Syariat Khafiah, dalam kerangka pengarang, menghubungkan seruan dengan pegangan serta amalan kehidupan.</w:t>
      </w:r>
    </w:p>
    <w:p w14:paraId="35406948" w14:textId="77777777" w:rsidR="00EC46BA" w:rsidRDefault="001C4AEA">
      <w:pPr>
        <w:jc w:val="both"/>
      </w:pPr>
      <w:r>
        <w:t>Jilid 3 turut membezakan huraian kisah pada sudut sebab turun, kejadian zahir, makna tersembunyi dan penggunaan pengajarannya. Hubungan ini menunjukkan bahawa sesuatu kisah boleh dibaca untuk mengetahui kejadiannya dan untuk meneliti pengajaran yang relevan kepada kehidupan.</w:t>
      </w:r>
    </w:p>
    <w:p w14:paraId="0313ADE0" w14:textId="77777777" w:rsidR="00EC46BA" w:rsidRDefault="001C4AEA">
      <w:pPr>
        <w:spacing w:after="240" w:line="252" w:lineRule="auto"/>
      </w:pPr>
      <w:r>
        <w:rPr>
          <w:i/>
          <w:sz w:val="20"/>
        </w:rPr>
        <w:t>Rujukan: Jilid 3, ms. buku 3–4 [PDF 84–85]; Jilid 5, ms. buku 378 [PDF 443]; Jilid 6, ms. buku 768–769 [PDF 837–838]; Jilid 9, ms. buku 19 dan 28–29 [PDF 108 dan 117–118].</w:t>
      </w:r>
    </w:p>
    <w:p w14:paraId="25021F20" w14:textId="77777777" w:rsidR="00EC46BA" w:rsidRDefault="001C4AEA">
      <w:pPr>
        <w:pStyle w:val="Heading1"/>
      </w:pPr>
      <w:r>
        <w:t>11 Rumusan untuk menutup penerangan</w:t>
      </w:r>
    </w:p>
    <w:p w14:paraId="5D70E3AB" w14:textId="77777777" w:rsidR="00EC46BA" w:rsidRDefault="001C4AEA">
      <w:pPr>
        <w:jc w:val="both"/>
      </w:pPr>
      <w:r>
        <w:t>Al Ashlih Asbaabun Nuzul mengajak kita memahami masalah yang diisyaratkan oleh ayat, meneliti kesan sikap manusia dan mengusahakan penyelesaian melalui petunjuk. Nilai kefahamannya dapat dilihat apabila pembaca mampu menerangkan masalah dengan jelas dan menghubungkan penyelesaian dengan amalan.</w:t>
      </w:r>
    </w:p>
    <w:p w14:paraId="4EDB0E2E" w14:textId="77777777" w:rsidR="00EC46BA" w:rsidRDefault="001C4AEA">
      <w:pPr>
        <w:jc w:val="both"/>
      </w:pPr>
      <w:r>
        <w:t>Apabila membaca sesuatu ayat, tanyalah: Apakah yang dinyatakan? Apakah masalah yang diisyaratkan? Bagaimanakah masalah itu berkembang? Apakah petunjuk penyelesaiannya? Apakah kebaikan yang dapat dijadikan pegangan selepas masalah dileraikan?</w:t>
      </w:r>
    </w:p>
    <w:p w14:paraId="44BBEC9A" w14:textId="77777777" w:rsidR="00EC46BA" w:rsidRDefault="001C4AEA">
      <w:pPr>
        <w:jc w:val="both"/>
      </w:pPr>
      <w:r>
        <w:t>Dengan cara ini, rentetan peristiwa menjelaskan keadaan, dilema menunjukkan masalah, falsafah mengarahkan penyelesaian dan nostalgia memperlihatkan manfaat pembaikan. Itulah aliran kefahaman yang menjadi teras konsep Al Ashlih Asbaabun Nuzul dalam kerangka pengarang.</w:t>
      </w:r>
    </w:p>
    <w:p w14:paraId="7870AD61" w14:textId="77777777" w:rsidR="00EC46BA" w:rsidRDefault="001C4AEA">
      <w:pPr>
        <w:pStyle w:val="Heading1"/>
      </w:pPr>
      <w:r>
        <w:t>Rujukan tambahan bagi asas hubungan ayat</w:t>
      </w:r>
    </w:p>
    <w:p w14:paraId="15B84F7D" w14:textId="77777777" w:rsidR="00EC46BA" w:rsidRDefault="001C4AEA">
      <w:pPr>
        <w:jc w:val="both"/>
      </w:pPr>
      <w:r>
        <w:t>Jilid 4, Muqaddimah ms. xxxix [PDF 39]; Jilid 7, Muqaddimah ms. xxxix–xl [PDF 39–40]; dan Jilid 8, Muqaddimah ms. xlv–xlvi [PDF 45–46] mengulangi asas penghuraian ayat melalui satu atau beberapa ayat lain. Rujukan ini melengkapi latar pendekatan, sementara definisi dan langkah khusus Al Ashlih Asbaabun Nuzul dihuraikan dalam Jilid 9.</w:t>
      </w:r>
    </w:p>
    <w:sectPr w:rsidR="00EC46BA"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4F815" w14:textId="77777777" w:rsidR="001C4AEA" w:rsidRDefault="001C4AEA">
      <w:pPr>
        <w:spacing w:after="0" w:line="240" w:lineRule="auto"/>
      </w:pPr>
      <w:r>
        <w:separator/>
      </w:r>
    </w:p>
  </w:endnote>
  <w:endnote w:type="continuationSeparator" w:id="0">
    <w:p w14:paraId="4A4CDD9B" w14:textId="77777777" w:rsidR="001C4AEA" w:rsidRDefault="001C4A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30FD" w14:textId="77777777" w:rsidR="00EC46BA" w:rsidRDefault="001C4AEA">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88EEE" w14:textId="77777777" w:rsidR="001C4AEA" w:rsidRDefault="001C4AEA">
      <w:pPr>
        <w:spacing w:after="0" w:line="240" w:lineRule="auto"/>
      </w:pPr>
      <w:r>
        <w:separator/>
      </w:r>
    </w:p>
  </w:footnote>
  <w:footnote w:type="continuationSeparator" w:id="0">
    <w:p w14:paraId="5D96016E" w14:textId="77777777" w:rsidR="001C4AEA" w:rsidRDefault="001C4A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836643">
    <w:abstractNumId w:val="8"/>
  </w:num>
  <w:num w:numId="2" w16cid:durableId="1745491851">
    <w:abstractNumId w:val="6"/>
  </w:num>
  <w:num w:numId="3" w16cid:durableId="1548106140">
    <w:abstractNumId w:val="5"/>
  </w:num>
  <w:num w:numId="4" w16cid:durableId="2118940097">
    <w:abstractNumId w:val="4"/>
  </w:num>
  <w:num w:numId="5" w16cid:durableId="604191862">
    <w:abstractNumId w:val="7"/>
  </w:num>
  <w:num w:numId="6" w16cid:durableId="919142459">
    <w:abstractNumId w:val="3"/>
  </w:num>
  <w:num w:numId="7" w16cid:durableId="1469318352">
    <w:abstractNumId w:val="2"/>
  </w:num>
  <w:num w:numId="8" w16cid:durableId="1852337263">
    <w:abstractNumId w:val="1"/>
  </w:num>
  <w:num w:numId="9" w16cid:durableId="1952785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AEA"/>
    <w:rsid w:val="0029639D"/>
    <w:rsid w:val="00326F90"/>
    <w:rsid w:val="005C538E"/>
    <w:rsid w:val="00A55F24"/>
    <w:rsid w:val="00AA1D8D"/>
    <w:rsid w:val="00B47730"/>
    <w:rsid w:val="00CB0664"/>
    <w:rsid w:val="00EC46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B88137"/>
  <w14:defaultImageDpi w14:val="300"/>
  <w15:docId w15:val="{2B2E9340-1552-4DE8-BE6A-E38DF5D8D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00" w:lineRule="auto"/>
    </w:pPr>
    <w:rPr>
      <w:rFonts w:ascii="Arial" w:hAnsi="Arial"/>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2065</Words>
  <Characters>11773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Teks Penerangan Konsep Al Ashlih Asbaabun Nuzul</dc:title>
  <dc:subject/>
  <dc:creator>python-docx</dc:creator>
  <cp:keywords/>
  <dc:description>generated by python-docx</dc:description>
  <cp:lastModifiedBy>Ghazali Ismail</cp:lastModifiedBy>
  <cp:revision>2</cp:revision>
  <dcterms:created xsi:type="dcterms:W3CDTF">2026-10-09T00:14:00Z</dcterms:created>
  <dcterms:modified xsi:type="dcterms:W3CDTF">2026-10-09T00:14:00Z</dcterms:modified>
  <cp:category/>
</cp:coreProperties>
</file>