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80C7" w14:textId="4C9EFE94" w:rsidR="009F13BA" w:rsidRDefault="006A1412" w:rsidP="00E63ED9">
      <w:pPr>
        <w:pStyle w:val="Title"/>
        <w:jc w:val="center"/>
      </w:pPr>
      <w:r>
        <w:t>Khitab Hilalul Wasil</w:t>
      </w:r>
    </w:p>
    <w:p w14:paraId="45B709E4" w14:textId="77777777" w:rsidR="009F13BA" w:rsidRDefault="006A1412" w:rsidP="00E63ED9">
      <w:pPr>
        <w:jc w:val="center"/>
      </w:pPr>
      <w:r>
        <w:rPr>
          <w:b/>
        </w:rPr>
        <w:t>Disediakan oleh: Peguam Ghazali</w:t>
      </w:r>
    </w:p>
    <w:p w14:paraId="1A034121" w14:textId="77777777" w:rsidR="009F13BA" w:rsidRDefault="006A1412">
      <w:pPr>
        <w:pStyle w:val="Heading1"/>
      </w:pPr>
      <w:r>
        <w:t>Memahami ayat melalui hubungan antara kalimah dan ayat</w:t>
      </w:r>
    </w:p>
    <w:p w14:paraId="09E65C8B" w14:textId="77777777" w:rsidR="009F13BA" w:rsidRDefault="006A1412">
      <w:pPr>
        <w:jc w:val="both"/>
      </w:pPr>
      <w:r>
        <w:t>Khitab Hilalul Wasil ialah kaedah menghuraikan Al Quran dengan menghubungkan ayat kepada ayat dan kalimah kepada kalimah yang menerangkan pengertiannya. Dalam kerangka Al Fathun Nawa, hubungan tersebut disebut bacuhan pentafshilan. Matlamatnya ialah memperjelaskan makna, mendalamkan kefahaman dan membentuk pegangan yang dapat diamalkan.</w:t>
      </w:r>
    </w:p>
    <w:p w14:paraId="6578F3E5" w14:textId="77777777" w:rsidR="009F13BA" w:rsidRDefault="006A1412">
      <w:pPr>
        <w:jc w:val="both"/>
      </w:pPr>
      <w:r>
        <w:t>Pengarang, Dr. Halo-N, menggunakan beberapa variasi ejaan, termasuk Khitab Hilaalul Washil. Penerangan ini menggunakan Khitab Hilalul Wasil bagi merujuk kaedah yang sama. Perkataan khitab dalam perbincangan ini merujuk kalimah atau rangkaian kenyataan ayat yang sedang dihuraikan. Membacuh bermaksud mengadunkan huraian pengertian dengan menunjukkan hubungan yang disokong oleh teks.</w:t>
      </w:r>
    </w:p>
    <w:p w14:paraId="6C318941" w14:textId="77777777" w:rsidR="009F13BA" w:rsidRDefault="006A1412">
      <w:pPr>
        <w:spacing w:after="240" w:line="252" w:lineRule="auto"/>
      </w:pPr>
      <w:r>
        <w:rPr>
          <w:i/>
          <w:sz w:val="20"/>
        </w:rPr>
        <w:t>Rujukan: Al Fathun Nawa Jilid 9, ms. buku 175–176 [PDF 264–265].</w:t>
      </w:r>
    </w:p>
    <w:p w14:paraId="436B867D" w14:textId="77777777" w:rsidR="009F13BA" w:rsidRDefault="006A1412">
      <w:pPr>
        <w:pStyle w:val="Heading1"/>
      </w:pPr>
      <w:r>
        <w:t>1 Maksud asas dan tujuan kaedah</w:t>
      </w:r>
    </w:p>
    <w:p w14:paraId="0F133744" w14:textId="77777777" w:rsidR="009F13BA" w:rsidRDefault="006A1412">
      <w:pPr>
        <w:jc w:val="both"/>
      </w:pPr>
      <w:r>
        <w:t>Secara mudah, kaedah ini mengajak pembaca bertanya apakah ayat atau kalimah lain yang membantu menerangkan perkara yang sedang dibaca. Kadangkala penjelasan terdapat dalam ayat yang sama. Kadangkala kita perlu meneliti ayat lain yang menggunakan lafaz berkaitan, mendefinisikan istilah atau menerangkan akibat sesuatu perlakuan.</w:t>
      </w:r>
    </w:p>
    <w:p w14:paraId="6F3BD49D" w14:textId="77777777" w:rsidR="009F13BA" w:rsidRDefault="006A1412">
      <w:pPr>
        <w:jc w:val="both"/>
      </w:pPr>
      <w:r>
        <w:t>Tujuannya ialah mengelakkan pembacaan yang berhenti pada terjemahan ringkas tanpa memahami hubungan kenyataan. Apabila dua ayat dihubungkan, pembaca perlu menerangkan titik hubungannya. Persamaan perkataan boleh menjadi titik mula pencarian, tetapi alasan penghuraian memerlukan perhatian kepada konteks keseluruhan ayat.</w:t>
      </w:r>
    </w:p>
    <w:p w14:paraId="65586B9E" w14:textId="77777777" w:rsidR="009F13BA" w:rsidRDefault="006A1412">
      <w:pPr>
        <w:jc w:val="both"/>
      </w:pPr>
      <w:r>
        <w:t>Dalam Jilid 9, pengarang menggambarkan penjelasan ini melalui hubungan cahaya bulan dengan cahaya matahari. Gambaran tersebut ialah kiasan bagi makna yang diperjelaskan melalui ayat penerang. Untuk menggunakan kaedah, kita tetap perlu mengenal pasti kalimah, ayat dan hubungan pengertiannya secara nyata.</w:t>
      </w:r>
    </w:p>
    <w:p w14:paraId="0C256B7C" w14:textId="77777777" w:rsidR="009F13BA" w:rsidRDefault="006A1412">
      <w:pPr>
        <w:spacing w:after="240" w:line="252" w:lineRule="auto"/>
      </w:pPr>
      <w:r>
        <w:rPr>
          <w:i/>
          <w:sz w:val="20"/>
        </w:rPr>
        <w:lastRenderedPageBreak/>
        <w:t>Rujukan: Jilid 9, ms. buku 175–178 [PDF 264–267].</w:t>
      </w:r>
    </w:p>
    <w:p w14:paraId="12993AC8" w14:textId="77777777" w:rsidR="009F13BA" w:rsidRDefault="006A1412">
      <w:pPr>
        <w:pStyle w:val="Heading1"/>
      </w:pPr>
      <w:r>
        <w:t>2 Lapan kaedah bacuhan pentafshilan</w:t>
      </w:r>
    </w:p>
    <w:p w14:paraId="1B70D01E" w14:textId="77777777" w:rsidR="009F13BA" w:rsidRDefault="006A1412">
      <w:pPr>
        <w:jc w:val="both"/>
      </w:pPr>
      <w:r>
        <w:t>Lapan kaedah yang dihuraikan ialah Kaukaba Bil Munir, Thamarun Bil Munir, Tafshiilul ‘Aqid, Bayaanul Ma’ani, Faqqihil Muraad, Tafshiilul Jalil, Ruhul Idhafa’ dan Hilalul Khusuf. Setiap kaedah memberikan tumpuan tertentu kepada hubungan yang hendak diperjelaskan.</w:t>
      </w:r>
    </w:p>
    <w:p w14:paraId="51ECD0FC" w14:textId="77777777" w:rsidR="009F13BA" w:rsidRDefault="006A1412">
      <w:pPr>
        <w:jc w:val="both"/>
      </w:pPr>
      <w:r>
        <w:t>Pengenalan pada muka surat 176 menyebut tujuh peringkat, kemudian perbincangan pada muka surat 242 menambah kaedah kelapan, Hilalul Khusuf. Oleh itu, teks penerangan ini merangkumi kelapan-lapan kaedah sebagaimana huraian lengkap pengarang. Ejaan Khusuf digunakan menurut Jilid 9; nota exam menulis Khusus pada bahagian tersebut.</w:t>
      </w:r>
    </w:p>
    <w:p w14:paraId="051A3555" w14:textId="77777777" w:rsidR="009F13BA" w:rsidRDefault="006A1412">
      <w:pPr>
        <w:jc w:val="both"/>
      </w:pPr>
      <w:r>
        <w:t>Perbezaan antara kaedah membantu pemilihan cara menghuraikan ayat. Namun, sebahagian kaedah mempunyai pertindihan. Tafshiilul ‘Aqid dan Tafshiilul Jalil, misalnya, sama-sama menerangkan rangkaian khitab dalam satu ayat. Kita perlu menjelaskan fokus pembentangan tanpa membina pemisahan mutlak yang tidak dinyatakan oleh sumber.</w:t>
      </w:r>
    </w:p>
    <w:p w14:paraId="597CB2ED" w14:textId="77777777" w:rsidR="009F13BA" w:rsidRDefault="006A1412">
      <w:pPr>
        <w:spacing w:after="240" w:line="252" w:lineRule="auto"/>
      </w:pPr>
      <w:r>
        <w:rPr>
          <w:i/>
          <w:sz w:val="20"/>
        </w:rPr>
        <w:t>Rujukan: Jilid 9, ms. buku 176, 195–196, 222–223 dan 242 [PDF 265, 284–285, 311–312 dan 331].</w:t>
      </w:r>
    </w:p>
    <w:p w14:paraId="1FE91F04" w14:textId="77777777" w:rsidR="009F13BA" w:rsidRDefault="006A1412">
      <w:pPr>
        <w:pStyle w:val="Heading1"/>
      </w:pPr>
      <w:r>
        <w:t>3 Kaukaba Bil Munir Lafaz berkaitan menerangkan pengertian</w:t>
      </w:r>
    </w:p>
    <w:p w14:paraId="4D57AC07" w14:textId="77777777" w:rsidR="009F13BA" w:rsidRDefault="006A1412">
      <w:pPr>
        <w:jc w:val="both"/>
      </w:pPr>
      <w:r>
        <w:t>Kaukaba Bil Munir mencari penjelasan terhadap satu ayat atau kalimah melalui ayat atau kalimah lain. Dalam cara kerja yang diterangkan, pencarian memberi perhatian kepada kalimah yang sama atau berkaitan lafaznya pada ayat yang berbeza. Ayat penerang digunakan untuk meluaskan pemahaman terhadap kalimah tumpuan.</w:t>
      </w:r>
    </w:p>
    <w:p w14:paraId="376F5EA3" w14:textId="77777777" w:rsidR="009F13BA" w:rsidRDefault="006A1412">
      <w:pPr>
        <w:jc w:val="both"/>
      </w:pPr>
      <w:r>
        <w:t>Pengarang menghubungkan lafaz Wayatafakkaruuna dalam Ali Imran 3:191 dengan Yatafakkaruu dalam Ar Rum 30:8. Pembaca meneliti apa yang difikirkan dalam kedua-dua konteks, kemudian menghuraikan bagaimana ayat kedua membantu memahami arah pemikiran dalam ayat pertama. Kedua-dua ayat perlu dibaca lengkap supaya hubungan itu dapat dijelaskan dengan tepat.</w:t>
      </w:r>
    </w:p>
    <w:p w14:paraId="468E61BD" w14:textId="77777777" w:rsidR="009F13BA" w:rsidRDefault="006A1412">
      <w:pPr>
        <w:jc w:val="both"/>
      </w:pPr>
      <w:r>
        <w:t>Cara menggunakannya ialah memilih kalimah tumpuan, mencari ayat yang mempunyai lafaz berkaitan, menyemak konteks dan menjelaskan sumbangan ayat penerang. Kesimpulan mesti menyatakan pengertian yang diperoleh daripada hubungan tersebut. Kata ingatannya ialah cari lafaz dan hubungkan makna.</w:t>
      </w:r>
    </w:p>
    <w:p w14:paraId="5F487749" w14:textId="77777777" w:rsidR="009F13BA" w:rsidRDefault="006A1412">
      <w:pPr>
        <w:spacing w:after="240" w:line="252" w:lineRule="auto"/>
      </w:pPr>
      <w:r>
        <w:rPr>
          <w:i/>
          <w:sz w:val="20"/>
        </w:rPr>
        <w:lastRenderedPageBreak/>
        <w:t>Rujukan: Jilid 9, ms. buku 176–183 [PDF 265–272].</w:t>
      </w:r>
    </w:p>
    <w:p w14:paraId="7A150D5F" w14:textId="77777777" w:rsidR="009F13BA" w:rsidRDefault="006A1412">
      <w:pPr>
        <w:pStyle w:val="Heading1"/>
      </w:pPr>
      <w:r>
        <w:t>4 Thamarun Bil Munir Mendefinisikan rupa sebenar istilah</w:t>
      </w:r>
    </w:p>
    <w:p w14:paraId="14AEFE42" w14:textId="77777777" w:rsidR="009F13BA" w:rsidRDefault="006A1412">
      <w:pPr>
        <w:jc w:val="both"/>
      </w:pPr>
      <w:r>
        <w:t>Thamarun Bil Munir menumpukan perhatian kepada definisi sesuatu kalimah. Pembaca mencari ayat yang menerangkan sifat istilah tersebut sehingga maknanya boleh dihuraikan dengan jelas. Menyebut semula perkataan asal tanpa menerangkan sifatnya belum memenuhi tujuan kaedah ini.</w:t>
      </w:r>
    </w:p>
    <w:p w14:paraId="185CF07D" w14:textId="77777777" w:rsidR="009F13BA" w:rsidRDefault="006A1412">
      <w:pPr>
        <w:jc w:val="both"/>
      </w:pPr>
      <w:r>
        <w:t>Jilid 9 menghendaki pembaca menentukan sekurang-kurangnya tiga sifat hakiki yang dinyatakan oleh ayat, kemudian mencari ayat pendefinisi yang menerangkan sifat tersebut. Pengarang turut menghubungkan langkah ini dengan Khamsul Gharib dalam Ta’wiilul Ma’ani. Tiga sifat itu perlu disertakan sandaran ayat dan diterangkan kaitannya dengan istilah yang dikaji.</w:t>
      </w:r>
    </w:p>
    <w:p w14:paraId="40829BF7" w14:textId="77777777" w:rsidR="009F13BA" w:rsidRDefault="006A1412">
      <w:pPr>
        <w:jc w:val="both"/>
      </w:pPr>
      <w:r>
        <w:t>Istilah sabar menjadi contoh pengarang melalui Ali Imran 3:200, dengan huraian yang turut menghubungkan Al Baqarah 2:45. Pengarang memberikan pengertian khusus kepada sabar, termasuk menyerahkan kepada Tuhan perkara yang tidak mampu dilakukan manusia. Pengertian tersebut perlu dibentangkan sebagai rumusan pentafshilan beliau, bersama alasan ayat yang digunakan.</w:t>
      </w:r>
    </w:p>
    <w:p w14:paraId="6DA6212E" w14:textId="77777777" w:rsidR="009F13BA" w:rsidRDefault="006A1412">
      <w:pPr>
        <w:jc w:val="both"/>
      </w:pPr>
      <w:r>
        <w:t>Dalam jawapan, nyatakan istilah, bentangkan sifatnya, jelaskan ayat yang menyokong setiap sifat dan bina definisi berdasarkan huraian itu. Kata ingatannya ialah istilah, sifat dan definisi.</w:t>
      </w:r>
    </w:p>
    <w:p w14:paraId="1953C25F" w14:textId="77777777" w:rsidR="009F13BA" w:rsidRDefault="006A1412">
      <w:pPr>
        <w:spacing w:after="240" w:line="252" w:lineRule="auto"/>
      </w:pPr>
      <w:r>
        <w:rPr>
          <w:i/>
          <w:sz w:val="20"/>
        </w:rPr>
        <w:t>Rujukan: Jilid 9, ms. buku 185–194 [PDF 274–283]; tatacara tiga sifat pada ms. 188–189 [PDF 277–278].</w:t>
      </w:r>
    </w:p>
    <w:p w14:paraId="3D547647" w14:textId="77777777" w:rsidR="009F13BA" w:rsidRDefault="006A1412">
      <w:pPr>
        <w:pStyle w:val="Heading1"/>
      </w:pPr>
      <w:r>
        <w:t>5 Tafshiilul Aqid Khitab berikutnya menerangkan khitab sebelumnya</w:t>
      </w:r>
    </w:p>
    <w:p w14:paraId="6C4A4B5F" w14:textId="77777777" w:rsidR="009F13BA" w:rsidRDefault="006A1412">
      <w:pPr>
        <w:jc w:val="both"/>
      </w:pPr>
      <w:r>
        <w:t>Tafshiilul ‘Aqid mengembangkan pengertian ayat melalui hubungan kalimah yang terdapat dalam ayat yang sama. Kalimah atau rangkaian khitab diterangkan oleh khitab selepasnya. Pembaca mengikuti susunan kenyataan sehingga hubungan antara bahagian ayat dapat difahami.</w:t>
      </w:r>
    </w:p>
    <w:p w14:paraId="793A6395" w14:textId="77777777" w:rsidR="009F13BA" w:rsidRDefault="006A1412">
      <w:pPr>
        <w:jc w:val="both"/>
      </w:pPr>
      <w:r>
        <w:t>Pengarang menggunakan istilah mulk, maudha’ dan khitab dalam tatacara ini. Maudha’ ialah tajuk perbincangan. Mulk ialah komponen yang perlu dikenal pasti kedudukan dan arah tujunya menurut analisis pengarang. Selepas mengenal pasti komponen tersebut, pembaca menerangkan bagaimana khitab berturutan memperjelaskan tajuk serta pengertian ayat.</w:t>
      </w:r>
    </w:p>
    <w:p w14:paraId="500B56DF" w14:textId="77777777" w:rsidR="009F13BA" w:rsidRDefault="006A1412">
      <w:pPr>
        <w:jc w:val="both"/>
      </w:pPr>
      <w:r>
        <w:lastRenderedPageBreak/>
        <w:t>Hud 11:15 menjadi contoh utama. Pembaca meneliti hubungan antara kehendak terhadap kehidupan dunia, perhiasannya, penyempurnaan hasil pekerjaan di dunia dan kenyataan bahawa mereka tidak dikurangkan hasilnya di situ. Huraian dibina dengan menunjukkan bagaimana bahagian berikutnya melengkapkan perkara yang sedang diberitahu.</w:t>
      </w:r>
    </w:p>
    <w:p w14:paraId="5E1079B5" w14:textId="77777777" w:rsidR="009F13BA" w:rsidRDefault="006A1412">
      <w:pPr>
        <w:jc w:val="both"/>
      </w:pPr>
      <w:r>
        <w:t>Cara kerja ialah membaca ayat lengkap, menentukan tajuk dan komponen yang dihuraikan, mengikuti khitab secara berturutan serta merumuskan mesej keseluruhannya. Kata ingatannya ialah huraian dalam ayat.</w:t>
      </w:r>
    </w:p>
    <w:p w14:paraId="391A06A5" w14:textId="77777777" w:rsidR="009F13BA" w:rsidRDefault="006A1412">
      <w:pPr>
        <w:spacing w:after="240" w:line="252" w:lineRule="auto"/>
      </w:pPr>
      <w:r>
        <w:rPr>
          <w:i/>
          <w:sz w:val="20"/>
        </w:rPr>
        <w:t>Rujukan: Jilid 9, ms. buku 195–206 [PDF 284–295].</w:t>
      </w:r>
    </w:p>
    <w:p w14:paraId="367DC561" w14:textId="77777777" w:rsidR="009F13BA" w:rsidRDefault="006A1412">
      <w:pPr>
        <w:pStyle w:val="Heading1"/>
      </w:pPr>
      <w:r>
        <w:t>6 Bayaanul Maani Makna dan akibat perlakuan</w:t>
      </w:r>
    </w:p>
    <w:p w14:paraId="1209E120" w14:textId="77777777" w:rsidR="009F13BA" w:rsidRDefault="006A1412">
      <w:pPr>
        <w:jc w:val="both"/>
      </w:pPr>
      <w:r>
        <w:t>Bayaanul Ma’ani mencari ayat atau rangkaian ayat yang menerangkan arah pengertian sesuatu kenyataan. Pengarang memberikan perhatian kepada akibat yang timbul daripada perlakuan dalam ayat pertama dan diterangkan lagi melalui ayat kedua. Huraian boleh melibatkan teladan yang baik atau sempadan peringatan.</w:t>
      </w:r>
    </w:p>
    <w:p w14:paraId="200E35A9" w14:textId="77777777" w:rsidR="009F13BA" w:rsidRDefault="006A1412">
      <w:pPr>
        <w:jc w:val="both"/>
      </w:pPr>
      <w:r>
        <w:t>Contoh pengarang menghubungkan Az Zukhruf 43:36 dengan Al Baqarah 2:268. Ayat pertama menyentuh keadaan berpaling daripada peringatan dan hubungan dengan syaitan, manakala ayat kedua menyebut dorongan syaitan berkaitan kemiskinan dan perbuatan keji serta janji Tuhan. Hubungan ini digunakan untuk menghuraikan sikap, pengaruh dan akibatnya.</w:t>
      </w:r>
    </w:p>
    <w:p w14:paraId="5C2D4E3D" w14:textId="77777777" w:rsidR="009F13BA" w:rsidRDefault="006A1412">
      <w:pPr>
        <w:jc w:val="both"/>
      </w:pPr>
      <w:r>
        <w:t>Pembaca perlu mengenal pasti perlakuan yang dibincangkan, mencari ayat penerang dan menunjukkan hubungan yang disokong oleh konteks. Jika membentangkan perubahan daripada negatif kepada positif, jelaskan tindakan pembaikan yang mempunyai sandaran ayat. Kata ingatannya ialah perlakuan dan akibat.</w:t>
      </w:r>
    </w:p>
    <w:p w14:paraId="511F5CB1" w14:textId="77777777" w:rsidR="009F13BA" w:rsidRDefault="006A1412">
      <w:pPr>
        <w:spacing w:after="240" w:line="252" w:lineRule="auto"/>
      </w:pPr>
      <w:r>
        <w:rPr>
          <w:i/>
          <w:sz w:val="20"/>
        </w:rPr>
        <w:t>Rujukan: Jilid 9, ms. buku 206–210 [PDF 295–299].</w:t>
      </w:r>
    </w:p>
    <w:p w14:paraId="3B33C6AC" w14:textId="77777777" w:rsidR="009F13BA" w:rsidRDefault="006A1412">
      <w:pPr>
        <w:pStyle w:val="Heading1"/>
      </w:pPr>
      <w:r>
        <w:t>7 Faqqihil Muraad Membezakan istilah yang kelihatan serupa</w:t>
      </w:r>
    </w:p>
    <w:p w14:paraId="4C597C31" w14:textId="77777777" w:rsidR="009F13BA" w:rsidRDefault="006A1412">
      <w:pPr>
        <w:jc w:val="both"/>
      </w:pPr>
      <w:r>
        <w:t>Faqqihil Muraad mengembangkan huraian dengan meneliti dua istilah yang mungkin kelihatan sama dalam terjemahan ringkas. Pembaca mencari perbezaan maksud, kedudukan atau klasifikasi yang diterangkan oleh konteks ayat. Kaedah ini melatih kita memperhatikan ketepatan penggunaan istilah.</w:t>
      </w:r>
    </w:p>
    <w:p w14:paraId="1FFE3720" w14:textId="77777777" w:rsidR="009F13BA" w:rsidRDefault="006A1412">
      <w:pPr>
        <w:jc w:val="both"/>
      </w:pPr>
      <w:r>
        <w:lastRenderedPageBreak/>
        <w:t>Pengarang membandingkan Raji‘uun dalam Al Baqarah 2:156 dengan Tuhsyaruun dalam Ali Imran 3:158. Beliau menimbulkan persoalan tentang kedua-duanya yang dihuraikan dengan kata kembali. Dalam pembentangan, pembaca perlu meneliti perbezaan lafaz serta konteks, termasuk pengertian dikumpulkan pada Tuhsyaruun. Jangan menganggap persamaan terjemahan ringkas telah menyelesaikan pengertian kedua-dua istilah.</w:t>
      </w:r>
    </w:p>
    <w:p w14:paraId="76957980" w14:textId="77777777" w:rsidR="009F13BA" w:rsidRDefault="006A1412">
      <w:pPr>
        <w:jc w:val="both"/>
      </w:pPr>
      <w:r>
        <w:t>Cara kerjanya ialah memilih pasangan istilah, membaca ayat masing-masing, menentukan persamaan yang menimbulkan kekaburan dan menghuraikan perbezaan dengan bukti. Kesimpulan menyatakan mengapa perbezaan itu penting kepada kefahaman ayat. Kata ingatannya ialah bezakan maksud istilah.</w:t>
      </w:r>
    </w:p>
    <w:p w14:paraId="5F630A26" w14:textId="77777777" w:rsidR="009F13BA" w:rsidRDefault="006A1412">
      <w:pPr>
        <w:spacing w:after="240" w:line="252" w:lineRule="auto"/>
      </w:pPr>
      <w:r>
        <w:rPr>
          <w:i/>
          <w:sz w:val="20"/>
        </w:rPr>
        <w:t>Rujukan: Jilid 9, ms. buku 214–217 [PDF 303–306].</w:t>
      </w:r>
    </w:p>
    <w:p w14:paraId="75894E4F" w14:textId="77777777" w:rsidR="009F13BA" w:rsidRDefault="006A1412">
      <w:pPr>
        <w:pStyle w:val="Heading1"/>
      </w:pPr>
      <w:r>
        <w:t>8 Tafshiilul Jalil Membina huraian berantai</w:t>
      </w:r>
    </w:p>
    <w:p w14:paraId="2F8E2C3A" w14:textId="77777777" w:rsidR="009F13BA" w:rsidRDefault="006A1412">
      <w:pPr>
        <w:jc w:val="both"/>
      </w:pPr>
      <w:r>
        <w:t>Tafshiilul Jalil menerangkan ayat melalui persambungan pengertian antara khitab. Tajuk diterangkan oleh khitab pertama, kemudian penerangan diteruskan melalui khitab berikutnya hingga penghujung ayat. Matlamatnya ialah memahami dengan jelas perkara yang hendak diberitahu oleh seluruh ayat.</w:t>
      </w:r>
    </w:p>
    <w:p w14:paraId="7C438CE6" w14:textId="77777777" w:rsidR="009F13BA" w:rsidRDefault="006A1412">
      <w:pPr>
        <w:jc w:val="both"/>
      </w:pPr>
      <w:r>
        <w:t>Hud 11:15 dan Al Baqarah 2:26 menjadi contoh pengarang. Dalam Al Baqarah 2:26, pembaca mengikuti kenyataan tentang perumpamaan, sikap orang beriman dan orang yang ingkar, persoalan terhadap perumpamaan serta kenyataan tentang petunjuk dan kesesatan. Kesimpulan ayat turut diperhatikan supaya huraian tidak berhenti sebelum kenyataan lengkap.</w:t>
      </w:r>
    </w:p>
    <w:p w14:paraId="46815FF8" w14:textId="77777777" w:rsidR="009F13BA" w:rsidRDefault="006A1412">
      <w:pPr>
        <w:jc w:val="both"/>
      </w:pPr>
      <w:r>
        <w:t>Kaedah ini bertindih dengan Tafshiilul ‘Aqid dari segi khitab berturutan dalam satu ayat. Untuk latihan, kita boleh menumpukan Tafshiilul Jalil kepada penjelasan rangkaian hingga mesej keseluruhan. Tumpuan latihan ini membantu pembentangan, tanpa mendakwa bahawa ‘Aqid terhad kepada satu hubungan sahaja. Kata ingatannya ialah rantai huraian hingga kesimpulan.</w:t>
      </w:r>
    </w:p>
    <w:p w14:paraId="6C4B9637" w14:textId="77777777" w:rsidR="009F13BA" w:rsidRDefault="006A1412">
      <w:pPr>
        <w:spacing w:after="240" w:line="252" w:lineRule="auto"/>
      </w:pPr>
      <w:r>
        <w:rPr>
          <w:i/>
          <w:sz w:val="20"/>
        </w:rPr>
        <w:t>Rujukan: Jilid 9, ms. buku 222–226 [PDF 311–315].</w:t>
      </w:r>
    </w:p>
    <w:p w14:paraId="2ACEB61D" w14:textId="77777777" w:rsidR="009F13BA" w:rsidRDefault="006A1412">
      <w:pPr>
        <w:pStyle w:val="Heading1"/>
      </w:pPr>
      <w:r>
        <w:t>9 Ruhul Idhafa Meneliti pihak dan taraf yang dirujuk</w:t>
      </w:r>
    </w:p>
    <w:p w14:paraId="572D535F" w14:textId="77777777" w:rsidR="009F13BA" w:rsidRDefault="006A1412">
      <w:pPr>
        <w:jc w:val="both"/>
      </w:pPr>
      <w:r>
        <w:t xml:space="preserve">Ruhul Idhafa’ memberi perhatian kepada kalimah yang melibatkan kedudukan Tuhan dan manusia. Pembaca meneliti siapa yang dirujuk, arah hubungan dan makna </w:t>
      </w:r>
      <w:r>
        <w:lastRenderedPageBreak/>
        <w:t>perlakuan dalam konteks tersebut. Pengarang menggunakan klasifikasi qadim dan majazi bagi menghuraikan perbezaan taraf dalam kerangka beliau.</w:t>
      </w:r>
    </w:p>
    <w:p w14:paraId="00E43F61" w14:textId="77777777" w:rsidR="009F13BA" w:rsidRDefault="006A1412">
      <w:pPr>
        <w:jc w:val="both"/>
      </w:pPr>
      <w:r>
        <w:t>Contohnya ialah Nasta‘iin dalam Al Fatihah 1:5 dan Tanshuruu dalam Muhammad 47:7. Ayat pertama mengandungi permohonan pertolongan kepada Tuhan. Ayat kedua mengandungi seruan menolong Allah dan kenyataan pertolongan-Nya kepada manusia. Penerangan mesti menunjukkan arah hubungan yang berlainan serta bagaimana pengarang menghuraikan tanggungjawab manusia melalui hubungan itu.</w:t>
      </w:r>
    </w:p>
    <w:p w14:paraId="4F6013E0" w14:textId="77777777" w:rsidR="009F13BA" w:rsidRDefault="006A1412">
      <w:pPr>
        <w:jc w:val="both"/>
      </w:pPr>
      <w:r>
        <w:t>Dalam huraian khususnya, pengarang mengaitkan menolong Tuhan dengan pekerjaan manusia yang memajukan kehidupan. Beliau turut menggunakan ungkapan ketidakupayaan Tuhan dalam konteks falsafah pekerjaan tersebut. Ungkapan itu ialah tafsiran khusus pengarang pada ms. 228, bukannya lafaz ayat; pembentang perlu mengekalkan atribusi dan menjelaskan konteksnya.</w:t>
      </w:r>
    </w:p>
    <w:p w14:paraId="33E75597" w14:textId="77777777" w:rsidR="009F13BA" w:rsidRDefault="006A1412">
      <w:pPr>
        <w:jc w:val="both"/>
      </w:pPr>
      <w:r>
        <w:t>Cara kerja ialah mengenal pasti pihak yang dirujuk, membandingkan konteks dan menerangkan perbezaan taraf menurut sumber. Kata ingatannya ialah pihak, hubungan dan taraf.</w:t>
      </w:r>
    </w:p>
    <w:p w14:paraId="4CCB3F4C" w14:textId="77777777" w:rsidR="009F13BA" w:rsidRDefault="006A1412">
      <w:pPr>
        <w:spacing w:after="240" w:line="252" w:lineRule="auto"/>
      </w:pPr>
      <w:r>
        <w:rPr>
          <w:i/>
          <w:sz w:val="20"/>
        </w:rPr>
        <w:t>Rujukan: Jilid 9, ms. buku 226–231 [PDF 315–320].</w:t>
      </w:r>
    </w:p>
    <w:p w14:paraId="2C481E5A" w14:textId="77777777" w:rsidR="009F13BA" w:rsidRDefault="006A1412">
      <w:pPr>
        <w:pStyle w:val="Heading1"/>
      </w:pPr>
      <w:r>
        <w:t>10 Hilalul Khusuf Memperjelaskan makna yang terlindung</w:t>
      </w:r>
    </w:p>
    <w:p w14:paraId="65C13111" w14:textId="77777777" w:rsidR="009F13BA" w:rsidRDefault="006A1412">
      <w:pPr>
        <w:jc w:val="both"/>
      </w:pPr>
      <w:r>
        <w:t>Hilalul Khusuf mengembangkan huraian apabila makna ayat masih kabur atau terlindung. Pengarang mengibaratkannya seperti bulan gerhana. Pembaca meneliti kalimah secara mendalam sehingga perbezaan pengertian dapat diterangkan dengan jelas.</w:t>
      </w:r>
    </w:p>
    <w:p w14:paraId="3F84593B" w14:textId="77777777" w:rsidR="009F13BA" w:rsidRDefault="006A1412">
      <w:pPr>
        <w:jc w:val="both"/>
      </w:pPr>
      <w:r>
        <w:t>At Taubah 9:103 menjadi contoh melalui Tutahhiruhum dan Watuzakkiihim bihaa. Terjemahan ringkas membersihkan dan menyucikan boleh kelihatan hampir sama. Kaedah ini menghendaki pembaca menyelidik hubungan serta perbezaan pengertian kedua-duanya dalam konteks sedekah yang disebut oleh ayat.</w:t>
      </w:r>
    </w:p>
    <w:p w14:paraId="535FF02B" w14:textId="77777777" w:rsidR="009F13BA" w:rsidRDefault="006A1412">
      <w:pPr>
        <w:jc w:val="both"/>
      </w:pPr>
      <w:r>
        <w:t>Untuk latihan, nyatakan perkara yang masih kabur, tentukan kalimah yang perlu dibandingkan dan bentangkan bukti ayat bagi huraian yang dibuat. Jangan membina perbezaan daripada andaian semata-mata. Kesimpulan perlu menerangkan bagaimana analisis itu membantu memahami keseluruhan kenyataan. Kata ingatannya ialah kekaburan diperjelaskan.</w:t>
      </w:r>
    </w:p>
    <w:p w14:paraId="228D8341" w14:textId="77777777" w:rsidR="009F13BA" w:rsidRDefault="006A1412">
      <w:pPr>
        <w:spacing w:after="240" w:line="252" w:lineRule="auto"/>
      </w:pPr>
      <w:r>
        <w:rPr>
          <w:i/>
          <w:sz w:val="20"/>
        </w:rPr>
        <w:t>Rujukan: Jilid 9, ms. buku 242–244 [PDF 331–333].</w:t>
      </w:r>
    </w:p>
    <w:p w14:paraId="29F12217" w14:textId="77777777" w:rsidR="009F13BA" w:rsidRDefault="006A1412">
      <w:pPr>
        <w:pStyle w:val="Heading1"/>
      </w:pPr>
      <w:r>
        <w:lastRenderedPageBreak/>
        <w:t>11 Cara menyusun penerangan dan jawapan peperiksaan</w:t>
      </w:r>
    </w:p>
    <w:p w14:paraId="22B59F27" w14:textId="77777777" w:rsidR="009F13BA" w:rsidRDefault="006A1412">
      <w:pPr>
        <w:jc w:val="both"/>
      </w:pPr>
      <w:r>
        <w:t>Susun jawapan melalui definisi, matlamat, cara menggunakan kaedah, contoh ayat dan kesimpulan. Mulakan dengan menyatakan hubungan yang hendak dikaji. Kemudian bentangkan ayat tumpuan dan ayat penerang, atau rangkaian khitab dalam ayat yang sama. Jelaskan sumbangan setiap bahagian kepada kefahaman.</w:t>
      </w:r>
    </w:p>
    <w:p w14:paraId="2CA769FE" w14:textId="77777777" w:rsidR="009F13BA" w:rsidRDefault="006A1412">
      <w:pPr>
        <w:jc w:val="both"/>
      </w:pPr>
      <w:r>
        <w:t>Bagi Kaukaba Bil Munir, nyatakan lafaz yang menghubungkan ayat. Bagi Thamarun Bil Munir, bentangkan sifat yang membina definisi. Bagi Bayaanul Ma’ani, terangkan perlakuan serta akibat. Pemilihan kaedah mesti disertai alasan supaya jawapan menunjukkan cara analisis, bukan sekadar nama kaedah.</w:t>
      </w:r>
    </w:p>
    <w:p w14:paraId="2D9A1269" w14:textId="77777777" w:rsidR="009F13BA" w:rsidRDefault="006A1412">
      <w:pPr>
        <w:jc w:val="both"/>
      </w:pPr>
      <w:r>
        <w:t>Kesimpulan menjawab apakah yang menjadi lebih jelas selepas penghuraian. Bezakan antara lafaz ayat, terjemahan, rumusan pengarang dan contoh penerapan sendiri. Perbezaan ini menjadikan penerangan lebih tepat dan mudah disemak.</w:t>
      </w:r>
    </w:p>
    <w:p w14:paraId="0AC11785" w14:textId="77777777" w:rsidR="009F13BA" w:rsidRDefault="006A1412">
      <w:pPr>
        <w:pStyle w:val="Heading1"/>
      </w:pPr>
      <w:r>
        <w:t>12 Contoh teks penerangan lengkap</w:t>
      </w:r>
    </w:p>
    <w:p w14:paraId="2CB006D6" w14:textId="77777777" w:rsidR="009F13BA" w:rsidRDefault="006A1412">
      <w:pPr>
        <w:jc w:val="both"/>
      </w:pPr>
      <w:r>
        <w:t>Kaukaba Bil Munir ialah kaedah menghuraikan pengertian kalimah atau ayat melalui ayat lain yang membantu menerangkannya. Pengarang menghubungkan lafaz berfikir dalam Ali Imran 3:191 dengan lafaz berkaitan dalam Ar Rum 30:8. Persamaan lafaz menjadi titik mula untuk meneliti hubungan pengertian kedua-dua ayat.</w:t>
      </w:r>
    </w:p>
    <w:p w14:paraId="7802F816" w14:textId="77777777" w:rsidR="009F13BA" w:rsidRDefault="006A1412">
      <w:pPr>
        <w:jc w:val="both"/>
      </w:pPr>
      <w:r>
        <w:t>Dalam Ali Imran 3:191, pembaca memperhatikan hubungan ingatan kepada Tuhan, pemikiran terhadap penciptaan langit dan bumi serta pengakuan bahawa penciptaan itu mempunyai tujuan. Ar Rum 30:8 membantu pembacaan dengan mengarahkan perhatian kepada pemikiran serta penciptaan yang berasaskan kebenaran dan tempoh yang ditentukan. Hubungan tersebut perlu dijelaskan dengan membaca konteks setiap ayat.</w:t>
      </w:r>
    </w:p>
    <w:p w14:paraId="24F4549D" w14:textId="77777777" w:rsidR="009F13BA" w:rsidRDefault="006A1412">
      <w:pPr>
        <w:jc w:val="both"/>
      </w:pPr>
      <w:r>
        <w:t>Oleh itu, pengertian berfikir diperluas melalui perkara yang difikirkan serta kenyataan yang mengiringinya. Pembaca memahami bahawa menyebut nama perbuatan sahaja belum menerangkan arah pemikiran. Inilah hasil latihan Kaukaba Bil Munir, iaitu memperjelaskan kalimah tumpuan melalui ayat yang mempunyai hubungan pengertian.</w:t>
      </w:r>
    </w:p>
    <w:p w14:paraId="4C5EBECF" w14:textId="77777777" w:rsidR="009F13BA" w:rsidRDefault="006A1412">
      <w:pPr>
        <w:pStyle w:val="Heading1"/>
      </w:pPr>
      <w:r>
        <w:lastRenderedPageBreak/>
        <w:t>13 Rumus untuk memahami dan mengingati</w:t>
      </w:r>
    </w:p>
    <w:p w14:paraId="69CAF8BE" w14:textId="77777777" w:rsidR="009F13BA" w:rsidRDefault="006A1412">
      <w:pPr>
        <w:jc w:val="both"/>
      </w:pPr>
      <w:r>
        <w:t>Lapan kata tumpuan ialah lafaz, definisi, huraian dalam ayat, akibat, perbezaan istilah, rantai huraian, taraf dan kekaburan. Padankan setiap kata dengan nama kaedah serta satu contoh ayat. Susunan ini ialah bantuan hafalan bagi pembelajaran.</w:t>
      </w:r>
    </w:p>
    <w:p w14:paraId="2AB5804B" w14:textId="77777777" w:rsidR="009F13BA" w:rsidRDefault="006A1412">
      <w:pPr>
        <w:jc w:val="both"/>
      </w:pPr>
      <w:r>
        <w:t>Apabila membaca, tanyakan apakah yang perlu diperjelaskan, di manakah ayat atau khitab penerangnya dan apakah bukti hubungan tersebut. Selepas itu, nyatakan pengertian yang terhasil. Dengan cara ini, bacuhan pentafshilan menjadi proses penghuraian yang dapat diikuti dan dinilai oleh pembaca.</w:t>
      </w:r>
    </w:p>
    <w:p w14:paraId="10078CF9" w14:textId="77777777" w:rsidR="009F13BA" w:rsidRDefault="006A1412">
      <w:pPr>
        <w:pStyle w:val="Heading1"/>
      </w:pPr>
      <w:r>
        <w:t>Rujukan pembelajaran</w:t>
      </w:r>
    </w:p>
    <w:p w14:paraId="0CB7EA20" w14:textId="77777777" w:rsidR="009F13BA" w:rsidRDefault="006A1412">
      <w:pPr>
        <w:jc w:val="both"/>
      </w:pPr>
      <w:r>
        <w:t>Al Fathun Nawa Jilid 9, Dr. Halo-N: definisi umum ms. 175–176 [PDF 264–265]; Kaukaba Bil Munir ms. 176–183 [PDF 265–272]; Thamarun Bil Munir ms. 185–194 [PDF 274–283]; Tafshiilul ‘Aqid ms. 195–206 [PDF 284–295]; Bayaanul Ma’ani ms. 206–210 [PDF 295–299].</w:t>
      </w:r>
    </w:p>
    <w:p w14:paraId="069D93E9" w14:textId="77777777" w:rsidR="009F13BA" w:rsidRDefault="006A1412">
      <w:pPr>
        <w:jc w:val="both"/>
      </w:pPr>
      <w:r>
        <w:t>Rujukan lanjut dalam jilid yang sama: Faqqihil Muraad ms. 214–217 [PDF 303–306]; Tafshiilul Jalil ms. 222–226 [PDF 311–315]; Ruhul Idhafa’ ms. 226–231 [PDF 315–320]; Hilalul Khusuf ms. 242–244 [PDF 331–333]. Nombor dalam kurungan siku ialah halaman fail PDF; nombor sebelumnya ialah muka surat bercetak.</w:t>
      </w:r>
    </w:p>
    <w:p w14:paraId="664013A8" w14:textId="77777777" w:rsidR="009F13BA" w:rsidRDefault="006A1412">
      <w:pPr>
        <w:jc w:val="both"/>
      </w:pPr>
      <w:r>
        <w:t>Khitob Hilalul Wasil Nota Exam, halaman 1–8: jadual definisi, matlamat, cara penggunaan dan contoh. Ejaan serta huraian kaedah dibandingkan dengan perbincangan dalam Jilid 9.</w:t>
      </w:r>
    </w:p>
    <w:sectPr w:rsidR="009F13BA"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78BB" w14:textId="77777777" w:rsidR="00133AE8" w:rsidRDefault="00133AE8">
      <w:pPr>
        <w:spacing w:after="0" w:line="240" w:lineRule="auto"/>
      </w:pPr>
      <w:r>
        <w:separator/>
      </w:r>
    </w:p>
  </w:endnote>
  <w:endnote w:type="continuationSeparator" w:id="0">
    <w:p w14:paraId="33A843AC" w14:textId="77777777" w:rsidR="00133AE8" w:rsidRDefault="00133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44BD" w14:textId="77777777" w:rsidR="009F13BA" w:rsidRDefault="006A1412">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D4B8" w14:textId="77777777" w:rsidR="00133AE8" w:rsidRDefault="00133AE8">
      <w:pPr>
        <w:spacing w:after="0" w:line="240" w:lineRule="auto"/>
      </w:pPr>
      <w:r>
        <w:separator/>
      </w:r>
    </w:p>
  </w:footnote>
  <w:footnote w:type="continuationSeparator" w:id="0">
    <w:p w14:paraId="33D81762" w14:textId="77777777" w:rsidR="00133AE8" w:rsidRDefault="00133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346335">
    <w:abstractNumId w:val="8"/>
  </w:num>
  <w:num w:numId="2" w16cid:durableId="452793737">
    <w:abstractNumId w:val="6"/>
  </w:num>
  <w:num w:numId="3" w16cid:durableId="2127919493">
    <w:abstractNumId w:val="5"/>
  </w:num>
  <w:num w:numId="4" w16cid:durableId="1796370239">
    <w:abstractNumId w:val="4"/>
  </w:num>
  <w:num w:numId="5" w16cid:durableId="11304547">
    <w:abstractNumId w:val="7"/>
  </w:num>
  <w:num w:numId="6" w16cid:durableId="1647971670">
    <w:abstractNumId w:val="3"/>
  </w:num>
  <w:num w:numId="7" w16cid:durableId="1281063344">
    <w:abstractNumId w:val="2"/>
  </w:num>
  <w:num w:numId="8" w16cid:durableId="1169977169">
    <w:abstractNumId w:val="1"/>
  </w:num>
  <w:num w:numId="9" w16cid:durableId="86416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AE8"/>
    <w:rsid w:val="0015074B"/>
    <w:rsid w:val="0029639D"/>
    <w:rsid w:val="00326F90"/>
    <w:rsid w:val="00414CFA"/>
    <w:rsid w:val="006A1412"/>
    <w:rsid w:val="009F13BA"/>
    <w:rsid w:val="00A55F24"/>
    <w:rsid w:val="00AA1D8D"/>
    <w:rsid w:val="00B47730"/>
    <w:rsid w:val="00CB0664"/>
    <w:rsid w:val="00E63ED9"/>
    <w:rsid w:val="00E70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20733"/>
  <w14:defaultImageDpi w14:val="300"/>
  <w15:docId w15:val="{2B2E9340-1552-4DE8-BE6A-E38DF5D8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Arial" w:hAnsi="Arial"/>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2297</Words>
  <Characters>13096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Teks Penerangan Konsep Khitab Hilalul Wasil</dc:title>
  <dc:subject/>
  <dc:creator>python-docx</dc:creator>
  <cp:keywords/>
  <dc:description>generated by python-docx</dc:description>
  <cp:lastModifiedBy>Ghazali Ismail</cp:lastModifiedBy>
  <cp:revision>2</cp:revision>
  <dcterms:created xsi:type="dcterms:W3CDTF">2026-10-09T00:46:00Z</dcterms:created>
  <dcterms:modified xsi:type="dcterms:W3CDTF">2026-10-09T00:46:00Z</dcterms:modified>
  <cp:category/>
</cp:coreProperties>
</file>