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257B" w14:textId="67DBAA7D" w:rsidR="005A0562" w:rsidRPr="00D173C5" w:rsidRDefault="00000000" w:rsidP="00826D13">
      <w:pPr>
        <w:pStyle w:val="Title"/>
        <w:jc w:val="center"/>
        <w:rPr>
          <w:b/>
          <w:bCs/>
        </w:rPr>
      </w:pPr>
      <w:r w:rsidRPr="00D173C5">
        <w:rPr>
          <w:b/>
          <w:bCs/>
        </w:rPr>
        <w:t>Syariah Khofiah</w:t>
      </w:r>
    </w:p>
    <w:p w14:paraId="3918C7AF" w14:textId="77777777" w:rsidR="005A0562" w:rsidRDefault="00000000" w:rsidP="00826D13">
      <w:pPr>
        <w:jc w:val="center"/>
      </w:pPr>
      <w:r>
        <w:rPr>
          <w:b/>
        </w:rPr>
        <w:t>Disediakan oleh: Peguam Ghazali</w:t>
      </w:r>
    </w:p>
    <w:p w14:paraId="06B162EA" w14:textId="77777777" w:rsidR="005A0562" w:rsidRDefault="00000000">
      <w:pPr>
        <w:pStyle w:val="Heading1"/>
      </w:pPr>
      <w:r>
        <w:t>Memahami petunjuk ayat dan membentuk amalan kehidupan</w:t>
      </w:r>
    </w:p>
    <w:p w14:paraId="5E2C526B" w14:textId="77777777" w:rsidR="005A0562" w:rsidRDefault="00000000">
      <w:pPr>
        <w:jc w:val="both"/>
      </w:pPr>
      <w:r>
        <w:t>Syariah Khofiah mengajak kita membaca Al Quran dengan meneliti apakah yang diberitahu, diperintahkan dan diserukan oleh Tuhan, kemudian memahami bagaimana petunjuk itu membentuk pegangan serta tindakan. Dalam kerangka Al Fathun Nawa, pembacaan ini bertujuan melahirkan manusia yang mengambil peringatan, menjadi matang dan mengusahakan kemajuan kehidupan.</w:t>
      </w:r>
    </w:p>
    <w:p w14:paraId="6562C18A" w14:textId="77777777" w:rsidR="005A0562" w:rsidRDefault="00000000">
      <w:pPr>
        <w:jc w:val="both"/>
      </w:pPr>
      <w:r>
        <w:t>Istilah yang banyak digunakan oleh pengarang, Dr. Halo-N, ialah Syariat Khafiah. Penerangan ini menggunakan sebutan Syariah Khofiah sebagaimana nota pembelajaran, dengan merujuk konsep yang sama dalam karya tersebut. Jilid 9 memperkenalkannya sebagai kaedah pentafshilan ke-15 yang mengklasifikasikan kedudukan ayat kepada sepuluh peringkat. Sepuluh peringkat itu membantu kita mengenal arah didikan ayat dan menerangkan rupa amalannya.</w:t>
      </w:r>
    </w:p>
    <w:p w14:paraId="18A7AFD7" w14:textId="77777777" w:rsidR="005A0562" w:rsidRDefault="00000000">
      <w:pPr>
        <w:spacing w:after="240" w:line="252" w:lineRule="auto"/>
      </w:pPr>
      <w:r>
        <w:rPr>
          <w:i/>
          <w:sz w:val="20"/>
        </w:rPr>
        <w:t>Rujukan: Al Fathun Nawa Jilid 9, ms. buku 356–358 [PDF 445–447]; Nota Exam Syariah Khofiah, jadual sepuluh peringkat.</w:t>
      </w:r>
    </w:p>
    <w:p w14:paraId="74118360" w14:textId="77777777" w:rsidR="005A0562" w:rsidRDefault="00000000">
      <w:pPr>
        <w:pStyle w:val="Heading1"/>
      </w:pPr>
      <w:r>
        <w:t>1 Maksud asas Syariah Khofiah</w:t>
      </w:r>
    </w:p>
    <w:p w14:paraId="5EE9E386" w14:textId="77777777" w:rsidR="005A0562" w:rsidRDefault="00000000">
      <w:pPr>
        <w:jc w:val="both"/>
      </w:pPr>
      <w:r>
        <w:t>Secara mudah, Syariah Khofiah ialah pendekatan penghuraian ayat untuk memahami didikan kehidupan yang terkandung dalam perkhabaran, perintah dan seruan Tuhan. Pembaca meneliti makna ayat, kepentingan petunjuknya serta perubahan yang perlu dizahirkan dalam kehidupan. Persoalan utamanya ialah apakah yang ayat ini mendidik saya untuk fahami dan lakukan.</w:t>
      </w:r>
    </w:p>
    <w:p w14:paraId="4DCA6A04" w14:textId="77777777" w:rsidR="005A0562" w:rsidRDefault="00000000">
      <w:pPr>
        <w:jc w:val="both"/>
      </w:pPr>
      <w:r>
        <w:t>Sebagai contoh, apabila ayat menyeru manusia supaya bersabar, pembaca perlu memahami sifat sabar yang dimaksudkan serta keadaan yang memerlukan kesabaran. Kefahaman itu diterjemahkan kepada ketekunan, kawalan diri dan kesungguhan menunaikan tanggungjawab. Huraian amalan mesti berhubung dengan kenyataan ayat, bukannya dibina daripada anggapan yang terpisah daripada teks.</w:t>
      </w:r>
    </w:p>
    <w:p w14:paraId="6951E93A" w14:textId="77777777" w:rsidR="005A0562" w:rsidRDefault="00000000">
      <w:pPr>
        <w:jc w:val="both"/>
      </w:pPr>
      <w:r>
        <w:t xml:space="preserve">Dalam Jilid 6, pengarang menerangkan Syariat Hukamat dan Syariat Khafiah sebagai dua sudut didikan yang perlu diamalkan bersama. Hukamat memberi </w:t>
      </w:r>
      <w:r>
        <w:lastRenderedPageBreak/>
        <w:t>perhatian kepada hukum dan aturan, manakala Khafiah menghuraikan didikan yang mematangkan kehidupan. Menurut kerangka beliau, kedua-duanya saling melengkapi. Syariah Khofiah tidak memberikan alasan untuk mengetepikan tanggungjawab yang dinyatakan oleh ayat.</w:t>
      </w:r>
    </w:p>
    <w:p w14:paraId="066D44BE" w14:textId="77777777" w:rsidR="005A0562" w:rsidRDefault="00000000">
      <w:pPr>
        <w:spacing w:after="240" w:line="252" w:lineRule="auto"/>
      </w:pPr>
      <w:r>
        <w:rPr>
          <w:i/>
          <w:sz w:val="20"/>
        </w:rPr>
        <w:t>Rujukan: Jilid 6, ms. buku 712–714 [PDF 781–783]; Jilid 9, ms. buku 606–609 [PDF 695–698].</w:t>
      </w:r>
    </w:p>
    <w:p w14:paraId="28F2EB5E" w14:textId="77777777" w:rsidR="005A0562" w:rsidRDefault="00000000">
      <w:pPr>
        <w:pStyle w:val="Heading1"/>
      </w:pPr>
      <w:r>
        <w:t>2 Matlamat pembelajaran</w:t>
      </w:r>
    </w:p>
    <w:p w14:paraId="0A3C2D6C" w14:textId="77777777" w:rsidR="005A0562" w:rsidRDefault="00000000">
      <w:pPr>
        <w:jc w:val="both"/>
      </w:pPr>
      <w:r>
        <w:t>Matlamatnya ialah membentuk pembaca yang memahami kepentingan ayat dan mengambil peringatan daripadanya. Pengarang menggunakan istilah Muzakkirin bagi manusia yang menerima dan mengamalkan peringatan, serta Mu’riduun bagi manusia yang berpaling atau membiarkan petunjuk. Dalam pembelajaran, istilah ini mengajak kita menyemak sikap sendiri terhadap ayat yang dibaca.</w:t>
      </w:r>
    </w:p>
    <w:p w14:paraId="41A74B85" w14:textId="77777777" w:rsidR="005A0562" w:rsidRDefault="00000000">
      <w:pPr>
        <w:jc w:val="both"/>
      </w:pPr>
      <w:r>
        <w:t>Kemajuan yang dihuraikan merangkumi kematangan berfikir, penguasaan ilmu, mutu pekerjaan dan kemanusiaan. Kita perlu bertanya sama ada pembacaan ayat telah membantu kita menjadi lebih amanah, bersungguh-sungguh, adil dan berguna kepada orang lain. Dengan itu, kefahaman mempunyai kesan yang boleh diterangkan dalam kehidupan.</w:t>
      </w:r>
    </w:p>
    <w:p w14:paraId="4A090B80" w14:textId="77777777" w:rsidR="005A0562" w:rsidRDefault="00000000">
      <w:pPr>
        <w:jc w:val="both"/>
      </w:pPr>
      <w:r>
        <w:t>Pengarang juga menekankan pencerahan kehidupan, pembentukan sikap positif dan pengambilan teladan daripada kisah. Semua ini memerlukan pembacaan yang teliti. Menghafal nama peringkat membantu ingatan, tetapi memahami dalil dan rupa amalan membolehkan kita menggunakan kaedah tersebut.</w:t>
      </w:r>
    </w:p>
    <w:p w14:paraId="580B13B3" w14:textId="77777777" w:rsidR="005A0562" w:rsidRDefault="00000000">
      <w:pPr>
        <w:spacing w:after="240" w:line="252" w:lineRule="auto"/>
      </w:pPr>
      <w:r>
        <w:rPr>
          <w:i/>
          <w:sz w:val="20"/>
        </w:rPr>
        <w:t>Rujukan: Jilid 6, ms. buku 713 [PDF 782]; Jilid 9, ms. buku 607–610 [PDF 696–699].</w:t>
      </w:r>
    </w:p>
    <w:p w14:paraId="3BFFB0F0" w14:textId="77777777" w:rsidR="005A0562" w:rsidRDefault="00000000">
      <w:pPr>
        <w:pStyle w:val="Heading1"/>
      </w:pPr>
      <w:r>
        <w:t>3 Rabbi Amri Pekerjaan Tuhan</w:t>
      </w:r>
    </w:p>
    <w:p w14:paraId="5B33CB24" w14:textId="77777777" w:rsidR="005A0562" w:rsidRDefault="00000000">
      <w:pPr>
        <w:jc w:val="both"/>
      </w:pPr>
      <w:r>
        <w:t>Rabbi Amri menumpukan perhatian kepada pekerjaan Tuhan yang diberitakan oleh ayat, termasuk penciptaan serta pengaturan alam. Kita membaca kenyataan itu untuk mengenali kekuasaan Tuhan, menaruh harapan kepada-Nya dan mengambil peringatan daripada kejadian yang diperhatikan.</w:t>
      </w:r>
    </w:p>
    <w:p w14:paraId="6D0509C1" w14:textId="77777777" w:rsidR="005A0562" w:rsidRDefault="00000000">
      <w:pPr>
        <w:jc w:val="both"/>
      </w:pPr>
      <w:r>
        <w:t>Nota pembelajaran merujuk Ibrahim 14:19 sebagai asas dan As Sajdah 32:4 sebagai contoh. Kedua-duanya mengarahkan perhatian kepada penciptaan langit dan bumi. Dalam penerangan, kita boleh menjelaskan bahawa alam menjadi bahan pemerhatian yang mengingatkan manusia kepada Penciptanya. Pemerhatian terhadap kejadian mendorong manusia mengkaji dan menghargai aturan alam.</w:t>
      </w:r>
    </w:p>
    <w:p w14:paraId="75541D9B" w14:textId="77777777" w:rsidR="005A0562" w:rsidRDefault="00000000">
      <w:pPr>
        <w:jc w:val="both"/>
      </w:pPr>
      <w:r>
        <w:lastRenderedPageBreak/>
        <w:t>Rupa amalan yang sesuai ialah membaca, memerhati dan mengkaji kejadian dengan kesedaran bertuhan. Pengetahuan itu membentuk rasa tanggungjawab terhadap alam dan pekerjaan sendiri. Kata ingatan bagi peringkat ini ialah pekerjaan Tuhan.</w:t>
      </w:r>
    </w:p>
    <w:p w14:paraId="3700C41C" w14:textId="77777777" w:rsidR="005A0562" w:rsidRDefault="00000000">
      <w:pPr>
        <w:pStyle w:val="Heading1"/>
      </w:pPr>
      <w:r>
        <w:t>4 Khitaabul Ajil Perintah Disegerakan</w:t>
      </w:r>
    </w:p>
    <w:p w14:paraId="3370494E" w14:textId="77777777" w:rsidR="005A0562" w:rsidRDefault="00000000">
      <w:pPr>
        <w:jc w:val="both"/>
      </w:pPr>
      <w:r>
        <w:t>Khitaabul ‘Ajil memberi perhatian kepada perintah dan suruhan Tuhan yang perlu disambut serta dijadikan pegangan kehidupan. Pembaca mengenal pasti perkara yang diperintahkan, memahami maksudnya dan menunaikannya dengan kesungguhan. Istilah disegerakan menekankan sikap menyahut petunjuk, dengan pelaksanaan yang sesuai dengan konteks perintah.</w:t>
      </w:r>
    </w:p>
    <w:p w14:paraId="75B8F4B9" w14:textId="77777777" w:rsidR="005A0562" w:rsidRDefault="00000000">
      <w:pPr>
        <w:jc w:val="both"/>
      </w:pPr>
      <w:r>
        <w:t>Al Anfal 8:24 digunakan sebagai asas tentang menyahut seruan yang memberi kehidupan. Ali Imran 3:200 menjadi contoh yang mengandungi seruan supaya bersabar, saling menguatkan kesabaran, bersiap siaga dan bertakwa. Pembaca perlu menghuraikan hubungan antara suruhan itu dengan kejayaan yang dituju oleh ayat.</w:t>
      </w:r>
    </w:p>
    <w:p w14:paraId="539150AC" w14:textId="77777777" w:rsidR="005A0562" w:rsidRDefault="00000000">
      <w:pPr>
        <w:jc w:val="both"/>
      </w:pPr>
      <w:r>
        <w:t>Sebagai latihan amalan, seseorang yang menghadapi tanggungjawab sukar boleh menyusun tugas, mengekalkan disiplin dan bekerjasama. Contoh ini ialah penerapan pembelajaran; ia perlu dibezakan daripada lafaz asal ayat. Kata ingatannya ialah perintah Tuhan.</w:t>
      </w:r>
    </w:p>
    <w:p w14:paraId="08D0ACE1" w14:textId="77777777" w:rsidR="005A0562" w:rsidRDefault="00000000">
      <w:pPr>
        <w:pStyle w:val="Heading1"/>
      </w:pPr>
      <w:r>
        <w:t>5 Baalighatul Aayah Ayat Kematangan</w:t>
      </w:r>
    </w:p>
    <w:p w14:paraId="4884F7C6" w14:textId="77777777" w:rsidR="005A0562" w:rsidRDefault="00000000">
      <w:pPr>
        <w:jc w:val="both"/>
      </w:pPr>
      <w:r>
        <w:t>Baalighatul Aayah mengajak manusia menjadi matang melalui didikan ayat. Kematangan terlihat pada keupayaan memahami tanggungjawab, mengawal diri dan membuat tindakan yang berasas. Pembaca meneliti apakah sifat yang hendak dibentuk serta bagaimana sifat itu boleh diterapkan.</w:t>
      </w:r>
    </w:p>
    <w:p w14:paraId="30223E13" w14:textId="77777777" w:rsidR="005A0562" w:rsidRDefault="00000000">
      <w:pPr>
        <w:jc w:val="both"/>
      </w:pPr>
      <w:r>
        <w:t>Nota menggunakan Al Muddaththir 74:1–7 sebagai contoh. Rangkaian ayat ini mengandungi arahan bangkit memberi peringatan, membesarkan Tuhan, membersihkan pakaian, menjauhi kekotoran, menjaga sikap dalam memberi dan bersabar kerana Tuhan. Dalam kerangka peringkat ini, arahan tersebut dihuraikan sebagai didikan pembentukan diri yang bersedia memikul tanggungjawab.</w:t>
      </w:r>
    </w:p>
    <w:p w14:paraId="2CB41BE5" w14:textId="77777777" w:rsidR="005A0562" w:rsidRDefault="00000000">
      <w:pPr>
        <w:jc w:val="both"/>
      </w:pPr>
      <w:r>
        <w:t xml:space="preserve">Rupa amalan ialah melatih disiplin, menjaga kebersihan serta memikul tugas dengan sabar dan kesedaran bertuhan. Ketika menjawab peperiksaan, nyatakan sifat </w:t>
      </w:r>
      <w:r>
        <w:lastRenderedPageBreak/>
        <w:t>kematangan yang disokong oleh ayat dan jelaskan perlakuan yang menzahirkannya. Kata ingatannya ialah kematangan diri.</w:t>
      </w:r>
    </w:p>
    <w:p w14:paraId="149EF47D" w14:textId="77777777" w:rsidR="005A0562" w:rsidRDefault="00000000">
      <w:pPr>
        <w:pStyle w:val="Heading1"/>
      </w:pPr>
      <w:r>
        <w:t>6 Nidaa ul Kubra Doa Agung</w:t>
      </w:r>
    </w:p>
    <w:p w14:paraId="31162026" w14:textId="77777777" w:rsidR="005A0562" w:rsidRDefault="00000000">
      <w:pPr>
        <w:jc w:val="both"/>
      </w:pPr>
      <w:r>
        <w:t>Nidaa ul Kubra menumpukan perhatian kepada doa para nabi yang dicatatkan dalam Al Quran. Pembaca memahami perkara yang dipohon, sebab perkara itu penting dan sikap yang dibentuk oleh permohonan tersebut. Doa yang difahami memberikan arah kepada usaha seseorang.</w:t>
      </w:r>
    </w:p>
    <w:p w14:paraId="38DC293F" w14:textId="77777777" w:rsidR="005A0562" w:rsidRDefault="00000000">
      <w:pPr>
        <w:jc w:val="both"/>
      </w:pPr>
      <w:r>
        <w:t>An Naml 27:19 menjadi contoh doa Nabi Sulaiman yang memohon dorongan untuk mensyukuri nikmat, melakukan amal salih yang diredai dan dimasukkan bersama hamba yang salih melalui rahmat Tuhan. Penerangan perlu menghubungkan syukur dengan amal serta hubungan dengan golongan yang salih.</w:t>
      </w:r>
    </w:p>
    <w:p w14:paraId="71272EC0" w14:textId="77777777" w:rsidR="005A0562" w:rsidRDefault="00000000">
      <w:pPr>
        <w:jc w:val="both"/>
      </w:pPr>
      <w:r>
        <w:t>Rupa amalannya ialah berdoa dengan kefahaman, mengenali nikmat dan mengusahakan amal yang baik. Orang yang memohon untuk bersyukur juga berusaha menggunakan nikmat dengan bertanggungjawab. Kata ingatannya ialah doa yang difahami.</w:t>
      </w:r>
    </w:p>
    <w:p w14:paraId="073965ED" w14:textId="77777777" w:rsidR="005A0562" w:rsidRDefault="00000000">
      <w:pPr>
        <w:pStyle w:val="Heading1"/>
      </w:pPr>
      <w:r>
        <w:t>7 Fathul Arif Pembukaan Pengenalan</w:t>
      </w:r>
    </w:p>
    <w:p w14:paraId="4007F769" w14:textId="77777777" w:rsidR="005A0562" w:rsidRDefault="00000000">
      <w:pPr>
        <w:jc w:val="both"/>
      </w:pPr>
      <w:r>
        <w:t>Fathul ‘Arif menerangkan cara Tuhan memperkenalkan diri-Nya kepada manusia melalui wahyu. Pembaca mengenali kenyataan ketuhanan yang disampaikan oleh ayat dan memahami tuntutan hubungan manusia dengan Tuhan.</w:t>
      </w:r>
    </w:p>
    <w:p w14:paraId="0CAB4779" w14:textId="77777777" w:rsidR="005A0562" w:rsidRDefault="00000000">
      <w:pPr>
        <w:jc w:val="both"/>
      </w:pPr>
      <w:r>
        <w:t>Taha 20:14 menjadi contoh yang jelas. Ayat tersebut memperkenalkan Allah, menyatakan keesaan-Nya dan mengandungi perintah beribadah serta mendirikan solat untuk mengingati-Nya. Pengenalan kepada Tuhan berkait langsung dengan arah ibadah dan ingatan manusia kepada-Nya.</w:t>
      </w:r>
    </w:p>
    <w:p w14:paraId="21E195A5" w14:textId="77777777" w:rsidR="005A0562" w:rsidRDefault="00000000">
      <w:pPr>
        <w:jc w:val="both"/>
      </w:pPr>
      <w:r>
        <w:t>Rabbi Amri menonjolkan pekerjaan Tuhan, manakala Fathul ‘Arif menonjolkan pengenalan Tuhan melalui wahyu. Kedua-duanya boleh bertemu dalam satu ayat. Untuk pembentangan, jelaskan sudut yang sedang dihuraikan agar alasan pemilihan peringkat dapat difahami. Kata ingatannya ialah mengenali Tuhan.</w:t>
      </w:r>
    </w:p>
    <w:p w14:paraId="6636A69E" w14:textId="77777777" w:rsidR="005A0562" w:rsidRDefault="00000000">
      <w:pPr>
        <w:pStyle w:val="Heading1"/>
      </w:pPr>
      <w:r>
        <w:lastRenderedPageBreak/>
        <w:t>8 Rafiul Hayat Ketinggian Hidup</w:t>
      </w:r>
    </w:p>
    <w:p w14:paraId="59A2E6C5" w14:textId="77777777" w:rsidR="005A0562" w:rsidRDefault="00000000">
      <w:pPr>
        <w:jc w:val="both"/>
      </w:pPr>
      <w:r>
        <w:t>Rafi’ul Hayat menghuraikan petunjuk yang membantu manusia mempertingkatkan mutu dan darjat kehidupan. Pembaca memahami hubungan antara usaha, amal dan hasilnya. Kemajuan menuntut tindakan yang bersungguh-sungguh serta tanggungjawab terhadap mutu pekerjaan.</w:t>
      </w:r>
    </w:p>
    <w:p w14:paraId="597BF892" w14:textId="77777777" w:rsidR="005A0562" w:rsidRDefault="00000000">
      <w:pPr>
        <w:jc w:val="both"/>
      </w:pPr>
      <w:r>
        <w:t>Nota merujuk Al An‘am 6:83 dan 6:132 serta An Najm 53:39–40. An Najm menghubungkan manusia dengan usahanya dan menyatakan bahawa usahanya akan diperlihatkan. Dalam penerangan, hubungan ini mendorong pembaca meningkatkan ilmu, kemahiran dan ketekunan.</w:t>
      </w:r>
    </w:p>
    <w:p w14:paraId="03FBCD30" w14:textId="77777777" w:rsidR="005A0562" w:rsidRDefault="00000000">
      <w:pPr>
        <w:jc w:val="both"/>
      </w:pPr>
      <w:r>
        <w:t>Sebagai contoh penerapan, pelajar menyediakan jadual ulang kaji, menilai kelemahan dan memperbaiki cara belajar. Kemajuan dihuraikan melalui usaha yang boleh dikenal pasti, tanpa menjadikan ayat sebagai jaminan bahawa setiap kehendak peribadi pasti tercapai. Kata ingatannya ialah peningkatan kehidupan.</w:t>
      </w:r>
    </w:p>
    <w:p w14:paraId="6DFB5D3D" w14:textId="77777777" w:rsidR="005A0562" w:rsidRDefault="00000000">
      <w:pPr>
        <w:pStyle w:val="Heading1"/>
      </w:pPr>
      <w:r>
        <w:t>9 Amthaalul Hilal Penzahir Sumber</w:t>
      </w:r>
    </w:p>
    <w:p w14:paraId="5F34CCD8" w14:textId="77777777" w:rsidR="005A0562" w:rsidRDefault="00000000">
      <w:pPr>
        <w:jc w:val="both"/>
      </w:pPr>
      <w:r>
        <w:t>Amthaalul Hilal memberi perhatian kepada sumber dan petunjuk yang perlu dikaji sehingga manfaatnya dapat dizahirkan dalam kehidupan. Dalam istilah nota, sumber itu dihubungkan dengan furqan kemajuan. Pembaca belajar melihat kejadian sebagai bahan penerokaan ilmu dan manfaat kepada manusia.</w:t>
      </w:r>
    </w:p>
    <w:p w14:paraId="07A352AA" w14:textId="77777777" w:rsidR="005A0562" w:rsidRDefault="00000000">
      <w:pPr>
        <w:jc w:val="both"/>
      </w:pPr>
      <w:r>
        <w:t>Nota merujuk Al An‘am 6:104, Yunus 10:101 dan Al Hadid 57:25. Al Hadid menyebut besi dengan kekuatan serta manfaatnya kepada manusia dalam konteks kitab, neraca dan keadilan. Penerangan boleh menunjukkan bagaimana sumber memerlukan ilmu serta penggunaan yang bertanggungjawab untuk menghasilkan manfaat.</w:t>
      </w:r>
    </w:p>
    <w:p w14:paraId="1FA6EF38" w14:textId="77777777" w:rsidR="005A0562" w:rsidRDefault="00000000">
      <w:pPr>
        <w:jc w:val="both"/>
      </w:pPr>
      <w:r>
        <w:t>Kajian bahan, pembinaan peralatan dan penambahbaikan teknologi merupakan contoh penerapan yang boleh dibincangkan. Contoh itu ialah huraian amalan, bukannya dakwaan bahawa sesuatu teknologi moden disebut secara khusus oleh ayat. Kata ingatannya ialah sumber menjadi manfaat.</w:t>
      </w:r>
    </w:p>
    <w:p w14:paraId="6233F84E" w14:textId="77777777" w:rsidR="005A0562" w:rsidRDefault="00000000">
      <w:pPr>
        <w:pStyle w:val="Heading1"/>
      </w:pPr>
      <w:r>
        <w:lastRenderedPageBreak/>
        <w:t>10 Nurul Ibrah Cahaya Pengajaran</w:t>
      </w:r>
    </w:p>
    <w:p w14:paraId="7EC9B4AE" w14:textId="77777777" w:rsidR="005A0562" w:rsidRDefault="00000000">
      <w:pPr>
        <w:jc w:val="both"/>
      </w:pPr>
      <w:r>
        <w:t>Nurul Ibrah mengajak pembaca mengambil pengajaran daripada kisah yang dicatatkan dalam Al Quran. Kita meneliti sikap, tindakan dan akibat dalam kisah untuk mengenali teladan yang boleh diikuti serta kesilapan yang perlu dielakkan.</w:t>
      </w:r>
    </w:p>
    <w:p w14:paraId="1B256A14" w14:textId="77777777" w:rsidR="005A0562" w:rsidRDefault="00000000">
      <w:pPr>
        <w:jc w:val="both"/>
      </w:pPr>
      <w:r>
        <w:t>Yusuf 12:3 dan 12:111 menjadi rujukan penting dalam nota. Yusuf 12:111 menegaskan adanya pengajaran dalam kisah bagi orang yang berakal. Ketika menghuraikan kisah, pembaca perlu menghubungkan pengajaran dengan perkara yang benar-benar dinyatakan oleh ayat.</w:t>
      </w:r>
    </w:p>
    <w:p w14:paraId="05634647" w14:textId="77777777" w:rsidR="005A0562" w:rsidRDefault="00000000">
      <w:pPr>
        <w:jc w:val="both"/>
      </w:pPr>
      <w:r>
        <w:t>Rupa amalannya ialah menyemak keputusan sendiri berdasarkan pengajaran yang diperoleh. Misalnya, kisah yang memperlihatkan akibat iri hati membantu pembaca menilai kesan sikap tersebut terhadap hubungan manusia. Elakkan menambah peristiwa atau dialog yang tidak terdapat dalam teks. Kata ingatannya ialah kisah menjadi pengajaran.</w:t>
      </w:r>
    </w:p>
    <w:p w14:paraId="4C8BD06F" w14:textId="77777777" w:rsidR="005A0562" w:rsidRDefault="00000000">
      <w:pPr>
        <w:pStyle w:val="Heading1"/>
      </w:pPr>
      <w:r>
        <w:t>11 Hujjatul Ihsan Hujah Terbaik</w:t>
      </w:r>
    </w:p>
    <w:p w14:paraId="2AC80678" w14:textId="77777777" w:rsidR="005A0562" w:rsidRDefault="00000000">
      <w:pPr>
        <w:jc w:val="both"/>
      </w:pPr>
      <w:r>
        <w:t>Hujjatul Ihsan menumpukan perhatian kepada penghujahan yang berasas dan cara menyampaikan kebenaran dengan baik. Pembaca memahami isi hujah, bukti yang menyokongnya serta cara menjelaskan kaitan antara bukti dengan kesimpulan.</w:t>
      </w:r>
    </w:p>
    <w:p w14:paraId="56AD02C2" w14:textId="77777777" w:rsidR="005A0562" w:rsidRDefault="00000000">
      <w:pPr>
        <w:jc w:val="both"/>
      </w:pPr>
      <w:r>
        <w:t>Nota merujuk An Nahl 16:125 yang mengandungi seruan dengan hikmah, nasihat yang baik dan perbahasan dengan cara yang terbaik. Al An‘am 6:149 pula menyebut hujah yang sempurna bagi Allah. Taha 20:27–28 mengingatkan kepada kepentingan pertuturan yang dapat difahami.</w:t>
      </w:r>
    </w:p>
    <w:p w14:paraId="464FAC29" w14:textId="77777777" w:rsidR="005A0562" w:rsidRDefault="00000000">
      <w:pPr>
        <w:jc w:val="both"/>
      </w:pPr>
      <w:r>
        <w:t>Rupa amalannya ialah menyusun isu, mengemukakan bukti yang relevan dan memberikan alasan yang jelas. Kita mendengar bantahan serta menjawab perkara yang dibangkitkan dengan tepat. Kata ingatannya ialah hujah dengan bukti dan cara yang baik.</w:t>
      </w:r>
    </w:p>
    <w:p w14:paraId="798C7902" w14:textId="77777777" w:rsidR="005A0562" w:rsidRDefault="00000000">
      <w:pPr>
        <w:pStyle w:val="Heading1"/>
      </w:pPr>
      <w:r>
        <w:t>12 Bayaanul Aqid Kenyataan Pokok Pegangan</w:t>
      </w:r>
    </w:p>
    <w:p w14:paraId="1D0B32F2" w14:textId="77777777" w:rsidR="005A0562" w:rsidRDefault="00000000">
      <w:pPr>
        <w:jc w:val="both"/>
      </w:pPr>
      <w:r>
        <w:t>Bayaanul ‘Aqid memberi perhatian kepada kenyataan yang menjadi teras pegangan dalam beragama dan bertuhan. Pembaca meneliti prinsip yang dinyatakan oleh ayat dan bagaimana prinsip itu membimbing kehidupan. Pegangan memerlukan kefahaman terhadap asasnya serta kesungguhan menzahirkan amalannya.</w:t>
      </w:r>
    </w:p>
    <w:p w14:paraId="51AE3312" w14:textId="77777777" w:rsidR="005A0562" w:rsidRDefault="00000000">
      <w:pPr>
        <w:jc w:val="both"/>
      </w:pPr>
      <w:r>
        <w:lastRenderedPageBreak/>
        <w:t>Nota menghubungkan peringkat ini dengan Ar Rum 30:30, Ali Imran 3:7, Al Maidah 5:48 dan Al Jathiyah 45:18. Dalam penerangan, pembaca menjelaskan kaitan antara fitrah, kedudukan ayat yang menjadi asas kitab dan keperluan mengikuti petunjuk. Huraian hendaklah mengikut konteks setiap ayat serta menerangkan hubungan yang dibuat.</w:t>
      </w:r>
    </w:p>
    <w:p w14:paraId="22EA2C7B" w14:textId="77777777" w:rsidR="005A0562" w:rsidRDefault="00000000">
      <w:pPr>
        <w:jc w:val="both"/>
      </w:pPr>
      <w:r>
        <w:t>Rupa amalannya ialah menyemak sama ada prinsip yang dipegang mempunyai sandaran ayat, kemudian menilai keselarasan tindakan dengan prinsip tersebut. Kita perlu membezakan kenyataan ayat dengan rumusan pentafshilan yang dibina daripadanya. Kata ingatannya ialah teras pegangan.</w:t>
      </w:r>
    </w:p>
    <w:p w14:paraId="0CB93697" w14:textId="77777777" w:rsidR="005A0562" w:rsidRDefault="00000000">
      <w:pPr>
        <w:spacing w:after="240" w:line="252" w:lineRule="auto"/>
      </w:pPr>
      <w:r>
        <w:rPr>
          <w:i/>
          <w:sz w:val="20"/>
        </w:rPr>
        <w:t>Rujukan bagi sepuluh peringkat: Nota Exam Syariah Khofiah, halaman 1–7; pengesahan klasifikasi dalam Jilid 9, ms. buku 357–358 [PDF 446–447]. Huraian amalan di atas merangkumi contoh penerapan untuk pembelajaran.</w:t>
      </w:r>
    </w:p>
    <w:p w14:paraId="386FF268" w14:textId="77777777" w:rsidR="005A0562" w:rsidRDefault="00000000">
      <w:pPr>
        <w:pStyle w:val="Heading1"/>
      </w:pPr>
      <w:r>
        <w:t>13 Cara menyusun penerangan dan jawapan peperiksaan</w:t>
      </w:r>
    </w:p>
    <w:p w14:paraId="39B3586C" w14:textId="77777777" w:rsidR="005A0562" w:rsidRDefault="00000000">
      <w:pPr>
        <w:jc w:val="both"/>
      </w:pPr>
      <w:r>
        <w:t>Jilid 9 menghendaki penerangan yang menyentuh dalil, definisi, kepentingan serta rupa amalan dan contoh ayat bagi setiap peringkat. Susunan ini membantu jawapan menjadi lengkap. Mulakan dengan nama peringkat dan maksudnya, bentangkan ayat yang relevan, kemudian jelaskan sebab ayat itu sesuai dengan peringkat tersebut.</w:t>
      </w:r>
    </w:p>
    <w:p w14:paraId="3053FC81" w14:textId="77777777" w:rsidR="005A0562" w:rsidRDefault="00000000">
      <w:pPr>
        <w:jc w:val="both"/>
      </w:pPr>
      <w:r>
        <w:t>Selepas itu, terangkan kepentingan didikan ayat dan berikan contoh amalan yang nyata. Contohnya, bagi Nidaa ul Kubra, jelaskan makna doa dalam An Naml 27:19, hubungan syukur dengan amal salih serta usaha menggunakan nikmat dengan bertanggungjawab. Kesimpulan perlu merumuskan perubahan yang dikehendaki daripada pembaca.</w:t>
      </w:r>
    </w:p>
    <w:p w14:paraId="210AAF77" w14:textId="77777777" w:rsidR="005A0562" w:rsidRDefault="00000000">
      <w:pPr>
        <w:jc w:val="both"/>
      </w:pPr>
      <w:r>
        <w:t>Jilid 6 turut menggariskan tatacara pembacaan melalui ayat penzahir, kaedah pentafsiran, peringatan, kenyataan dan resolusi. Resolusi ialah rumusan yang menerangkan arah tindakan setelah ayat difahami. Ia perlu lahir daripada huraian sebelumnya, supaya jawapan tidak berakhir dengan nasihat umum yang tiada kaitan dengan ayat.</w:t>
      </w:r>
    </w:p>
    <w:p w14:paraId="31FA3076" w14:textId="77777777" w:rsidR="005A0562" w:rsidRDefault="00000000">
      <w:pPr>
        <w:spacing w:after="240" w:line="252" w:lineRule="auto"/>
      </w:pPr>
      <w:r>
        <w:rPr>
          <w:i/>
          <w:sz w:val="20"/>
        </w:rPr>
        <w:t>Rujukan: Jilid 9, ms. buku 609–610 [PDF 698–699]; Jilid 6, Muqaddimah ms. lx–lxiv [PDF 61–65].</w:t>
      </w:r>
    </w:p>
    <w:p w14:paraId="6621FC9A" w14:textId="77777777" w:rsidR="005A0562" w:rsidRDefault="00000000">
      <w:pPr>
        <w:pStyle w:val="Heading1"/>
      </w:pPr>
      <w:r>
        <w:t>14 Contoh teks penerangan lengkap</w:t>
      </w:r>
    </w:p>
    <w:p w14:paraId="40E482B3" w14:textId="77777777" w:rsidR="005A0562" w:rsidRDefault="00000000">
      <w:pPr>
        <w:jc w:val="both"/>
      </w:pPr>
      <w:r>
        <w:t xml:space="preserve">Nidaa ul Kubra ialah peringkat Syariah Khofiah yang mengajak manusia memahami doa para nabi yang dicatatkan dalam Al Quran. Dalam An Naml 27:19, Nabi </w:t>
      </w:r>
      <w:r>
        <w:lastRenderedPageBreak/>
        <w:t>Sulaiman memohon dorongan untuk mensyukuri nikmat Tuhan, melakukan amal salih yang diredai dan berada bersama hamba yang salih melalui rahmat-Nya. Doa ini menunjukkan hubungan antara kesedaran terhadap nikmat dengan usaha melakukan kebaikan.</w:t>
      </w:r>
    </w:p>
    <w:p w14:paraId="1976F64E" w14:textId="77777777" w:rsidR="005A0562" w:rsidRDefault="00000000">
      <w:pPr>
        <w:jc w:val="both"/>
      </w:pPr>
      <w:r>
        <w:t>Kepentingannya ialah pembaca memahami arah permohonannya kepada Tuhan. Syukur menuntut kesedaran terhadap nikmat dan penggunaan nikmat secara bertanggungjawab. Apabila seseorang berdoa untuk melakukan amal salih, dia juga perlu meneliti tindakannya supaya membawa kebaikan. Contoh amalannya ialah menggunakan ilmu untuk membantu orang lain dan memanfaatkan masa bagi menunaikan tanggungjawab.</w:t>
      </w:r>
    </w:p>
    <w:p w14:paraId="03D3C9AF" w14:textId="77777777" w:rsidR="005A0562" w:rsidRDefault="00000000">
      <w:pPr>
        <w:jc w:val="both"/>
      </w:pPr>
      <w:r>
        <w:t>Oleh itu, pembelajaran Nidaa ul Kubra membentuk manusia yang berdoa dengan kefahaman dan menghubungkan doa dengan usaha. Inilah resolusi penerangan tersebut, iaitu menjadikan permohonan yang difahami sebagai arah pembentukan sikap dan tindakan.</w:t>
      </w:r>
    </w:p>
    <w:p w14:paraId="6EECECA7" w14:textId="77777777" w:rsidR="005A0562" w:rsidRDefault="00000000">
      <w:pPr>
        <w:pStyle w:val="Heading1"/>
      </w:pPr>
      <w:r>
        <w:t>15 Rumus untuk memahami dan mengingati</w:t>
      </w:r>
    </w:p>
    <w:p w14:paraId="123FB7B6" w14:textId="77777777" w:rsidR="005A0562" w:rsidRDefault="00000000">
      <w:pPr>
        <w:jc w:val="both"/>
      </w:pPr>
      <w:r>
        <w:t>Sepuluh kata tumpuan ialah pekerjaan, perintah, kematangan, doa, pengenalan, peningkatan, sumber, pengajaran, hujah dan pegangan. Padankan setiap kata dengan nama peringkatnya, satu ayat contoh dan satu rupa amalan. Susunan kata ini ialah bantuan hafalan bagi nota, bukan lafaz asal Al Quran.</w:t>
      </w:r>
    </w:p>
    <w:p w14:paraId="31776A1B" w14:textId="77777777" w:rsidR="005A0562" w:rsidRDefault="00000000">
      <w:pPr>
        <w:jc w:val="both"/>
      </w:pPr>
      <w:r>
        <w:t>Untuk memahami mana-mana ayat, tanyakan empat perkara: apakah kenyataan ayat, apakah arah didikannya, mengapa didikan itu penting dan bagaimana ia diamalkan. Semak jawapan dengan keseluruhan konteks ayat serta ayat berkaitan. Dengan cara ini, pembelajaran Syariah Khofiah membantu kita bergerak daripada mengenal petunjuk kepada menzahirkan amalan yang boleh diterangkan dengan jelas.</w:t>
      </w:r>
    </w:p>
    <w:p w14:paraId="4D2E4EFF" w14:textId="77777777" w:rsidR="005A0562" w:rsidRDefault="00000000">
      <w:pPr>
        <w:pStyle w:val="Heading1"/>
      </w:pPr>
      <w:r>
        <w:t>Rujukan pembelajaran</w:t>
      </w:r>
    </w:p>
    <w:p w14:paraId="04996787" w14:textId="77777777" w:rsidR="005A0562" w:rsidRDefault="00000000">
      <w:pPr>
        <w:jc w:val="both"/>
      </w:pPr>
      <w:r>
        <w:t>Al Fathun Nawa Jilid 6, Dr. Halo-N: Muqaddimah ms. lx–lxiv [PDF 61–65]; Bab 5 khususnya ms. 712–714 [PDF 781–783]; perbincangan lanjut klasifikasi dalam Bab 6 hingga Bab 15, ms. 799–1140.</w:t>
      </w:r>
    </w:p>
    <w:p w14:paraId="0C25662F" w14:textId="77777777" w:rsidR="005A0562" w:rsidRDefault="00000000">
      <w:pPr>
        <w:jc w:val="both"/>
      </w:pPr>
      <w:r>
        <w:lastRenderedPageBreak/>
        <w:t>Al Fathun Nawa Jilid 9, Dr. Halo-N: Sukatan Pelajaran ms. 356–358 [PDF 445–447]; Bab 7 Fasa 7 khususnya ms. 606–610 [PDF 695–699]. Nombor dalam kurungan siku merujuk halaman fail PDF, manakala nombor sebelumnya ialah muka surat bercetak.</w:t>
      </w:r>
    </w:p>
    <w:p w14:paraId="11CDDF23" w14:textId="77777777" w:rsidR="005A0562" w:rsidRDefault="00000000">
      <w:pPr>
        <w:jc w:val="both"/>
      </w:pPr>
      <w:r>
        <w:t>Syariah Khofiah Nota Exam, jadual Bil 1 hingga Bil 10, halaman 1–7: definisi, asas atau dalil, contoh ayat, kepentingan dan rupa amalan.</w:t>
      </w:r>
    </w:p>
    <w:sectPr w:rsidR="005A0562"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BB0B6" w14:textId="77777777" w:rsidR="0024248E" w:rsidRDefault="0024248E">
      <w:pPr>
        <w:spacing w:after="0" w:line="240" w:lineRule="auto"/>
      </w:pPr>
      <w:r>
        <w:separator/>
      </w:r>
    </w:p>
  </w:endnote>
  <w:endnote w:type="continuationSeparator" w:id="0">
    <w:p w14:paraId="1E774993" w14:textId="77777777" w:rsidR="0024248E" w:rsidRDefault="00242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AA2C" w14:textId="77777777" w:rsidR="005A0562"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76A48" w14:textId="77777777" w:rsidR="0024248E" w:rsidRDefault="0024248E">
      <w:pPr>
        <w:spacing w:after="0" w:line="240" w:lineRule="auto"/>
      </w:pPr>
      <w:r>
        <w:separator/>
      </w:r>
    </w:p>
  </w:footnote>
  <w:footnote w:type="continuationSeparator" w:id="0">
    <w:p w14:paraId="3A3AB87A" w14:textId="77777777" w:rsidR="0024248E" w:rsidRDefault="00242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164728">
    <w:abstractNumId w:val="8"/>
  </w:num>
  <w:num w:numId="2" w16cid:durableId="1634872253">
    <w:abstractNumId w:val="6"/>
  </w:num>
  <w:num w:numId="3" w16cid:durableId="488449925">
    <w:abstractNumId w:val="5"/>
  </w:num>
  <w:num w:numId="4" w16cid:durableId="194315250">
    <w:abstractNumId w:val="4"/>
  </w:num>
  <w:num w:numId="5" w16cid:durableId="1953053464">
    <w:abstractNumId w:val="7"/>
  </w:num>
  <w:num w:numId="6" w16cid:durableId="1735009369">
    <w:abstractNumId w:val="3"/>
  </w:num>
  <w:num w:numId="7" w16cid:durableId="89544797">
    <w:abstractNumId w:val="2"/>
  </w:num>
  <w:num w:numId="8" w16cid:durableId="1412191501">
    <w:abstractNumId w:val="1"/>
  </w:num>
  <w:num w:numId="9" w16cid:durableId="188004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48E"/>
    <w:rsid w:val="0029639D"/>
    <w:rsid w:val="00326F90"/>
    <w:rsid w:val="005A0562"/>
    <w:rsid w:val="00826D13"/>
    <w:rsid w:val="00A55F24"/>
    <w:rsid w:val="00AA1D8D"/>
    <w:rsid w:val="00B47730"/>
    <w:rsid w:val="00CB0664"/>
    <w:rsid w:val="00D17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9932B"/>
  <w14:defaultImageDpi w14:val="300"/>
  <w15:docId w15:val="{2B2E9340-1552-4DE8-BE6A-E38DF5D8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Arial" w:hAnsi="Arial"/>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Teks Penerangan Konsep Syariah Khofiah</dc:title>
  <dc:subject/>
  <dc:creator>python-docx</dc:creator>
  <cp:keywords/>
  <dc:description>generated by python-docx</dc:description>
  <cp:lastModifiedBy>Ghazali Ismail</cp:lastModifiedBy>
  <cp:revision>3</cp:revision>
  <dcterms:created xsi:type="dcterms:W3CDTF">2026-10-09T00:10:00Z</dcterms:created>
  <dcterms:modified xsi:type="dcterms:W3CDTF">2026-10-09T00:12:00Z</dcterms:modified>
  <cp:category/>
</cp:coreProperties>
</file>