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966504"/>
            <wp:docPr id="1" name="Picture 1"/>
            <wp:cNvGraphicFramePr>
              <a:graphicFrameLocks noChangeAspect="1"/>
            </wp:cNvGraphicFramePr>
            <a:graphic>
              <a:graphicData uri="http://schemas.openxmlformats.org/drawingml/2006/picture">
                <pic:pic>
                  <pic:nvPicPr>
                    <pic:cNvPr id="0" name="Afiyah Infinity Logo Design_v4.png"/>
                    <pic:cNvPicPr/>
                  </pic:nvPicPr>
                  <pic:blipFill>
                    <a:blip r:embed="rId10"/>
                    <a:stretch>
                      <a:fillRect/>
                    </a:stretch>
                  </pic:blipFill>
                  <pic:spPr>
                    <a:xfrm>
                      <a:off x="0" y="0"/>
                      <a:ext cx="2377440" cy="966504"/>
                    </a:xfrm>
                    <a:prstGeom prst="rect"/>
                  </pic:spPr>
                </pic:pic>
              </a:graphicData>
            </a:graphic>
          </wp:inline>
        </w:drawing>
      </w:r>
    </w:p>
    <w:p>
      <w:pPr>
        <w:jc w:val="center"/>
      </w:pPr>
      <w:r>
        <w:rPr>
          <w:b/>
          <w:color w:val="0C383F"/>
          <w:sz w:val="52"/>
        </w:rPr>
        <w:t>THE BOOK OF AFIYAH</w:t>
        <w:br/>
      </w:r>
      <w:r>
        <w:rPr>
          <w:b/>
          <w:color w:val="AD8633"/>
          <w:sz w:val="36"/>
        </w:rPr>
        <w:t>Afiyah Institutional Operating System (AIOS)</w:t>
        <w:br/>
      </w:r>
      <w:r>
        <w:rPr>
          <w:sz w:val="24"/>
        </w:rPr>
        <w:t>Researched Governance, Technology, AI, Enterprise Architecture, Engineering and Operations Blueprint</w:t>
        <w:br/>
      </w:r>
      <w:r>
        <w:rPr>
          <w:sz w:val="20"/>
        </w:rPr>
        <w:t>Founder Edition v0.2 | Working Manuscript</w:t>
      </w:r>
    </w:p>
    <w:p/>
    <w:p>
      <w:pPr>
        <w:jc w:val="center"/>
      </w:pPr>
      <w:r>
        <w:rPr>
          <w:i/>
          <w:color w:val="0C383F"/>
          <w:sz w:val="24"/>
        </w:rPr>
        <w:t>Built with Faith. Guided by Justice. Trusted with Tomorrow.</w:t>
      </w:r>
    </w:p>
    <w:p>
      <w:r>
        <w:br w:type="page"/>
      </w:r>
    </w:p>
    <w:p>
      <w:pPr>
        <w:pStyle w:val="Heading1"/>
      </w:pPr>
      <w:r>
        <w:t>Document Control</w:t>
      </w:r>
    </w:p>
    <w:p>
      <w:r>
        <w:rPr>
          <w:b/>
          <w:color w:val="AD8633"/>
        </w:rPr>
        <w:t>Table DC-001 - Document Control Register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C383F"/>
          </w:tcPr>
          <w:p>
            <w:pPr>
              <w:spacing w:after="0"/>
            </w:pPr>
            <w:r/>
            <w:r>
              <w:rPr>
                <w:b/>
                <w:color w:val="FFFFFF"/>
              </w:rPr>
              <w:t>Field</w:t>
            </w:r>
          </w:p>
        </w:tc>
        <w:tc>
          <w:tcPr>
            <w:tcW w:type="dxa" w:w="5112"/>
            <w:vAlign w:val="top"/>
            <w:shd w:fill="0C383F"/>
          </w:tcPr>
          <w:p>
            <w:pPr>
              <w:spacing w:after="0"/>
            </w:pPr>
            <w:r/>
            <w:r>
              <w:rPr>
                <w:b/>
                <w:color w:val="FFFFFF"/>
              </w:rPr>
              <w:t>Value</w:t>
            </w:r>
          </w:p>
        </w:tc>
      </w:tr>
      <w:tr>
        <w:tc>
          <w:tcPr>
            <w:tcW w:type="dxa" w:w="5112"/>
            <w:vAlign w:val="top"/>
          </w:tcPr>
          <w:p>
            <w:pPr>
              <w:spacing w:after="0"/>
            </w:pPr>
            <w:r/>
            <w:r>
              <w:rPr>
                <w:b w:val="0"/>
              </w:rPr>
              <w:t>Document Title</w:t>
            </w:r>
          </w:p>
        </w:tc>
        <w:tc>
          <w:tcPr>
            <w:tcW w:type="dxa" w:w="5112"/>
            <w:vAlign w:val="top"/>
          </w:tcPr>
          <w:p>
            <w:pPr>
              <w:spacing w:after="0"/>
            </w:pPr>
            <w:r/>
            <w:r>
              <w:rPr>
                <w:b w:val="0"/>
              </w:rPr>
              <w:t>The Book of Afiyah - Afiyah Institutional Operating System (AIOS) Blueprint</w:t>
            </w:r>
          </w:p>
        </w:tc>
      </w:tr>
      <w:tr>
        <w:tc>
          <w:tcPr>
            <w:tcW w:type="dxa" w:w="5112"/>
            <w:vAlign w:val="top"/>
          </w:tcPr>
          <w:p>
            <w:pPr>
              <w:spacing w:after="0"/>
            </w:pPr>
            <w:r/>
            <w:r>
              <w:rPr>
                <w:b w:val="0"/>
              </w:rPr>
              <w:t>Document ID</w:t>
            </w:r>
          </w:p>
        </w:tc>
        <w:tc>
          <w:tcPr>
            <w:tcW w:type="dxa" w:w="5112"/>
            <w:vAlign w:val="top"/>
          </w:tcPr>
          <w:p>
            <w:pPr>
              <w:spacing w:after="0"/>
            </w:pPr>
            <w:r/>
            <w:r>
              <w:rPr>
                <w:b w:val="0"/>
              </w:rPr>
              <w:t>AIOS-MASTER-RES-0.2</w:t>
            </w:r>
          </w:p>
        </w:tc>
      </w:tr>
      <w:tr>
        <w:tc>
          <w:tcPr>
            <w:tcW w:type="dxa" w:w="5112"/>
            <w:vAlign w:val="top"/>
          </w:tcPr>
          <w:p>
            <w:pPr>
              <w:spacing w:after="0"/>
            </w:pPr>
            <w:r/>
            <w:r>
              <w:rPr>
                <w:b w:val="0"/>
              </w:rPr>
              <w:t>Classification</w:t>
            </w:r>
          </w:p>
        </w:tc>
        <w:tc>
          <w:tcPr>
            <w:tcW w:type="dxa" w:w="5112"/>
            <w:vAlign w:val="top"/>
          </w:tcPr>
          <w:p>
            <w:pPr>
              <w:spacing w:after="0"/>
            </w:pPr>
            <w:r/>
            <w:r>
              <w:rPr>
                <w:b w:val="0"/>
              </w:rPr>
              <w:t>Founder Edition / Confidential Working Manuscript</w:t>
            </w:r>
          </w:p>
        </w:tc>
      </w:tr>
      <w:tr>
        <w:tc>
          <w:tcPr>
            <w:tcW w:type="dxa" w:w="5112"/>
            <w:vAlign w:val="top"/>
          </w:tcPr>
          <w:p>
            <w:pPr>
              <w:spacing w:after="0"/>
            </w:pPr>
            <w:r/>
            <w:r>
              <w:rPr>
                <w:b w:val="0"/>
              </w:rPr>
              <w:t>Prepared For</w:t>
            </w:r>
          </w:p>
        </w:tc>
        <w:tc>
          <w:tcPr>
            <w:tcW w:type="dxa" w:w="5112"/>
            <w:vAlign w:val="top"/>
          </w:tcPr>
          <w:p>
            <w:pPr>
              <w:spacing w:after="0"/>
            </w:pPr>
            <w:r/>
            <w:r>
              <w:rPr>
                <w:b w:val="0"/>
              </w:rPr>
              <w:t>Afiyah Infinity AI Ltd.</w:t>
            </w:r>
          </w:p>
        </w:tc>
      </w:tr>
      <w:tr>
        <w:tc>
          <w:tcPr>
            <w:tcW w:type="dxa" w:w="5112"/>
            <w:vAlign w:val="top"/>
          </w:tcPr>
          <w:p>
            <w:pPr>
              <w:spacing w:after="0"/>
            </w:pPr>
            <w:r/>
            <w:r>
              <w:rPr>
                <w:b w:val="0"/>
              </w:rPr>
              <w:t>Prepared By</w:t>
            </w:r>
          </w:p>
        </w:tc>
        <w:tc>
          <w:tcPr>
            <w:tcW w:type="dxa" w:w="5112"/>
            <w:vAlign w:val="top"/>
          </w:tcPr>
          <w:p>
            <w:pPr>
              <w:spacing w:after="0"/>
            </w:pPr>
            <w:r/>
            <w:r>
              <w:rPr>
                <w:b w:val="0"/>
              </w:rPr>
              <w:t>Chief Constitutional Architect / Founding CTO drafting function</w:t>
            </w:r>
          </w:p>
        </w:tc>
      </w:tr>
      <w:tr>
        <w:tc>
          <w:tcPr>
            <w:tcW w:type="dxa" w:w="5112"/>
            <w:vAlign w:val="top"/>
          </w:tcPr>
          <w:p>
            <w:pPr>
              <w:spacing w:after="0"/>
            </w:pPr>
            <w:r/>
            <w:r>
              <w:rPr>
                <w:b w:val="0"/>
              </w:rPr>
              <w:t>Version</w:t>
            </w:r>
          </w:p>
        </w:tc>
        <w:tc>
          <w:tcPr>
            <w:tcW w:type="dxa" w:w="5112"/>
            <w:vAlign w:val="top"/>
          </w:tcPr>
          <w:p>
            <w:pPr>
              <w:spacing w:after="0"/>
            </w:pPr>
            <w:r/>
            <w:r>
              <w:rPr>
                <w:b w:val="0"/>
              </w:rPr>
              <w:t>0.2 - Researched Assembly Draft</w:t>
            </w:r>
          </w:p>
        </w:tc>
      </w:tr>
      <w:tr>
        <w:tc>
          <w:tcPr>
            <w:tcW w:type="dxa" w:w="5112"/>
            <w:vAlign w:val="top"/>
          </w:tcPr>
          <w:p>
            <w:pPr>
              <w:spacing w:after="0"/>
            </w:pPr>
            <w:r/>
            <w:r>
              <w:rPr>
                <w:b w:val="0"/>
              </w:rPr>
              <w:t>Date</w:t>
            </w:r>
          </w:p>
        </w:tc>
        <w:tc>
          <w:tcPr>
            <w:tcW w:type="dxa" w:w="5112"/>
            <w:vAlign w:val="top"/>
          </w:tcPr>
          <w:p>
            <w:pPr>
              <w:spacing w:after="0"/>
            </w:pPr>
            <w:r/>
            <w:r>
              <w:rPr>
                <w:b w:val="0"/>
              </w:rPr>
              <w:t>2026-07-05</w:t>
            </w:r>
          </w:p>
        </w:tc>
      </w:tr>
      <w:tr>
        <w:tc>
          <w:tcPr>
            <w:tcW w:type="dxa" w:w="5112"/>
            <w:vAlign w:val="top"/>
          </w:tcPr>
          <w:p>
            <w:pPr>
              <w:spacing w:after="0"/>
            </w:pPr>
            <w:r/>
            <w:r>
              <w:rPr>
                <w:b w:val="0"/>
              </w:rPr>
              <w:t>Review Status</w:t>
            </w:r>
          </w:p>
        </w:tc>
        <w:tc>
          <w:tcPr>
            <w:tcW w:type="dxa" w:w="5112"/>
            <w:vAlign w:val="top"/>
          </w:tcPr>
          <w:p>
            <w:pPr>
              <w:spacing w:after="0"/>
            </w:pPr>
            <w:r/>
            <w:r>
              <w:rPr>
                <w:b w:val="0"/>
              </w:rPr>
              <w:t>Working draft. Requires legal, Shariah, security and board review before adoption.</w:t>
            </w:r>
          </w:p>
        </w:tc>
      </w:tr>
      <w:tr>
        <w:tc>
          <w:tcPr>
            <w:tcW w:type="dxa" w:w="5112"/>
            <w:vAlign w:val="top"/>
          </w:tcPr>
          <w:p>
            <w:pPr>
              <w:spacing w:after="0"/>
            </w:pPr>
            <w:r/>
            <w:r>
              <w:rPr>
                <w:b w:val="0"/>
              </w:rPr>
              <w:t>Source Posture</w:t>
            </w:r>
          </w:p>
        </w:tc>
        <w:tc>
          <w:tcPr>
            <w:tcW w:type="dxa" w:w="5112"/>
            <w:vAlign w:val="top"/>
          </w:tcPr>
          <w:p>
            <w:pPr>
              <w:spacing w:after="0"/>
            </w:pPr>
            <w:r/>
            <w:r>
              <w:rPr>
                <w:b w:val="0"/>
              </w:rPr>
              <w:t>Uses official and primary sources where available; implementation details require current counsel review.</w:t>
            </w:r>
          </w:p>
        </w:tc>
      </w:tr>
      <w:tr>
        <w:tc>
          <w:tcPr>
            <w:tcW w:type="dxa" w:w="5112"/>
            <w:vAlign w:val="top"/>
          </w:tcPr>
          <w:p>
            <w:pPr>
              <w:spacing w:after="0"/>
            </w:pPr>
            <w:r/>
            <w:r>
              <w:rPr>
                <w:b w:val="0"/>
              </w:rPr>
              <w:t>Governing Motto</w:t>
            </w:r>
          </w:p>
        </w:tc>
        <w:tc>
          <w:tcPr>
            <w:tcW w:type="dxa" w:w="5112"/>
            <w:vAlign w:val="top"/>
          </w:tcPr>
          <w:p>
            <w:pPr>
              <w:spacing w:after="0"/>
            </w:pPr>
            <w:r/>
            <w:r>
              <w:rPr>
                <w:b w:val="0"/>
              </w:rPr>
              <w:t>Built with Faith. Guided by Justice. Trusted with Tomorrow.</w:t>
            </w:r>
          </w:p>
        </w:tc>
      </w:tr>
    </w:tbl>
    <w:p/>
    <w:tbl>
      <w:tblPr>
        <w:tblStyle w:val="TableGrid"/>
        <w:tblW w:type="auto" w:w="0"/>
        <w:tblLook w:firstColumn="1" w:firstRow="1" w:lastColumn="0" w:lastRow="0" w:noHBand="0" w:noVBand="1" w:val="04A0"/>
      </w:tblPr>
      <w:tblGrid>
        <w:gridCol w:w="10224"/>
      </w:tblGrid>
      <w:tr>
        <w:tc>
          <w:tcPr>
            <w:tcW w:type="dxa" w:w="10224"/>
            <w:shd w:fill="F8F3E9"/>
          </w:tcPr>
          <w:p>
            <w:r>
              <w:rPr>
                <w:b/>
                <w:color w:val="0C383F"/>
              </w:rPr>
              <w:t>Legal and Shariah Review Notice</w:t>
              <w:br/>
            </w:r>
            <w:r>
              <w:t>This manuscript is an institutional design and governance blueprint. It is not legal advice, a fatwa, financial advice, medical advice, or regulatory approval. Before adoption, Afiyah must obtain qualified UAE/DIFC legal counsel, Shariah Advisory Board review, information security review, AI governance review, and board approval.</w:t>
            </w:r>
          </w:p>
        </w:tc>
      </w:tr>
    </w:tbl>
    <w:p/>
    <w:p>
      <w:pPr>
        <w:pStyle w:val="Heading1"/>
      </w:pPr>
      <w:r>
        <w:t>Table of Contents</w:t>
      </w:r>
    </w:p>
    <w:p>
      <w:r>
        <w:fldChar w:fldCharType="begin"/>
        <w:instrText xml:space="preserve">TOC \o "1-3" \h \z \u</w:instrText>
        <w:fldChar w:fldCharType="separate"/>
        <w:fldChar w:fldCharType="end"/>
      </w:r>
      <w:r>
        <w:t>Right-click and update field in Microsoft Word to refresh the Table of Contents.</w:t>
      </w:r>
    </w:p>
    <w:p>
      <w:r>
        <w:br w:type="page"/>
      </w:r>
    </w:p>
    <w:p>
      <w:pPr>
        <w:pStyle w:val="Heading1"/>
      </w:pPr>
      <w:r>
        <w:t>Executive Mandate</w:t>
      </w:r>
    </w:p>
    <w:p>
      <w:pPr>
        <w:spacing w:after="120" w:line="259" w:lineRule="auto"/>
      </w:pPr>
      <w:r>
        <w:t>Afiyah shall be designed as a constitutional technology institution, not as a disconnected app. The institution's operating model is built around one discipline: every decision, system, product, AI model, data object, partner relationship and operational process must be traceable to the Constitution of Afiyah.</w:t>
      </w:r>
    </w:p>
    <w:p>
      <w:pPr>
        <w:spacing w:after="120" w:line="259" w:lineRule="auto"/>
      </w:pPr>
      <w:r>
        <w:t>This researched assembly consolidates the institutional architecture requested by the Founder: board governance, Shariah governance, DIFC and UAE regulatory posture, AI governance, enterprise architecture, engineering, internal audit, risk management, and daily operations. It is structured as a working manuscript that can later be expanded into separate formal volumes, but is assembled here as one continuous governing blueprint.</w:t>
      </w:r>
    </w:p>
    <w:p>
      <w:r>
        <w:rPr>
          <w:b/>
          <w:color w:val="AD8633"/>
        </w:rPr>
        <w:t>Table EM-001 - Master Volume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Volume</w:t>
            </w:r>
          </w:p>
        </w:tc>
        <w:tc>
          <w:tcPr>
            <w:tcW w:type="dxa" w:w="3408"/>
            <w:vAlign w:val="top"/>
            <w:shd w:fill="0C383F"/>
          </w:tcPr>
          <w:p>
            <w:pPr>
              <w:spacing w:after="0"/>
            </w:pPr>
            <w:r/>
            <w:r>
              <w:rPr>
                <w:b/>
                <w:color w:val="FFFFFF"/>
              </w:rPr>
              <w:t>Purpose</w:t>
            </w:r>
          </w:p>
        </w:tc>
        <w:tc>
          <w:tcPr>
            <w:tcW w:type="dxa" w:w="3408"/>
            <w:vAlign w:val="top"/>
            <w:shd w:fill="0C383F"/>
          </w:tcPr>
          <w:p>
            <w:pPr>
              <w:spacing w:after="0"/>
            </w:pPr>
            <w:r/>
            <w:r>
              <w:rPr>
                <w:b/>
                <w:color w:val="FFFFFF"/>
              </w:rPr>
              <w:t>Primary Users</w:t>
            </w:r>
          </w:p>
        </w:tc>
      </w:tr>
      <w:tr>
        <w:tc>
          <w:tcPr>
            <w:tcW w:type="dxa" w:w="3408"/>
            <w:vAlign w:val="top"/>
          </w:tcPr>
          <w:p>
            <w:pPr>
              <w:spacing w:after="0"/>
            </w:pPr>
            <w:r/>
            <w:r>
              <w:rPr>
                <w:b w:val="0"/>
              </w:rPr>
              <w:t>Volume I - Constitution &amp; Philosophy</w:t>
            </w:r>
          </w:p>
        </w:tc>
        <w:tc>
          <w:tcPr>
            <w:tcW w:type="dxa" w:w="3408"/>
            <w:vAlign w:val="top"/>
          </w:tcPr>
          <w:p>
            <w:pPr>
              <w:spacing w:after="0"/>
            </w:pPr>
            <w:r/>
            <w:r>
              <w:rPr>
                <w:b w:val="0"/>
              </w:rPr>
              <w:t>Mission, principles, covenant, Maqasid and institutional philosophy.</w:t>
            </w:r>
          </w:p>
        </w:tc>
        <w:tc>
          <w:tcPr>
            <w:tcW w:type="dxa" w:w="3408"/>
            <w:vAlign w:val="top"/>
          </w:tcPr>
          <w:p>
            <w:pPr>
              <w:spacing w:after="0"/>
            </w:pPr>
            <w:r/>
            <w:r>
              <w:rPr>
                <w:b w:val="0"/>
              </w:rPr>
              <w:t>Founder, Board, Shariah Board, leadership, investors.</w:t>
            </w:r>
          </w:p>
        </w:tc>
      </w:tr>
      <w:tr>
        <w:tc>
          <w:tcPr>
            <w:tcW w:type="dxa" w:w="3408"/>
            <w:vAlign w:val="top"/>
          </w:tcPr>
          <w:p>
            <w:pPr>
              <w:spacing w:after="0"/>
            </w:pPr>
            <w:r/>
            <w:r>
              <w:rPr>
                <w:b w:val="0"/>
              </w:rPr>
              <w:t>Volume II - Governance &amp; Law</w:t>
            </w:r>
          </w:p>
        </w:tc>
        <w:tc>
          <w:tcPr>
            <w:tcW w:type="dxa" w:w="3408"/>
            <w:vAlign w:val="top"/>
          </w:tcPr>
          <w:p>
            <w:pPr>
              <w:spacing w:after="0"/>
            </w:pPr>
            <w:r/>
            <w:r>
              <w:rPr>
                <w:b w:val="0"/>
              </w:rPr>
              <w:t>Board, Shariah, legal, AI, data, risk and assurance governance.</w:t>
            </w:r>
          </w:p>
        </w:tc>
        <w:tc>
          <w:tcPr>
            <w:tcW w:type="dxa" w:w="3408"/>
            <w:vAlign w:val="top"/>
          </w:tcPr>
          <w:p>
            <w:pPr>
              <w:spacing w:after="0"/>
            </w:pPr>
            <w:r/>
            <w:r>
              <w:rPr>
                <w:b w:val="0"/>
              </w:rPr>
              <w:t>Board, CEO, Legal, Compliance, SAB, Risk.</w:t>
            </w:r>
          </w:p>
        </w:tc>
      </w:tr>
      <w:tr>
        <w:tc>
          <w:tcPr>
            <w:tcW w:type="dxa" w:w="3408"/>
            <w:vAlign w:val="top"/>
          </w:tcPr>
          <w:p>
            <w:pPr>
              <w:spacing w:after="0"/>
            </w:pPr>
            <w:r/>
            <w:r>
              <w:rPr>
                <w:b w:val="0"/>
              </w:rPr>
              <w:t>Volume III - Technology &amp; AI</w:t>
            </w:r>
          </w:p>
        </w:tc>
        <w:tc>
          <w:tcPr>
            <w:tcW w:type="dxa" w:w="3408"/>
            <w:vAlign w:val="top"/>
          </w:tcPr>
          <w:p>
            <w:pPr>
              <w:spacing w:after="0"/>
            </w:pPr>
            <w:r/>
            <w:r>
              <w:rPr>
                <w:b w:val="0"/>
              </w:rPr>
              <w:t>Enterprise architecture, AI architecture, cloud, data, APIs and security.</w:t>
            </w:r>
          </w:p>
        </w:tc>
        <w:tc>
          <w:tcPr>
            <w:tcW w:type="dxa" w:w="3408"/>
            <w:vAlign w:val="top"/>
          </w:tcPr>
          <w:p>
            <w:pPr>
              <w:spacing w:after="0"/>
            </w:pPr>
            <w:r/>
            <w:r>
              <w:rPr>
                <w:b w:val="0"/>
              </w:rPr>
              <w:t>CTO, CIO, CISO, AI, engineering.</w:t>
            </w:r>
          </w:p>
        </w:tc>
      </w:tr>
      <w:tr>
        <w:tc>
          <w:tcPr>
            <w:tcW w:type="dxa" w:w="3408"/>
            <w:vAlign w:val="top"/>
          </w:tcPr>
          <w:p>
            <w:pPr>
              <w:spacing w:after="0"/>
            </w:pPr>
            <w:r/>
            <w:r>
              <w:rPr>
                <w:b w:val="0"/>
              </w:rPr>
              <w:t>Volume IV - Products &amp; Engineering</w:t>
            </w:r>
          </w:p>
        </w:tc>
        <w:tc>
          <w:tcPr>
            <w:tcW w:type="dxa" w:w="3408"/>
            <w:vAlign w:val="top"/>
          </w:tcPr>
          <w:p>
            <w:pPr>
              <w:spacing w:after="0"/>
            </w:pPr>
            <w:r/>
            <w:r>
              <w:rPr>
                <w:b w:val="0"/>
              </w:rPr>
              <w:t>Product specifications, journeys, backend, frontend, data models and acceptance standards.</w:t>
            </w:r>
          </w:p>
        </w:tc>
        <w:tc>
          <w:tcPr>
            <w:tcW w:type="dxa" w:w="3408"/>
            <w:vAlign w:val="top"/>
          </w:tcPr>
          <w:p>
            <w:pPr>
              <w:spacing w:after="0"/>
            </w:pPr>
            <w:r/>
            <w:r>
              <w:rPr>
                <w:b w:val="0"/>
              </w:rPr>
              <w:t>Product, design, engineering, QA.</w:t>
            </w:r>
          </w:p>
        </w:tc>
      </w:tr>
      <w:tr>
        <w:tc>
          <w:tcPr>
            <w:tcW w:type="dxa" w:w="3408"/>
            <w:vAlign w:val="top"/>
          </w:tcPr>
          <w:p>
            <w:pPr>
              <w:spacing w:after="0"/>
            </w:pPr>
            <w:r/>
            <w:r>
              <w:rPr>
                <w:b w:val="0"/>
              </w:rPr>
              <w:t>Volume V - Operations &amp; Policies</w:t>
            </w:r>
          </w:p>
        </w:tc>
        <w:tc>
          <w:tcPr>
            <w:tcW w:type="dxa" w:w="3408"/>
            <w:vAlign w:val="top"/>
          </w:tcPr>
          <w:p>
            <w:pPr>
              <w:spacing w:after="0"/>
            </w:pPr>
            <w:r/>
            <w:r>
              <w:rPr>
                <w:b w:val="0"/>
              </w:rPr>
              <w:t>HR, finance, procurement, support, incidents, BCP and SOPs.</w:t>
            </w:r>
          </w:p>
        </w:tc>
        <w:tc>
          <w:tcPr>
            <w:tcW w:type="dxa" w:w="3408"/>
            <w:vAlign w:val="top"/>
          </w:tcPr>
          <w:p>
            <w:pPr>
              <w:spacing w:after="0"/>
            </w:pPr>
            <w:r/>
            <w:r>
              <w:rPr>
                <w:b w:val="0"/>
              </w:rPr>
              <w:t>COO, HR, Finance, Operations.</w:t>
            </w:r>
          </w:p>
        </w:tc>
      </w:tr>
      <w:tr>
        <w:tc>
          <w:tcPr>
            <w:tcW w:type="dxa" w:w="3408"/>
            <w:vAlign w:val="top"/>
          </w:tcPr>
          <w:p>
            <w:pPr>
              <w:spacing w:after="0"/>
            </w:pPr>
            <w:r/>
            <w:r>
              <w:rPr>
                <w:b w:val="0"/>
              </w:rPr>
              <w:t>Volume VI - Research &amp; Appendices</w:t>
            </w:r>
          </w:p>
        </w:tc>
        <w:tc>
          <w:tcPr>
            <w:tcW w:type="dxa" w:w="3408"/>
            <w:vAlign w:val="top"/>
          </w:tcPr>
          <w:p>
            <w:pPr>
              <w:spacing w:after="0"/>
            </w:pPr>
            <w:r/>
            <w:r>
              <w:rPr>
                <w:b w:val="0"/>
              </w:rPr>
              <w:t>Qur'an, Hadith, Seerah, standards, legal references and bibliography.</w:t>
            </w:r>
          </w:p>
        </w:tc>
        <w:tc>
          <w:tcPr>
            <w:tcW w:type="dxa" w:w="3408"/>
            <w:vAlign w:val="top"/>
          </w:tcPr>
          <w:p>
            <w:pPr>
              <w:spacing w:after="0"/>
            </w:pPr>
            <w:r/>
            <w:r>
              <w:rPr>
                <w:b w:val="0"/>
              </w:rPr>
              <w:t>Researchers, auditors, reviewers.</w:t>
            </w:r>
          </w:p>
        </w:tc>
      </w:tr>
    </w:tbl>
    <w:p/>
    <w:p>
      <w:pPr>
        <w:pStyle w:val="Heading1"/>
      </w:pPr>
      <w:r>
        <w:t>Source-Based Regulatory and Standards Anchor</w:t>
      </w:r>
    </w:p>
    <w:p>
      <w:pPr>
        <w:spacing w:after="120" w:line="259" w:lineRule="auto"/>
      </w:pPr>
      <w:r>
        <w:t>The blueprint is anchored in a research posture using official sources where possible. DIFC's Regulation 10 page states that the updated Data Protection Regulations enacted on 1 September 2023 include Regulation 10 on processing personal data through autonomous and semi-autonomous systems, including AI, and frames the regulation as supporting interoperability around principles, ethics and governance. The DIFC Data Protection Law page identifies Law No. 5 of 2020 with enactment and commencement dates, and the UAE legislation portal identifies Federal Decree-Law No. 45 of 2021 on Personal Data Protection as active, issued 20 September 2021 and effective 2 January 2022. ISO describes ISO/IEC 42001:2023 as a management system standard for responsible development and use of AI systems, while ISO/IEC 27001:2022 is the best-known information security management system standard. NIST provides the AI Risk Management Framework as a risk-based reference for trustworthy AI.</w:t>
      </w:r>
    </w:p>
    <w:p>
      <w:r>
        <w:rPr>
          <w:b/>
          <w:color w:val="AD8633"/>
        </w:rPr>
        <w:t>Table SRC-001 - Research Source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Ref</w:t>
            </w:r>
          </w:p>
        </w:tc>
        <w:tc>
          <w:tcPr>
            <w:tcW w:type="dxa" w:w="3408"/>
            <w:vAlign w:val="top"/>
            <w:shd w:fill="0C383F"/>
          </w:tcPr>
          <w:p>
            <w:pPr>
              <w:spacing w:after="0"/>
            </w:pPr>
            <w:r/>
            <w:r>
              <w:rPr>
                <w:b/>
                <w:color w:val="FFFFFF"/>
              </w:rPr>
              <w:t>Source</w:t>
            </w:r>
          </w:p>
        </w:tc>
        <w:tc>
          <w:tcPr>
            <w:tcW w:type="dxa" w:w="3408"/>
            <w:vAlign w:val="top"/>
            <w:shd w:fill="0C383F"/>
          </w:tcPr>
          <w:p>
            <w:pPr>
              <w:spacing w:after="0"/>
            </w:pPr>
            <w:r/>
            <w:r>
              <w:rPr>
                <w:b/>
                <w:color w:val="FFFFFF"/>
              </w:rPr>
              <w:t>Application in Afiyah</w:t>
            </w:r>
          </w:p>
        </w:tc>
      </w:tr>
      <w:tr>
        <w:tc>
          <w:tcPr>
            <w:tcW w:type="dxa" w:w="3408"/>
            <w:vAlign w:val="top"/>
          </w:tcPr>
          <w:p>
            <w:pPr>
              <w:spacing w:after="0"/>
            </w:pPr>
            <w:r/>
            <w:r>
              <w:rPr>
                <w:b w:val="0"/>
              </w:rPr>
              <w:t>SRC-DIFC-DPL</w:t>
            </w:r>
          </w:p>
        </w:tc>
        <w:tc>
          <w:tcPr>
            <w:tcW w:type="dxa" w:w="3408"/>
            <w:vAlign w:val="top"/>
          </w:tcPr>
          <w:p>
            <w:pPr>
              <w:spacing w:after="0"/>
            </w:pPr>
            <w:r/>
            <w:r>
              <w:rPr>
                <w:b w:val="0"/>
              </w:rPr>
              <w:t>DIFC Data Protection Law No. 5 of 2020 legal database page.</w:t>
            </w:r>
          </w:p>
        </w:tc>
        <w:tc>
          <w:tcPr>
            <w:tcW w:type="dxa" w:w="3408"/>
            <w:vAlign w:val="top"/>
          </w:tcPr>
          <w:p>
            <w:pPr>
              <w:spacing w:after="0"/>
            </w:pPr>
            <w:r/>
            <w:r>
              <w:rPr>
                <w:b w:val="0"/>
              </w:rPr>
              <w:t>Privacy governance, data protection, law tracking, local DIFC posture.</w:t>
            </w:r>
          </w:p>
        </w:tc>
      </w:tr>
      <w:tr>
        <w:tc>
          <w:tcPr>
            <w:tcW w:type="dxa" w:w="3408"/>
            <w:vAlign w:val="top"/>
          </w:tcPr>
          <w:p>
            <w:pPr>
              <w:spacing w:after="0"/>
            </w:pPr>
            <w:r/>
            <w:r>
              <w:rPr>
                <w:b w:val="0"/>
              </w:rPr>
              <w:t>SRC-DIFC-R10</w:t>
            </w:r>
          </w:p>
        </w:tc>
        <w:tc>
          <w:tcPr>
            <w:tcW w:type="dxa" w:w="3408"/>
            <w:vAlign w:val="top"/>
          </w:tcPr>
          <w:p>
            <w:pPr>
              <w:spacing w:after="0"/>
            </w:pPr>
            <w:r/>
            <w:r>
              <w:rPr>
                <w:b w:val="0"/>
              </w:rPr>
              <w:t>DIFC Regulation 10 page on autonomous and semi-autonomous systems.</w:t>
            </w:r>
          </w:p>
        </w:tc>
        <w:tc>
          <w:tcPr>
            <w:tcW w:type="dxa" w:w="3408"/>
            <w:vAlign w:val="top"/>
          </w:tcPr>
          <w:p>
            <w:pPr>
              <w:spacing w:after="0"/>
            </w:pPr>
            <w:r/>
            <w:r>
              <w:rPr>
                <w:b w:val="0"/>
              </w:rPr>
              <w:t>AI governance, personal-data processing through AI, interoperability posture.</w:t>
            </w:r>
          </w:p>
        </w:tc>
      </w:tr>
      <w:tr>
        <w:tc>
          <w:tcPr>
            <w:tcW w:type="dxa" w:w="3408"/>
            <w:vAlign w:val="top"/>
          </w:tcPr>
          <w:p>
            <w:pPr>
              <w:spacing w:after="0"/>
            </w:pPr>
            <w:r/>
            <w:r>
              <w:rPr>
                <w:b w:val="0"/>
              </w:rPr>
              <w:t>SRC-UAE-PDPL</w:t>
            </w:r>
          </w:p>
        </w:tc>
        <w:tc>
          <w:tcPr>
            <w:tcW w:type="dxa" w:w="3408"/>
            <w:vAlign w:val="top"/>
          </w:tcPr>
          <w:p>
            <w:pPr>
              <w:spacing w:after="0"/>
            </w:pPr>
            <w:r/>
            <w:r>
              <w:rPr>
                <w:b w:val="0"/>
              </w:rPr>
              <w:t>UAE Federal Decree-Law No. 45 of 2021 concerning Personal Data Protection.</w:t>
            </w:r>
          </w:p>
        </w:tc>
        <w:tc>
          <w:tcPr>
            <w:tcW w:type="dxa" w:w="3408"/>
            <w:vAlign w:val="top"/>
          </w:tcPr>
          <w:p>
            <w:pPr>
              <w:spacing w:after="0"/>
            </w:pPr>
            <w:r/>
            <w:r>
              <w:rPr>
                <w:b w:val="0"/>
              </w:rPr>
              <w:t>UAE personal data protection baseline and data subject rights posture.</w:t>
            </w:r>
          </w:p>
        </w:tc>
      </w:tr>
      <w:tr>
        <w:tc>
          <w:tcPr>
            <w:tcW w:type="dxa" w:w="3408"/>
            <w:vAlign w:val="top"/>
          </w:tcPr>
          <w:p>
            <w:pPr>
              <w:spacing w:after="0"/>
            </w:pPr>
            <w:r/>
            <w:r>
              <w:rPr>
                <w:b w:val="0"/>
              </w:rPr>
              <w:t>SRC-ISO-42001</w:t>
            </w:r>
          </w:p>
        </w:tc>
        <w:tc>
          <w:tcPr>
            <w:tcW w:type="dxa" w:w="3408"/>
            <w:vAlign w:val="top"/>
          </w:tcPr>
          <w:p>
            <w:pPr>
              <w:spacing w:after="0"/>
            </w:pPr>
            <w:r/>
            <w:r>
              <w:rPr>
                <w:b w:val="0"/>
              </w:rPr>
              <w:t>ISO/IEC 42001:2023 AI management system.</w:t>
            </w:r>
          </w:p>
        </w:tc>
        <w:tc>
          <w:tcPr>
            <w:tcW w:type="dxa" w:w="3408"/>
            <w:vAlign w:val="top"/>
          </w:tcPr>
          <w:p>
            <w:pPr>
              <w:spacing w:after="0"/>
            </w:pPr>
            <w:r/>
            <w:r>
              <w:rPr>
                <w:b w:val="0"/>
              </w:rPr>
              <w:t>AI management system, risk and opportunity governance, continuous improvement.</w:t>
            </w:r>
          </w:p>
        </w:tc>
      </w:tr>
      <w:tr>
        <w:tc>
          <w:tcPr>
            <w:tcW w:type="dxa" w:w="3408"/>
            <w:vAlign w:val="top"/>
          </w:tcPr>
          <w:p>
            <w:pPr>
              <w:spacing w:after="0"/>
            </w:pPr>
            <w:r/>
            <w:r>
              <w:rPr>
                <w:b w:val="0"/>
              </w:rPr>
              <w:t>SRC-ISO-27001</w:t>
            </w:r>
          </w:p>
        </w:tc>
        <w:tc>
          <w:tcPr>
            <w:tcW w:type="dxa" w:w="3408"/>
            <w:vAlign w:val="top"/>
          </w:tcPr>
          <w:p>
            <w:pPr>
              <w:spacing w:after="0"/>
            </w:pPr>
            <w:r/>
            <w:r>
              <w:rPr>
                <w:b w:val="0"/>
              </w:rPr>
              <w:t>ISO/IEC 27001:2022 information security management system.</w:t>
            </w:r>
          </w:p>
        </w:tc>
        <w:tc>
          <w:tcPr>
            <w:tcW w:type="dxa" w:w="3408"/>
            <w:vAlign w:val="top"/>
          </w:tcPr>
          <w:p>
            <w:pPr>
              <w:spacing w:after="0"/>
            </w:pPr>
            <w:r/>
            <w:r>
              <w:rPr>
                <w:b w:val="0"/>
              </w:rPr>
              <w:t>Information security, risk-based controls, ISMS roadmap.</w:t>
            </w:r>
          </w:p>
        </w:tc>
      </w:tr>
      <w:tr>
        <w:tc>
          <w:tcPr>
            <w:tcW w:type="dxa" w:w="3408"/>
            <w:vAlign w:val="top"/>
          </w:tcPr>
          <w:p>
            <w:pPr>
              <w:spacing w:after="0"/>
            </w:pPr>
            <w:r/>
            <w:r>
              <w:rPr>
                <w:b w:val="0"/>
              </w:rPr>
              <w:t>SRC-NIST-AI-RMF</w:t>
            </w:r>
          </w:p>
        </w:tc>
        <w:tc>
          <w:tcPr>
            <w:tcW w:type="dxa" w:w="3408"/>
            <w:vAlign w:val="top"/>
          </w:tcPr>
          <w:p>
            <w:pPr>
              <w:spacing w:after="0"/>
            </w:pPr>
            <w:r/>
            <w:r>
              <w:rPr>
                <w:b w:val="0"/>
              </w:rPr>
              <w:t>NIST AI Risk Management Framework.</w:t>
            </w:r>
          </w:p>
        </w:tc>
        <w:tc>
          <w:tcPr>
            <w:tcW w:type="dxa" w:w="3408"/>
            <w:vAlign w:val="top"/>
          </w:tcPr>
          <w:p>
            <w:pPr>
              <w:spacing w:after="0"/>
            </w:pPr>
            <w:r/>
            <w:r>
              <w:rPr>
                <w:b w:val="0"/>
              </w:rPr>
              <w:t>AI lifecycle risk functions: govern, map, measure, manage.</w:t>
            </w:r>
          </w:p>
        </w:tc>
      </w:tr>
      <w:tr>
        <w:tc>
          <w:tcPr>
            <w:tcW w:type="dxa" w:w="3408"/>
            <w:vAlign w:val="top"/>
          </w:tcPr>
          <w:p>
            <w:pPr>
              <w:spacing w:after="0"/>
            </w:pPr>
            <w:r/>
            <w:r>
              <w:rPr>
                <w:b w:val="0"/>
              </w:rPr>
              <w:t>SRC-OECD-AI</w:t>
            </w:r>
          </w:p>
        </w:tc>
        <w:tc>
          <w:tcPr>
            <w:tcW w:type="dxa" w:w="3408"/>
            <w:vAlign w:val="top"/>
          </w:tcPr>
          <w:p>
            <w:pPr>
              <w:spacing w:after="0"/>
            </w:pPr>
            <w:r/>
            <w:r>
              <w:rPr>
                <w:b w:val="0"/>
              </w:rPr>
              <w:t>OECD AI Principles.</w:t>
            </w:r>
          </w:p>
        </w:tc>
        <w:tc>
          <w:tcPr>
            <w:tcW w:type="dxa" w:w="3408"/>
            <w:vAlign w:val="top"/>
          </w:tcPr>
          <w:p>
            <w:pPr>
              <w:spacing w:after="0"/>
            </w:pPr>
            <w:r/>
            <w:r>
              <w:rPr>
                <w:b w:val="0"/>
              </w:rPr>
              <w:t>Human-centred, trustworthy AI principles and public-policy alignment.</w:t>
            </w:r>
          </w:p>
        </w:tc>
      </w:tr>
      <w:tr>
        <w:tc>
          <w:tcPr>
            <w:tcW w:type="dxa" w:w="3408"/>
            <w:vAlign w:val="top"/>
          </w:tcPr>
          <w:p>
            <w:pPr>
              <w:spacing w:after="0"/>
            </w:pPr>
            <w:r/>
            <w:r>
              <w:rPr>
                <w:b w:val="0"/>
              </w:rPr>
              <w:t>SRC-DUBAI-AI-SEAL</w:t>
            </w:r>
          </w:p>
        </w:tc>
        <w:tc>
          <w:tcPr>
            <w:tcW w:type="dxa" w:w="3408"/>
            <w:vAlign w:val="top"/>
          </w:tcPr>
          <w:p>
            <w:pPr>
              <w:spacing w:after="0"/>
            </w:pPr>
            <w:r/>
            <w:r>
              <w:rPr>
                <w:b w:val="0"/>
              </w:rPr>
              <w:t>Dubai AI Seal official page.</w:t>
            </w:r>
          </w:p>
        </w:tc>
        <w:tc>
          <w:tcPr>
            <w:tcW w:type="dxa" w:w="3408"/>
            <w:vAlign w:val="top"/>
          </w:tcPr>
          <w:p>
            <w:pPr>
              <w:spacing w:after="0"/>
            </w:pPr>
            <w:r/>
            <w:r>
              <w:rPr>
                <w:b w:val="0"/>
              </w:rPr>
              <w:t>Dubai AI ecosystem and external credibility pathway.</w:t>
            </w:r>
          </w:p>
        </w:tc>
      </w:tr>
    </w:tbl>
    <w:p/>
    <w:p>
      <w:pPr>
        <w:pStyle w:val="Heading1"/>
      </w:pPr>
      <w:r>
        <w:t>Part I - Constitutional Operating Model</w:t>
      </w:r>
    </w:p>
    <w:p>
      <w:pPr>
        <w:pStyle w:val="Heading2"/>
      </w:pPr>
      <w:r>
        <w:t>Article COM-001 - Institutional Supremacy</w:t>
      </w:r>
    </w:p>
    <w:p>
      <w:pPr>
        <w:spacing w:after="120" w:line="259" w:lineRule="auto"/>
      </w:pPr>
      <w:r>
        <w:t>Afiyah's technology, AI systems, policies and products must be governed by the Constitution. Software does not define policy. Policy defines software. Architecture does not define mission. Mission defines architecture. Where operational convenience conflicts with constitutional principle, the proposal must be redesigned, escalated or rejected.</w:t>
      </w:r>
    </w:p>
    <w:p>
      <w:r>
        <w:rPr>
          <w:b/>
          <w:color w:val="AD8633"/>
        </w:rPr>
        <w:t>Table COM-T01 - Constitutional Principle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Principle</w:t>
            </w:r>
          </w:p>
        </w:tc>
        <w:tc>
          <w:tcPr>
            <w:tcW w:type="dxa" w:w="2556"/>
            <w:vAlign w:val="top"/>
            <w:shd w:fill="0C383F"/>
          </w:tcPr>
          <w:p>
            <w:pPr>
              <w:spacing w:after="0"/>
            </w:pPr>
            <w:r/>
            <w:r>
              <w:rPr>
                <w:b/>
                <w:color w:val="FFFFFF"/>
              </w:rPr>
              <w:t>Arabic</w:t>
            </w:r>
          </w:p>
        </w:tc>
        <w:tc>
          <w:tcPr>
            <w:tcW w:type="dxa" w:w="2556"/>
            <w:vAlign w:val="top"/>
            <w:shd w:fill="0C383F"/>
          </w:tcPr>
          <w:p>
            <w:pPr>
              <w:spacing w:after="0"/>
            </w:pPr>
            <w:r/>
            <w:r>
              <w:rPr>
                <w:b/>
                <w:color w:val="FFFFFF"/>
              </w:rPr>
              <w:t>Institutional Meaning</w:t>
            </w:r>
          </w:p>
        </w:tc>
        <w:tc>
          <w:tcPr>
            <w:tcW w:type="dxa" w:w="2556"/>
            <w:vAlign w:val="top"/>
            <w:shd w:fill="0C383F"/>
          </w:tcPr>
          <w:p>
            <w:pPr>
              <w:spacing w:after="0"/>
            </w:pPr>
            <w:r/>
            <w:r>
              <w:rPr>
                <w:b/>
                <w:color w:val="FFFFFF"/>
              </w:rPr>
              <w:t>Technology Meaning</w:t>
            </w:r>
          </w:p>
        </w:tc>
      </w:tr>
      <w:tr>
        <w:tc>
          <w:tcPr>
            <w:tcW w:type="dxa" w:w="2556"/>
            <w:vAlign w:val="top"/>
          </w:tcPr>
          <w:p>
            <w:pPr>
              <w:spacing w:after="0"/>
            </w:pPr>
            <w:r/>
            <w:r>
              <w:rPr>
                <w:b w:val="0"/>
              </w:rPr>
              <w:t>Niyyah</w:t>
            </w:r>
          </w:p>
        </w:tc>
        <w:tc>
          <w:tcPr>
            <w:tcW w:type="dxa" w:w="2556"/>
            <w:vAlign w:val="top"/>
          </w:tcPr>
          <w:p>
            <w:pPr>
              <w:spacing w:after="0"/>
            </w:pPr>
            <w:r/>
            <w:r>
              <w:rPr>
                <w:b w:val="0"/>
              </w:rPr>
              <w:t>النية</w:t>
            </w:r>
          </w:p>
        </w:tc>
        <w:tc>
          <w:tcPr>
            <w:tcW w:type="dxa" w:w="2556"/>
            <w:vAlign w:val="top"/>
          </w:tcPr>
          <w:p>
            <w:pPr>
              <w:spacing w:after="0"/>
            </w:pPr>
            <w:r/>
            <w:r>
              <w:rPr>
                <w:b w:val="0"/>
              </w:rPr>
              <w:t>Every decision begins with sincere purpose.</w:t>
            </w:r>
          </w:p>
        </w:tc>
        <w:tc>
          <w:tcPr>
            <w:tcW w:type="dxa" w:w="2556"/>
            <w:vAlign w:val="top"/>
          </w:tcPr>
          <w:p>
            <w:pPr>
              <w:spacing w:after="0"/>
            </w:pPr>
            <w:r/>
            <w:r>
              <w:rPr>
                <w:b w:val="0"/>
              </w:rPr>
              <w:t>Every feature has a documented purpose and harm assessment.</w:t>
            </w:r>
          </w:p>
        </w:tc>
      </w:tr>
      <w:tr>
        <w:tc>
          <w:tcPr>
            <w:tcW w:type="dxa" w:w="2556"/>
            <w:vAlign w:val="top"/>
          </w:tcPr>
          <w:p>
            <w:pPr>
              <w:spacing w:after="0"/>
            </w:pPr>
            <w:r/>
            <w:r>
              <w:rPr>
                <w:b w:val="0"/>
              </w:rPr>
              <w:t>Afiyah</w:t>
            </w:r>
          </w:p>
        </w:tc>
        <w:tc>
          <w:tcPr>
            <w:tcW w:type="dxa" w:w="2556"/>
            <w:vAlign w:val="top"/>
          </w:tcPr>
          <w:p>
            <w:pPr>
              <w:spacing w:after="0"/>
            </w:pPr>
            <w:r/>
            <w:r>
              <w:rPr>
                <w:b w:val="0"/>
              </w:rPr>
              <w:t>العافية</w:t>
            </w:r>
          </w:p>
        </w:tc>
        <w:tc>
          <w:tcPr>
            <w:tcW w:type="dxa" w:w="2556"/>
            <w:vAlign w:val="top"/>
          </w:tcPr>
          <w:p>
            <w:pPr>
              <w:spacing w:after="0"/>
            </w:pPr>
            <w:r/>
            <w:r>
              <w:rPr>
                <w:b w:val="0"/>
              </w:rPr>
              <w:t>Holistic wellbeing and human flourishing.</w:t>
            </w:r>
          </w:p>
        </w:tc>
        <w:tc>
          <w:tcPr>
            <w:tcW w:type="dxa" w:w="2556"/>
            <w:vAlign w:val="top"/>
          </w:tcPr>
          <w:p>
            <w:pPr>
              <w:spacing w:after="0"/>
            </w:pPr>
            <w:r/>
            <w:r>
              <w:rPr>
                <w:b w:val="0"/>
              </w:rPr>
              <w:t>Technology must improve wellbeing rather than addiction or anxiety.</w:t>
            </w:r>
          </w:p>
        </w:tc>
      </w:tr>
      <w:tr>
        <w:tc>
          <w:tcPr>
            <w:tcW w:type="dxa" w:w="2556"/>
            <w:vAlign w:val="top"/>
          </w:tcPr>
          <w:p>
            <w:pPr>
              <w:spacing w:after="0"/>
            </w:pPr>
            <w:r/>
            <w:r>
              <w:rPr>
                <w:b w:val="0"/>
              </w:rPr>
              <w:t>Adl</w:t>
            </w:r>
          </w:p>
        </w:tc>
        <w:tc>
          <w:tcPr>
            <w:tcW w:type="dxa" w:w="2556"/>
            <w:vAlign w:val="top"/>
          </w:tcPr>
          <w:p>
            <w:pPr>
              <w:spacing w:after="0"/>
            </w:pPr>
            <w:r/>
            <w:r>
              <w:rPr>
                <w:b w:val="0"/>
              </w:rPr>
              <w:t>العدل</w:t>
            </w:r>
          </w:p>
        </w:tc>
        <w:tc>
          <w:tcPr>
            <w:tcW w:type="dxa" w:w="2556"/>
            <w:vAlign w:val="top"/>
          </w:tcPr>
          <w:p>
            <w:pPr>
              <w:spacing w:after="0"/>
            </w:pPr>
            <w:r/>
            <w:r>
              <w:rPr>
                <w:b w:val="0"/>
              </w:rPr>
              <w:t>Justice, fairness and due rights.</w:t>
            </w:r>
          </w:p>
        </w:tc>
        <w:tc>
          <w:tcPr>
            <w:tcW w:type="dxa" w:w="2556"/>
            <w:vAlign w:val="top"/>
          </w:tcPr>
          <w:p>
            <w:pPr>
              <w:spacing w:after="0"/>
            </w:pPr>
            <w:r/>
            <w:r>
              <w:rPr>
                <w:b w:val="0"/>
              </w:rPr>
              <w:t>Accessible design, bias testing, fair pricing and equitable access.</w:t>
            </w:r>
          </w:p>
        </w:tc>
      </w:tr>
      <w:tr>
        <w:tc>
          <w:tcPr>
            <w:tcW w:type="dxa" w:w="2556"/>
            <w:vAlign w:val="top"/>
          </w:tcPr>
          <w:p>
            <w:pPr>
              <w:spacing w:after="0"/>
            </w:pPr>
            <w:r/>
            <w:r>
              <w:rPr>
                <w:b w:val="0"/>
              </w:rPr>
              <w:t>Amanah</w:t>
            </w:r>
          </w:p>
        </w:tc>
        <w:tc>
          <w:tcPr>
            <w:tcW w:type="dxa" w:w="2556"/>
            <w:vAlign w:val="top"/>
          </w:tcPr>
          <w:p>
            <w:pPr>
              <w:spacing w:after="0"/>
            </w:pPr>
            <w:r/>
            <w:r>
              <w:rPr>
                <w:b w:val="0"/>
              </w:rPr>
              <w:t>الأمانة</w:t>
            </w:r>
          </w:p>
        </w:tc>
        <w:tc>
          <w:tcPr>
            <w:tcW w:type="dxa" w:w="2556"/>
            <w:vAlign w:val="top"/>
          </w:tcPr>
          <w:p>
            <w:pPr>
              <w:spacing w:after="0"/>
            </w:pPr>
            <w:r/>
            <w:r>
              <w:rPr>
                <w:b w:val="0"/>
              </w:rPr>
              <w:t>Trust, safekeeping and stewardship.</w:t>
            </w:r>
          </w:p>
        </w:tc>
        <w:tc>
          <w:tcPr>
            <w:tcW w:type="dxa" w:w="2556"/>
            <w:vAlign w:val="top"/>
          </w:tcPr>
          <w:p>
            <w:pPr>
              <w:spacing w:after="0"/>
            </w:pPr>
            <w:r/>
            <w:r>
              <w:rPr>
                <w:b w:val="0"/>
              </w:rPr>
              <w:t>Privacy, security, consent, auditability and responsible data custody.</w:t>
            </w:r>
          </w:p>
        </w:tc>
      </w:tr>
      <w:tr>
        <w:tc>
          <w:tcPr>
            <w:tcW w:type="dxa" w:w="2556"/>
            <w:vAlign w:val="top"/>
          </w:tcPr>
          <w:p>
            <w:pPr>
              <w:spacing w:after="0"/>
            </w:pPr>
            <w:r/>
            <w:r>
              <w:rPr>
                <w:b w:val="0"/>
              </w:rPr>
              <w:t>Deen</w:t>
            </w:r>
          </w:p>
        </w:tc>
        <w:tc>
          <w:tcPr>
            <w:tcW w:type="dxa" w:w="2556"/>
            <w:vAlign w:val="top"/>
          </w:tcPr>
          <w:p>
            <w:pPr>
              <w:spacing w:after="0"/>
            </w:pPr>
            <w:r/>
            <w:r>
              <w:rPr>
                <w:b w:val="0"/>
              </w:rPr>
              <w:t>الدين</w:t>
            </w:r>
          </w:p>
        </w:tc>
        <w:tc>
          <w:tcPr>
            <w:tcW w:type="dxa" w:w="2556"/>
            <w:vAlign w:val="top"/>
          </w:tcPr>
          <w:p>
            <w:pPr>
              <w:spacing w:after="0"/>
            </w:pPr>
            <w:r/>
            <w:r>
              <w:rPr>
                <w:b w:val="0"/>
              </w:rPr>
              <w:t>Faith as a way of life.</w:t>
            </w:r>
          </w:p>
        </w:tc>
        <w:tc>
          <w:tcPr>
            <w:tcW w:type="dxa" w:w="2556"/>
            <w:vAlign w:val="top"/>
          </w:tcPr>
          <w:p>
            <w:pPr>
              <w:spacing w:after="0"/>
            </w:pPr>
            <w:r/>
            <w:r>
              <w:rPr>
                <w:b w:val="0"/>
              </w:rPr>
              <w:t>AI educates and references; it does not issue fatwa.</w:t>
            </w:r>
          </w:p>
        </w:tc>
      </w:tr>
      <w:tr>
        <w:tc>
          <w:tcPr>
            <w:tcW w:type="dxa" w:w="2556"/>
            <w:vAlign w:val="top"/>
          </w:tcPr>
          <w:p>
            <w:pPr>
              <w:spacing w:after="0"/>
            </w:pPr>
            <w:r/>
            <w:r>
              <w:rPr>
                <w:b w:val="0"/>
              </w:rPr>
              <w:t>Ihsan</w:t>
            </w:r>
          </w:p>
        </w:tc>
        <w:tc>
          <w:tcPr>
            <w:tcW w:type="dxa" w:w="2556"/>
            <w:vAlign w:val="top"/>
          </w:tcPr>
          <w:p>
            <w:pPr>
              <w:spacing w:after="0"/>
            </w:pPr>
            <w:r/>
            <w:r>
              <w:rPr>
                <w:b w:val="0"/>
              </w:rPr>
              <w:t>الإحسان</w:t>
            </w:r>
          </w:p>
        </w:tc>
        <w:tc>
          <w:tcPr>
            <w:tcW w:type="dxa" w:w="2556"/>
            <w:vAlign w:val="top"/>
          </w:tcPr>
          <w:p>
            <w:pPr>
              <w:spacing w:after="0"/>
            </w:pPr>
            <w:r/>
            <w:r>
              <w:rPr>
                <w:b w:val="0"/>
              </w:rPr>
              <w:t>Excellence and beauty in execution.</w:t>
            </w:r>
          </w:p>
        </w:tc>
        <w:tc>
          <w:tcPr>
            <w:tcW w:type="dxa" w:w="2556"/>
            <w:vAlign w:val="top"/>
          </w:tcPr>
          <w:p>
            <w:pPr>
              <w:spacing w:after="0"/>
            </w:pPr>
            <w:r/>
            <w:r>
              <w:rPr>
                <w:b w:val="0"/>
              </w:rPr>
              <w:t>High-quality engineering, design, testing and continuous improvement.</w:t>
            </w:r>
          </w:p>
        </w:tc>
      </w:tr>
      <w:tr>
        <w:tc>
          <w:tcPr>
            <w:tcW w:type="dxa" w:w="2556"/>
            <w:vAlign w:val="top"/>
          </w:tcPr>
          <w:p>
            <w:pPr>
              <w:spacing w:after="0"/>
            </w:pPr>
            <w:r/>
            <w:r>
              <w:rPr>
                <w:b w:val="0"/>
              </w:rPr>
              <w:t>Barakah</w:t>
            </w:r>
          </w:p>
        </w:tc>
        <w:tc>
          <w:tcPr>
            <w:tcW w:type="dxa" w:w="2556"/>
            <w:vAlign w:val="top"/>
          </w:tcPr>
          <w:p>
            <w:pPr>
              <w:spacing w:after="0"/>
            </w:pPr>
            <w:r/>
            <w:r>
              <w:rPr>
                <w:b w:val="0"/>
              </w:rPr>
              <w:t>البركة</w:t>
            </w:r>
          </w:p>
        </w:tc>
        <w:tc>
          <w:tcPr>
            <w:tcW w:type="dxa" w:w="2556"/>
            <w:vAlign w:val="top"/>
          </w:tcPr>
          <w:p>
            <w:pPr>
              <w:spacing w:after="0"/>
            </w:pPr>
            <w:r/>
            <w:r>
              <w:rPr>
                <w:b w:val="0"/>
              </w:rPr>
              <w:t>Sustainable benefit beyond extraction.</w:t>
            </w:r>
          </w:p>
        </w:tc>
        <w:tc>
          <w:tcPr>
            <w:tcW w:type="dxa" w:w="2556"/>
            <w:vAlign w:val="top"/>
          </w:tcPr>
          <w:p>
            <w:pPr>
              <w:spacing w:after="0"/>
            </w:pPr>
            <w:r/>
            <w:r>
              <w:rPr>
                <w:b w:val="0"/>
              </w:rPr>
              <w:t>Metrics reward lasting value, not addictive engagement.</w:t>
            </w:r>
          </w:p>
        </w:tc>
      </w:tr>
      <w:tr>
        <w:tc>
          <w:tcPr>
            <w:tcW w:type="dxa" w:w="2556"/>
            <w:vAlign w:val="top"/>
          </w:tcPr>
          <w:p>
            <w:pPr>
              <w:spacing w:after="0"/>
            </w:pPr>
            <w:r/>
            <w:r>
              <w:rPr>
                <w:b w:val="0"/>
              </w:rPr>
              <w:t>Sadaqah</w:t>
            </w:r>
          </w:p>
        </w:tc>
        <w:tc>
          <w:tcPr>
            <w:tcW w:type="dxa" w:w="2556"/>
            <w:vAlign w:val="top"/>
          </w:tcPr>
          <w:p>
            <w:pPr>
              <w:spacing w:after="0"/>
            </w:pPr>
            <w:r/>
            <w:r>
              <w:rPr>
                <w:b w:val="0"/>
              </w:rPr>
              <w:t>الصدقة</w:t>
            </w:r>
          </w:p>
        </w:tc>
        <w:tc>
          <w:tcPr>
            <w:tcW w:type="dxa" w:w="2556"/>
            <w:vAlign w:val="top"/>
          </w:tcPr>
          <w:p>
            <w:pPr>
              <w:spacing w:after="0"/>
            </w:pPr>
            <w:r/>
            <w:r>
              <w:rPr>
                <w:b w:val="0"/>
              </w:rPr>
              <w:t>Giving without expectation.</w:t>
            </w:r>
          </w:p>
        </w:tc>
        <w:tc>
          <w:tcPr>
            <w:tcW w:type="dxa" w:w="2556"/>
            <w:vAlign w:val="top"/>
          </w:tcPr>
          <w:p>
            <w:pPr>
              <w:spacing w:after="0"/>
            </w:pPr>
            <w:r/>
            <w:r>
              <w:rPr>
                <w:b w:val="0"/>
              </w:rPr>
              <w:t>Knowledge, opportunity and impact must circulate beyond the paying user.</w:t>
            </w:r>
          </w:p>
        </w:tc>
      </w:tr>
    </w:tbl>
    <w:p/>
    <w:p>
      <w:pPr>
        <w:pStyle w:val="Heading2"/>
      </w:pPr>
      <w:r>
        <w:t>Article COM-002 - Constitutional Traceability</w:t>
      </w:r>
    </w:p>
    <w:p>
      <w:pPr>
        <w:spacing w:after="120" w:line="259" w:lineRule="auto"/>
      </w:pPr>
      <w:r>
        <w:t>Every artefact shall carry a unique identifier, owner, version, review date and constitutional mapping. This applies to policies, SOPs, architecture diagrams, APIs, database tables, AI agents, model cards, product specifications, research reports, board papers and incident records.</w:t>
      </w:r>
    </w:p>
    <w:p>
      <w:r>
        <w:rPr>
          <w:b/>
          <w:color w:val="AD8633"/>
        </w:rPr>
        <w:t>Table COM-T02 - Mandatory Artefact Metadata</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C383F"/>
          </w:tcPr>
          <w:p>
            <w:pPr>
              <w:spacing w:after="0"/>
            </w:pPr>
            <w:r/>
            <w:r>
              <w:rPr>
                <w:b/>
                <w:color w:val="FFFFFF"/>
              </w:rPr>
              <w:t>Metadata Field</w:t>
            </w:r>
          </w:p>
        </w:tc>
        <w:tc>
          <w:tcPr>
            <w:tcW w:type="dxa" w:w="5112"/>
            <w:vAlign w:val="top"/>
            <w:shd w:fill="0C383F"/>
          </w:tcPr>
          <w:p>
            <w:pPr>
              <w:spacing w:after="0"/>
            </w:pPr>
            <w:r/>
            <w:r>
              <w:rPr>
                <w:b/>
                <w:color w:val="FFFFFF"/>
              </w:rPr>
              <w:t>Requirement</w:t>
            </w:r>
          </w:p>
        </w:tc>
      </w:tr>
      <w:tr>
        <w:tc>
          <w:tcPr>
            <w:tcW w:type="dxa" w:w="5112"/>
            <w:vAlign w:val="top"/>
          </w:tcPr>
          <w:p>
            <w:pPr>
              <w:spacing w:after="0"/>
            </w:pPr>
            <w:r/>
            <w:r>
              <w:rPr>
                <w:b w:val="0"/>
              </w:rPr>
              <w:t>Identifier</w:t>
            </w:r>
          </w:p>
        </w:tc>
        <w:tc>
          <w:tcPr>
            <w:tcW w:type="dxa" w:w="5112"/>
            <w:vAlign w:val="top"/>
          </w:tcPr>
          <w:p>
            <w:pPr>
              <w:spacing w:after="0"/>
            </w:pPr>
            <w:r/>
            <w:r>
              <w:rPr>
                <w:b w:val="0"/>
              </w:rPr>
              <w:t>Stable ID using domain prefix, e.g., AIOS-AI-AGT-001.</w:t>
            </w:r>
          </w:p>
        </w:tc>
      </w:tr>
      <w:tr>
        <w:tc>
          <w:tcPr>
            <w:tcW w:type="dxa" w:w="5112"/>
            <w:vAlign w:val="top"/>
          </w:tcPr>
          <w:p>
            <w:pPr>
              <w:spacing w:after="0"/>
            </w:pPr>
            <w:r/>
            <w:r>
              <w:rPr>
                <w:b w:val="0"/>
              </w:rPr>
              <w:t>Owner</w:t>
            </w:r>
          </w:p>
        </w:tc>
        <w:tc>
          <w:tcPr>
            <w:tcW w:type="dxa" w:w="5112"/>
            <w:vAlign w:val="top"/>
          </w:tcPr>
          <w:p>
            <w:pPr>
              <w:spacing w:after="0"/>
            </w:pPr>
            <w:r/>
            <w:r>
              <w:rPr>
                <w:b w:val="0"/>
              </w:rPr>
              <w:t>Accountable person or role, not a generic team.</w:t>
            </w:r>
          </w:p>
        </w:tc>
      </w:tr>
      <w:tr>
        <w:tc>
          <w:tcPr>
            <w:tcW w:type="dxa" w:w="5112"/>
            <w:vAlign w:val="top"/>
          </w:tcPr>
          <w:p>
            <w:pPr>
              <w:spacing w:after="0"/>
            </w:pPr>
            <w:r/>
            <w:r>
              <w:rPr>
                <w:b w:val="0"/>
              </w:rPr>
              <w:t>Custodian</w:t>
            </w:r>
          </w:p>
        </w:tc>
        <w:tc>
          <w:tcPr>
            <w:tcW w:type="dxa" w:w="5112"/>
            <w:vAlign w:val="top"/>
          </w:tcPr>
          <w:p>
            <w:pPr>
              <w:spacing w:after="0"/>
            </w:pPr>
            <w:r/>
            <w:r>
              <w:rPr>
                <w:b w:val="0"/>
              </w:rPr>
              <w:t>Operational maintainer, typically technology or governance function.</w:t>
            </w:r>
          </w:p>
        </w:tc>
      </w:tr>
      <w:tr>
        <w:tc>
          <w:tcPr>
            <w:tcW w:type="dxa" w:w="5112"/>
            <w:vAlign w:val="top"/>
          </w:tcPr>
          <w:p>
            <w:pPr>
              <w:spacing w:after="0"/>
            </w:pPr>
            <w:r/>
            <w:r>
              <w:rPr>
                <w:b w:val="0"/>
              </w:rPr>
              <w:t>Version</w:t>
            </w:r>
          </w:p>
        </w:tc>
        <w:tc>
          <w:tcPr>
            <w:tcW w:type="dxa" w:w="5112"/>
            <w:vAlign w:val="top"/>
          </w:tcPr>
          <w:p>
            <w:pPr>
              <w:spacing w:after="0"/>
            </w:pPr>
            <w:r/>
            <w:r>
              <w:rPr>
                <w:b w:val="0"/>
              </w:rPr>
              <w:t>Semantic or controlled version number.</w:t>
            </w:r>
          </w:p>
        </w:tc>
      </w:tr>
      <w:tr>
        <w:tc>
          <w:tcPr>
            <w:tcW w:type="dxa" w:w="5112"/>
            <w:vAlign w:val="top"/>
          </w:tcPr>
          <w:p>
            <w:pPr>
              <w:spacing w:after="0"/>
            </w:pPr>
            <w:r/>
            <w:r>
              <w:rPr>
                <w:b w:val="0"/>
              </w:rPr>
              <w:t>Classification</w:t>
            </w:r>
          </w:p>
        </w:tc>
        <w:tc>
          <w:tcPr>
            <w:tcW w:type="dxa" w:w="5112"/>
            <w:vAlign w:val="top"/>
          </w:tcPr>
          <w:p>
            <w:pPr>
              <w:spacing w:after="0"/>
            </w:pPr>
            <w:r/>
            <w:r>
              <w:rPr>
                <w:b w:val="0"/>
              </w:rPr>
              <w:t>Public, Internal, Confidential, Restricted.</w:t>
            </w:r>
          </w:p>
        </w:tc>
      </w:tr>
      <w:tr>
        <w:tc>
          <w:tcPr>
            <w:tcW w:type="dxa" w:w="5112"/>
            <w:vAlign w:val="top"/>
          </w:tcPr>
          <w:p>
            <w:pPr>
              <w:spacing w:after="0"/>
            </w:pPr>
            <w:r/>
            <w:r>
              <w:rPr>
                <w:b w:val="0"/>
              </w:rPr>
              <w:t>Constitutional Mapping</w:t>
            </w:r>
          </w:p>
        </w:tc>
        <w:tc>
          <w:tcPr>
            <w:tcW w:type="dxa" w:w="5112"/>
            <w:vAlign w:val="top"/>
          </w:tcPr>
          <w:p>
            <w:pPr>
              <w:spacing w:after="0"/>
            </w:pPr>
            <w:r/>
            <w:r>
              <w:rPr>
                <w:b w:val="0"/>
              </w:rPr>
              <w:t>At least one constitutional principle.</w:t>
            </w:r>
          </w:p>
        </w:tc>
      </w:tr>
      <w:tr>
        <w:tc>
          <w:tcPr>
            <w:tcW w:type="dxa" w:w="5112"/>
            <w:vAlign w:val="top"/>
          </w:tcPr>
          <w:p>
            <w:pPr>
              <w:spacing w:after="0"/>
            </w:pPr>
            <w:r/>
            <w:r>
              <w:rPr>
                <w:b w:val="0"/>
              </w:rPr>
              <w:t>Maqasid Mapping</w:t>
            </w:r>
          </w:p>
        </w:tc>
        <w:tc>
          <w:tcPr>
            <w:tcW w:type="dxa" w:w="5112"/>
            <w:vAlign w:val="top"/>
          </w:tcPr>
          <w:p>
            <w:pPr>
              <w:spacing w:after="0"/>
            </w:pPr>
            <w:r/>
            <w:r>
              <w:rPr>
                <w:b w:val="0"/>
              </w:rPr>
              <w:t>Faith, life, intellect, lineage/family, wealth, dignity, as applicable.</w:t>
            </w:r>
          </w:p>
        </w:tc>
      </w:tr>
      <w:tr>
        <w:tc>
          <w:tcPr>
            <w:tcW w:type="dxa" w:w="5112"/>
            <w:vAlign w:val="top"/>
          </w:tcPr>
          <w:p>
            <w:pPr>
              <w:spacing w:after="0"/>
            </w:pPr>
            <w:r/>
            <w:r>
              <w:rPr>
                <w:b w:val="0"/>
              </w:rPr>
              <w:t>Legal/Regulatory Mapping</w:t>
            </w:r>
          </w:p>
        </w:tc>
        <w:tc>
          <w:tcPr>
            <w:tcW w:type="dxa" w:w="5112"/>
            <w:vAlign w:val="top"/>
          </w:tcPr>
          <w:p>
            <w:pPr>
              <w:spacing w:after="0"/>
            </w:pPr>
            <w:r/>
            <w:r>
              <w:rPr>
                <w:b w:val="0"/>
              </w:rPr>
              <w:t>Jurisdiction and requirement register reference.</w:t>
            </w:r>
          </w:p>
        </w:tc>
      </w:tr>
      <w:tr>
        <w:tc>
          <w:tcPr>
            <w:tcW w:type="dxa" w:w="5112"/>
            <w:vAlign w:val="top"/>
          </w:tcPr>
          <w:p>
            <w:pPr>
              <w:spacing w:after="0"/>
            </w:pPr>
            <w:r/>
            <w:r>
              <w:rPr>
                <w:b w:val="0"/>
              </w:rPr>
              <w:t>Review Date</w:t>
            </w:r>
          </w:p>
        </w:tc>
        <w:tc>
          <w:tcPr>
            <w:tcW w:type="dxa" w:w="5112"/>
            <w:vAlign w:val="top"/>
          </w:tcPr>
          <w:p>
            <w:pPr>
              <w:spacing w:after="0"/>
            </w:pPr>
            <w:r/>
            <w:r>
              <w:rPr>
                <w:b w:val="0"/>
              </w:rPr>
              <w:t>Defined by risk classification.</w:t>
            </w:r>
          </w:p>
        </w:tc>
      </w:tr>
      <w:tr>
        <w:tc>
          <w:tcPr>
            <w:tcW w:type="dxa" w:w="5112"/>
            <w:vAlign w:val="top"/>
          </w:tcPr>
          <w:p>
            <w:pPr>
              <w:spacing w:after="0"/>
            </w:pPr>
            <w:r/>
            <w:r>
              <w:rPr>
                <w:b w:val="0"/>
              </w:rPr>
              <w:t>Change History</w:t>
            </w:r>
          </w:p>
        </w:tc>
        <w:tc>
          <w:tcPr>
            <w:tcW w:type="dxa" w:w="5112"/>
            <w:vAlign w:val="top"/>
          </w:tcPr>
          <w:p>
            <w:pPr>
              <w:spacing w:after="0"/>
            </w:pPr>
            <w:r/>
            <w:r>
              <w:rPr>
                <w:b w:val="0"/>
              </w:rPr>
              <w:t>Why it changed and who approved it.</w:t>
            </w:r>
          </w:p>
        </w:tc>
      </w:tr>
    </w:tbl>
    <w:p/>
    <w:p>
      <w:pPr>
        <w:pStyle w:val="Heading1"/>
      </w:pPr>
      <w:r>
        <w:t>Part II - Governance &amp; Law</w:t>
      </w:r>
    </w:p>
    <w:p>
      <w:pPr>
        <w:pStyle w:val="Heading2"/>
      </w:pPr>
      <w:r>
        <w:t>Article GOV-001 - Board Governance</w:t>
      </w:r>
    </w:p>
    <w:p>
      <w:pPr>
        <w:spacing w:after="120" w:line="259" w:lineRule="auto"/>
      </w:pPr>
      <w:r>
        <w:t>The Board governs the institution. Management executes. The Board shall protect the Constitution, approve strategy, set risk appetite, oversee executive leadership, approve material policies, review AI governance, ensure Shariah governance, and receive independent assurance. The Board shall not treat AI, privacy, cybersecurity, Shariah governance or data governance as technical afterthoughts. They are board-level trust matters.</w:t>
      </w:r>
    </w:p>
    <w:p>
      <w:r>
        <w:rPr>
          <w:b/>
          <w:color w:val="AD8633"/>
        </w:rPr>
        <w:t>Table GOV-T01 - Board Reserved Matters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C383F"/>
          </w:tcPr>
          <w:p>
            <w:pPr>
              <w:spacing w:after="0"/>
            </w:pPr>
            <w:r/>
            <w:r>
              <w:rPr>
                <w:b/>
                <w:color w:val="FFFFFF"/>
              </w:rPr>
              <w:t>Reserved Matter</w:t>
            </w:r>
          </w:p>
        </w:tc>
        <w:tc>
          <w:tcPr>
            <w:tcW w:type="dxa" w:w="5112"/>
            <w:vAlign w:val="top"/>
            <w:shd w:fill="0C383F"/>
          </w:tcPr>
          <w:p>
            <w:pPr>
              <w:spacing w:after="0"/>
            </w:pPr>
            <w:r/>
            <w:r>
              <w:rPr>
                <w:b/>
                <w:color w:val="FFFFFF"/>
              </w:rPr>
              <w:t>Minimum Evidence</w:t>
            </w:r>
          </w:p>
        </w:tc>
      </w:tr>
      <w:tr>
        <w:tc>
          <w:tcPr>
            <w:tcW w:type="dxa" w:w="5112"/>
            <w:vAlign w:val="top"/>
          </w:tcPr>
          <w:p>
            <w:pPr>
              <w:spacing w:after="0"/>
            </w:pPr>
            <w:r/>
            <w:r>
              <w:rPr>
                <w:b w:val="0"/>
              </w:rPr>
              <w:t>Constitutional amendments</w:t>
            </w:r>
          </w:p>
        </w:tc>
        <w:tc>
          <w:tcPr>
            <w:tcW w:type="dxa" w:w="5112"/>
            <w:vAlign w:val="top"/>
          </w:tcPr>
          <w:p>
            <w:pPr>
              <w:spacing w:after="0"/>
            </w:pPr>
            <w:r/>
            <w:r>
              <w:rPr>
                <w:b w:val="0"/>
              </w:rPr>
              <w:t>Board resolution, change rationale, impact assessment.</w:t>
            </w:r>
          </w:p>
        </w:tc>
      </w:tr>
      <w:tr>
        <w:tc>
          <w:tcPr>
            <w:tcW w:type="dxa" w:w="5112"/>
            <w:vAlign w:val="top"/>
          </w:tcPr>
          <w:p>
            <w:pPr>
              <w:spacing w:after="0"/>
            </w:pPr>
            <w:r/>
            <w:r>
              <w:rPr>
                <w:b w:val="0"/>
              </w:rPr>
              <w:t>Risk appetite statement</w:t>
            </w:r>
          </w:p>
        </w:tc>
        <w:tc>
          <w:tcPr>
            <w:tcW w:type="dxa" w:w="5112"/>
            <w:vAlign w:val="top"/>
          </w:tcPr>
          <w:p>
            <w:pPr>
              <w:spacing w:after="0"/>
            </w:pPr>
            <w:r/>
            <w:r>
              <w:rPr>
                <w:b w:val="0"/>
              </w:rPr>
              <w:t>Approved risk taxonomy, thresholds, KRIs.</w:t>
            </w:r>
          </w:p>
        </w:tc>
      </w:tr>
      <w:tr>
        <w:tc>
          <w:tcPr>
            <w:tcW w:type="dxa" w:w="5112"/>
            <w:vAlign w:val="top"/>
          </w:tcPr>
          <w:p>
            <w:pPr>
              <w:spacing w:after="0"/>
            </w:pPr>
            <w:r/>
            <w:r>
              <w:rPr>
                <w:b w:val="0"/>
              </w:rPr>
              <w:t>AI Governance Charter</w:t>
            </w:r>
          </w:p>
        </w:tc>
        <w:tc>
          <w:tcPr>
            <w:tcW w:type="dxa" w:w="5112"/>
            <w:vAlign w:val="top"/>
          </w:tcPr>
          <w:p>
            <w:pPr>
              <w:spacing w:after="0"/>
            </w:pPr>
            <w:r/>
            <w:r>
              <w:rPr>
                <w:b w:val="0"/>
              </w:rPr>
              <w:t>AI risk classification, model registry, human oversight requirements.</w:t>
            </w:r>
          </w:p>
        </w:tc>
      </w:tr>
      <w:tr>
        <w:tc>
          <w:tcPr>
            <w:tcW w:type="dxa" w:w="5112"/>
            <w:vAlign w:val="top"/>
          </w:tcPr>
          <w:p>
            <w:pPr>
              <w:spacing w:after="0"/>
            </w:pPr>
            <w:r/>
            <w:r>
              <w:rPr>
                <w:b w:val="0"/>
              </w:rPr>
              <w:t>Shariah Governance Charter</w:t>
            </w:r>
          </w:p>
        </w:tc>
        <w:tc>
          <w:tcPr>
            <w:tcW w:type="dxa" w:w="5112"/>
            <w:vAlign w:val="top"/>
          </w:tcPr>
          <w:p>
            <w:pPr>
              <w:spacing w:after="0"/>
            </w:pPr>
            <w:r/>
            <w:r>
              <w:rPr>
                <w:b w:val="0"/>
              </w:rPr>
              <w:t>SAB terms, conflict rules, review procedures.</w:t>
            </w:r>
          </w:p>
        </w:tc>
      </w:tr>
      <w:tr>
        <w:tc>
          <w:tcPr>
            <w:tcW w:type="dxa" w:w="5112"/>
            <w:vAlign w:val="top"/>
          </w:tcPr>
          <w:p>
            <w:pPr>
              <w:spacing w:after="0"/>
            </w:pPr>
            <w:r/>
            <w:r>
              <w:rPr>
                <w:b w:val="0"/>
              </w:rPr>
              <w:t>Data Protection Governance</w:t>
            </w:r>
          </w:p>
        </w:tc>
        <w:tc>
          <w:tcPr>
            <w:tcW w:type="dxa" w:w="5112"/>
            <w:vAlign w:val="top"/>
          </w:tcPr>
          <w:p>
            <w:pPr>
              <w:spacing w:after="0"/>
            </w:pPr>
            <w:r/>
            <w:r>
              <w:rPr>
                <w:b w:val="0"/>
              </w:rPr>
              <w:t>DPO decision record, DPIA framework, privacy programme.</w:t>
            </w:r>
          </w:p>
        </w:tc>
      </w:tr>
      <w:tr>
        <w:tc>
          <w:tcPr>
            <w:tcW w:type="dxa" w:w="5112"/>
            <w:vAlign w:val="top"/>
          </w:tcPr>
          <w:p>
            <w:pPr>
              <w:spacing w:after="0"/>
            </w:pPr>
            <w:r/>
            <w:r>
              <w:rPr>
                <w:b w:val="0"/>
              </w:rPr>
              <w:t>Cybersecurity Strategy</w:t>
            </w:r>
          </w:p>
        </w:tc>
        <w:tc>
          <w:tcPr>
            <w:tcW w:type="dxa" w:w="5112"/>
            <w:vAlign w:val="top"/>
          </w:tcPr>
          <w:p>
            <w:pPr>
              <w:spacing w:after="0"/>
            </w:pPr>
            <w:r/>
            <w:r>
              <w:rPr>
                <w:b w:val="0"/>
              </w:rPr>
              <w:t>Security architecture, incident response plan, ISMS roadmap.</w:t>
            </w:r>
          </w:p>
        </w:tc>
      </w:tr>
      <w:tr>
        <w:tc>
          <w:tcPr>
            <w:tcW w:type="dxa" w:w="5112"/>
            <w:vAlign w:val="top"/>
          </w:tcPr>
          <w:p>
            <w:pPr>
              <w:spacing w:after="0"/>
            </w:pPr>
            <w:r/>
            <w:r>
              <w:rPr>
                <w:b w:val="0"/>
              </w:rPr>
              <w:t>International expansion</w:t>
            </w:r>
          </w:p>
        </w:tc>
        <w:tc>
          <w:tcPr>
            <w:tcW w:type="dxa" w:w="5112"/>
            <w:vAlign w:val="top"/>
          </w:tcPr>
          <w:p>
            <w:pPr>
              <w:spacing w:after="0"/>
            </w:pPr>
            <w:r/>
            <w:r>
              <w:rPr>
                <w:b w:val="0"/>
              </w:rPr>
              <w:t>Jurisdictional legal assessment and operating model review.</w:t>
            </w:r>
          </w:p>
        </w:tc>
      </w:tr>
      <w:tr>
        <w:tc>
          <w:tcPr>
            <w:tcW w:type="dxa" w:w="5112"/>
            <w:vAlign w:val="top"/>
          </w:tcPr>
          <w:p>
            <w:pPr>
              <w:spacing w:after="0"/>
            </w:pPr>
            <w:r/>
            <w:r>
              <w:rPr>
                <w:b w:val="0"/>
              </w:rPr>
              <w:t>Regulated financial functionality</w:t>
            </w:r>
          </w:p>
        </w:tc>
        <w:tc>
          <w:tcPr>
            <w:tcW w:type="dxa" w:w="5112"/>
            <w:vAlign w:val="top"/>
          </w:tcPr>
          <w:p>
            <w:pPr>
              <w:spacing w:after="0"/>
            </w:pPr>
            <w:r/>
            <w:r>
              <w:rPr>
                <w:b w:val="0"/>
              </w:rPr>
              <w:t>DFSA/legal perimeter assessment and partner licensing model.</w:t>
            </w:r>
          </w:p>
        </w:tc>
      </w:tr>
    </w:tbl>
    <w:p/>
    <w:p>
      <w:r>
        <w:rPr>
          <w:b/>
          <w:color w:val="AD8633"/>
        </w:rPr>
        <w:t>Table GOV-T02 - Board Committee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Committee</w:t>
            </w:r>
          </w:p>
        </w:tc>
        <w:tc>
          <w:tcPr>
            <w:tcW w:type="dxa" w:w="2556"/>
            <w:vAlign w:val="top"/>
            <w:shd w:fill="0C383F"/>
          </w:tcPr>
          <w:p>
            <w:pPr>
              <w:spacing w:after="0"/>
            </w:pPr>
            <w:r/>
            <w:r>
              <w:rPr>
                <w:b/>
                <w:color w:val="FFFFFF"/>
              </w:rPr>
              <w:t>Mandate</w:t>
            </w:r>
          </w:p>
        </w:tc>
        <w:tc>
          <w:tcPr>
            <w:tcW w:type="dxa" w:w="2556"/>
            <w:vAlign w:val="top"/>
            <w:shd w:fill="0C383F"/>
          </w:tcPr>
          <w:p>
            <w:pPr>
              <w:spacing w:after="0"/>
            </w:pPr>
            <w:r/>
            <w:r>
              <w:rPr>
                <w:b/>
                <w:color w:val="FFFFFF"/>
              </w:rPr>
              <w:t>Core Inputs</w:t>
            </w:r>
          </w:p>
        </w:tc>
        <w:tc>
          <w:tcPr>
            <w:tcW w:type="dxa" w:w="2556"/>
            <w:vAlign w:val="top"/>
            <w:shd w:fill="0C383F"/>
          </w:tcPr>
          <w:p>
            <w:pPr>
              <w:spacing w:after="0"/>
            </w:pPr>
            <w:r/>
            <w:r>
              <w:rPr>
                <w:b/>
                <w:color w:val="FFFFFF"/>
              </w:rPr>
              <w:t>Outputs</w:t>
            </w:r>
          </w:p>
        </w:tc>
      </w:tr>
      <w:tr>
        <w:tc>
          <w:tcPr>
            <w:tcW w:type="dxa" w:w="2556"/>
            <w:vAlign w:val="top"/>
          </w:tcPr>
          <w:p>
            <w:pPr>
              <w:spacing w:after="0"/>
            </w:pPr>
            <w:r/>
            <w:r>
              <w:rPr>
                <w:b w:val="0"/>
              </w:rPr>
              <w:t>Audit &amp; Risk Committee</w:t>
            </w:r>
          </w:p>
        </w:tc>
        <w:tc>
          <w:tcPr>
            <w:tcW w:type="dxa" w:w="2556"/>
            <w:vAlign w:val="top"/>
          </w:tcPr>
          <w:p>
            <w:pPr>
              <w:spacing w:after="0"/>
            </w:pPr>
            <w:r/>
            <w:r>
              <w:rPr>
                <w:b w:val="0"/>
              </w:rPr>
              <w:t>Independent oversight of risk, control and assurance.</w:t>
            </w:r>
          </w:p>
        </w:tc>
        <w:tc>
          <w:tcPr>
            <w:tcW w:type="dxa" w:w="2556"/>
            <w:vAlign w:val="top"/>
          </w:tcPr>
          <w:p>
            <w:pPr>
              <w:spacing w:after="0"/>
            </w:pPr>
            <w:r/>
            <w:r>
              <w:rPr>
                <w:b w:val="0"/>
              </w:rPr>
              <w:t>Risk register, audit findings, incidents, KRIs.</w:t>
            </w:r>
          </w:p>
        </w:tc>
        <w:tc>
          <w:tcPr>
            <w:tcW w:type="dxa" w:w="2556"/>
            <w:vAlign w:val="top"/>
          </w:tcPr>
          <w:p>
            <w:pPr>
              <w:spacing w:after="0"/>
            </w:pPr>
            <w:r/>
            <w:r>
              <w:rPr>
                <w:b w:val="0"/>
              </w:rPr>
              <w:t>Audit plan, control remediation, board risk report.</w:t>
            </w:r>
          </w:p>
        </w:tc>
      </w:tr>
      <w:tr>
        <w:tc>
          <w:tcPr>
            <w:tcW w:type="dxa" w:w="2556"/>
            <w:vAlign w:val="top"/>
          </w:tcPr>
          <w:p>
            <w:pPr>
              <w:spacing w:after="0"/>
            </w:pPr>
            <w:r/>
            <w:r>
              <w:rPr>
                <w:b w:val="0"/>
              </w:rPr>
              <w:t>Technology &amp; AI Committee</w:t>
            </w:r>
          </w:p>
        </w:tc>
        <w:tc>
          <w:tcPr>
            <w:tcW w:type="dxa" w:w="2556"/>
            <w:vAlign w:val="top"/>
          </w:tcPr>
          <w:p>
            <w:pPr>
              <w:spacing w:after="0"/>
            </w:pPr>
            <w:r/>
            <w:r>
              <w:rPr>
                <w:b w:val="0"/>
              </w:rPr>
              <w:t>Oversight of architecture, AI, cybersecurity, resilience.</w:t>
            </w:r>
          </w:p>
        </w:tc>
        <w:tc>
          <w:tcPr>
            <w:tcW w:type="dxa" w:w="2556"/>
            <w:vAlign w:val="top"/>
          </w:tcPr>
          <w:p>
            <w:pPr>
              <w:spacing w:after="0"/>
            </w:pPr>
            <w:r/>
            <w:r>
              <w:rPr>
                <w:b w:val="0"/>
              </w:rPr>
              <w:t>Model registry, architecture decisions, security dashboards.</w:t>
            </w:r>
          </w:p>
        </w:tc>
        <w:tc>
          <w:tcPr>
            <w:tcW w:type="dxa" w:w="2556"/>
            <w:vAlign w:val="top"/>
          </w:tcPr>
          <w:p>
            <w:pPr>
              <w:spacing w:after="0"/>
            </w:pPr>
            <w:r/>
            <w:r>
              <w:rPr>
                <w:b w:val="0"/>
              </w:rPr>
              <w:t>AI risk decisions, technical debt priorities, security escalations.</w:t>
            </w:r>
          </w:p>
        </w:tc>
      </w:tr>
      <w:tr>
        <w:tc>
          <w:tcPr>
            <w:tcW w:type="dxa" w:w="2556"/>
            <w:vAlign w:val="top"/>
          </w:tcPr>
          <w:p>
            <w:pPr>
              <w:spacing w:after="0"/>
            </w:pPr>
            <w:r/>
            <w:r>
              <w:rPr>
                <w:b w:val="0"/>
              </w:rPr>
              <w:t>Shariah Advisory Board</w:t>
            </w:r>
          </w:p>
        </w:tc>
        <w:tc>
          <w:tcPr>
            <w:tcW w:type="dxa" w:w="2556"/>
            <w:vAlign w:val="top"/>
          </w:tcPr>
          <w:p>
            <w:pPr>
              <w:spacing w:after="0"/>
            </w:pPr>
            <w:r/>
            <w:r>
              <w:rPr>
                <w:b w:val="0"/>
              </w:rPr>
              <w:t>Independent Shariah and Islamic ethical guidance.</w:t>
            </w:r>
          </w:p>
        </w:tc>
        <w:tc>
          <w:tcPr>
            <w:tcW w:type="dxa" w:w="2556"/>
            <w:vAlign w:val="top"/>
          </w:tcPr>
          <w:p>
            <w:pPr>
              <w:spacing w:after="0"/>
            </w:pPr>
            <w:r/>
            <w:r>
              <w:rPr>
                <w:b w:val="0"/>
              </w:rPr>
              <w:t>Product submissions, content, partner structures.</w:t>
            </w:r>
          </w:p>
        </w:tc>
        <w:tc>
          <w:tcPr>
            <w:tcW w:type="dxa" w:w="2556"/>
            <w:vAlign w:val="top"/>
          </w:tcPr>
          <w:p>
            <w:pPr>
              <w:spacing w:after="0"/>
            </w:pPr>
            <w:r/>
            <w:r>
              <w:rPr>
                <w:b w:val="0"/>
              </w:rPr>
              <w:t>Opinions, review memoranda, annual assurance statement.</w:t>
            </w:r>
          </w:p>
        </w:tc>
      </w:tr>
      <w:tr>
        <w:tc>
          <w:tcPr>
            <w:tcW w:type="dxa" w:w="2556"/>
            <w:vAlign w:val="top"/>
          </w:tcPr>
          <w:p>
            <w:pPr>
              <w:spacing w:after="0"/>
            </w:pPr>
            <w:r/>
            <w:r>
              <w:rPr>
                <w:b w:val="0"/>
              </w:rPr>
              <w:t>Nomination &amp; Remuneration Committee</w:t>
            </w:r>
          </w:p>
        </w:tc>
        <w:tc>
          <w:tcPr>
            <w:tcW w:type="dxa" w:w="2556"/>
            <w:vAlign w:val="top"/>
          </w:tcPr>
          <w:p>
            <w:pPr>
              <w:spacing w:after="0"/>
            </w:pPr>
            <w:r/>
            <w:r>
              <w:rPr>
                <w:b w:val="0"/>
              </w:rPr>
              <w:t>Leadership, succession, culture and fair rewards.</w:t>
            </w:r>
          </w:p>
        </w:tc>
        <w:tc>
          <w:tcPr>
            <w:tcW w:type="dxa" w:w="2556"/>
            <w:vAlign w:val="top"/>
          </w:tcPr>
          <w:p>
            <w:pPr>
              <w:spacing w:after="0"/>
            </w:pPr>
            <w:r/>
            <w:r>
              <w:rPr>
                <w:b w:val="0"/>
              </w:rPr>
              <w:t>People data, succession plans, performance design.</w:t>
            </w:r>
          </w:p>
        </w:tc>
        <w:tc>
          <w:tcPr>
            <w:tcW w:type="dxa" w:w="2556"/>
            <w:vAlign w:val="top"/>
          </w:tcPr>
          <w:p>
            <w:pPr>
              <w:spacing w:after="0"/>
            </w:pPr>
            <w:r/>
            <w:r>
              <w:rPr>
                <w:b w:val="0"/>
              </w:rPr>
              <w:t>Appointments, compensation policy, leadership development.</w:t>
            </w:r>
          </w:p>
        </w:tc>
      </w:tr>
      <w:tr>
        <w:tc>
          <w:tcPr>
            <w:tcW w:type="dxa" w:w="2556"/>
            <w:vAlign w:val="top"/>
          </w:tcPr>
          <w:p>
            <w:pPr>
              <w:spacing w:after="0"/>
            </w:pPr>
            <w:r/>
            <w:r>
              <w:rPr>
                <w:b w:val="0"/>
              </w:rPr>
              <w:t>Constitutional Review Council</w:t>
            </w:r>
          </w:p>
        </w:tc>
        <w:tc>
          <w:tcPr>
            <w:tcW w:type="dxa" w:w="2556"/>
            <w:vAlign w:val="top"/>
          </w:tcPr>
          <w:p>
            <w:pPr>
              <w:spacing w:after="0"/>
            </w:pPr>
            <w:r/>
            <w:r>
              <w:rPr>
                <w:b w:val="0"/>
              </w:rPr>
              <w:t>Maintains constitutional alignment across volumes and decisions.</w:t>
            </w:r>
          </w:p>
        </w:tc>
        <w:tc>
          <w:tcPr>
            <w:tcW w:type="dxa" w:w="2556"/>
            <w:vAlign w:val="top"/>
          </w:tcPr>
          <w:p>
            <w:pPr>
              <w:spacing w:after="0"/>
            </w:pPr>
            <w:r/>
            <w:r>
              <w:rPr>
                <w:b w:val="0"/>
              </w:rPr>
              <w:t>Policy changes, major product proposals, exceptions.</w:t>
            </w:r>
          </w:p>
        </w:tc>
        <w:tc>
          <w:tcPr>
            <w:tcW w:type="dxa" w:w="2556"/>
            <w:vAlign w:val="top"/>
          </w:tcPr>
          <w:p>
            <w:pPr>
              <w:spacing w:after="0"/>
            </w:pPr>
            <w:r/>
            <w:r>
              <w:rPr>
                <w:b w:val="0"/>
              </w:rPr>
              <w:t>Constitutional review decisions and exceptions log.</w:t>
            </w:r>
          </w:p>
        </w:tc>
      </w:tr>
    </w:tbl>
    <w:p/>
    <w:p>
      <w:pPr>
        <w:pStyle w:val="Heading2"/>
      </w:pPr>
      <w:r>
        <w:t>Article GOV-002 - Shariah Governance</w:t>
      </w:r>
    </w:p>
    <w:p>
      <w:pPr>
        <w:spacing w:after="120" w:line="259" w:lineRule="auto"/>
      </w:pPr>
      <w:r>
        <w:t>Afiyah shall establish Shariah governance as an independent assurance capability. The Shariah Advisory Board must not be treated as a marketing symbol. It is an institutional control over content, products, financial education, Islamic references and partner structures that require scholarly oversight. AI may assist with source retrieval and classification, but shall not replace scholarly judgement.</w:t>
      </w:r>
    </w:p>
    <w:p>
      <w:r>
        <w:rPr>
          <w:b/>
          <w:color w:val="AD8633"/>
        </w:rPr>
        <w:t>Table SHA-T01 - Shariah Governance Workflow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Step</w:t>
            </w:r>
          </w:p>
        </w:tc>
        <w:tc>
          <w:tcPr>
            <w:tcW w:type="dxa" w:w="2556"/>
            <w:vAlign w:val="top"/>
            <w:shd w:fill="0C383F"/>
          </w:tcPr>
          <w:p>
            <w:pPr>
              <w:spacing w:after="0"/>
            </w:pPr>
            <w:r/>
            <w:r>
              <w:rPr>
                <w:b/>
                <w:color w:val="FFFFFF"/>
              </w:rPr>
              <w:t>Activity</w:t>
            </w:r>
          </w:p>
        </w:tc>
        <w:tc>
          <w:tcPr>
            <w:tcW w:type="dxa" w:w="2556"/>
            <w:vAlign w:val="top"/>
            <w:shd w:fill="0C383F"/>
          </w:tcPr>
          <w:p>
            <w:pPr>
              <w:spacing w:after="0"/>
            </w:pPr>
            <w:r/>
            <w:r>
              <w:rPr>
                <w:b/>
                <w:color w:val="FFFFFF"/>
              </w:rPr>
              <w:t>Owner</w:t>
            </w:r>
          </w:p>
        </w:tc>
        <w:tc>
          <w:tcPr>
            <w:tcW w:type="dxa" w:w="2556"/>
            <w:vAlign w:val="top"/>
            <w:shd w:fill="0C383F"/>
          </w:tcPr>
          <w:p>
            <w:pPr>
              <w:spacing w:after="0"/>
            </w:pPr>
            <w:r/>
            <w:r>
              <w:rPr>
                <w:b/>
                <w:color w:val="FFFFFF"/>
              </w:rPr>
              <w:t>Evidence</w:t>
            </w:r>
          </w:p>
        </w:tc>
      </w:tr>
      <w:tr>
        <w:tc>
          <w:tcPr>
            <w:tcW w:type="dxa" w:w="2556"/>
            <w:vAlign w:val="top"/>
          </w:tcPr>
          <w:p>
            <w:pPr>
              <w:spacing w:after="0"/>
            </w:pPr>
            <w:r/>
            <w:r>
              <w:rPr>
                <w:b w:val="0"/>
              </w:rPr>
              <w:t>SHA-01</w:t>
            </w:r>
          </w:p>
        </w:tc>
        <w:tc>
          <w:tcPr>
            <w:tcW w:type="dxa" w:w="2556"/>
            <w:vAlign w:val="top"/>
          </w:tcPr>
          <w:p>
            <w:pPr>
              <w:spacing w:after="0"/>
            </w:pPr>
            <w:r/>
            <w:r>
              <w:rPr>
                <w:b w:val="0"/>
              </w:rPr>
              <w:t>Submission of product/content/partner proposal.</w:t>
            </w:r>
          </w:p>
        </w:tc>
        <w:tc>
          <w:tcPr>
            <w:tcW w:type="dxa" w:w="2556"/>
            <w:vAlign w:val="top"/>
          </w:tcPr>
          <w:p>
            <w:pPr>
              <w:spacing w:after="0"/>
            </w:pPr>
            <w:r/>
            <w:r>
              <w:rPr>
                <w:b w:val="0"/>
              </w:rPr>
              <w:t>Product Owner</w:t>
            </w:r>
          </w:p>
        </w:tc>
        <w:tc>
          <w:tcPr>
            <w:tcW w:type="dxa" w:w="2556"/>
            <w:vAlign w:val="top"/>
          </w:tcPr>
          <w:p>
            <w:pPr>
              <w:spacing w:after="0"/>
            </w:pPr>
            <w:r/>
            <w:r>
              <w:rPr>
                <w:b w:val="0"/>
              </w:rPr>
              <w:t>Submission form and Statement of Niyyah.</w:t>
            </w:r>
          </w:p>
        </w:tc>
      </w:tr>
      <w:tr>
        <w:tc>
          <w:tcPr>
            <w:tcW w:type="dxa" w:w="2556"/>
            <w:vAlign w:val="top"/>
          </w:tcPr>
          <w:p>
            <w:pPr>
              <w:spacing w:after="0"/>
            </w:pPr>
            <w:r/>
            <w:r>
              <w:rPr>
                <w:b w:val="0"/>
              </w:rPr>
              <w:t>SHA-02</w:t>
            </w:r>
          </w:p>
        </w:tc>
        <w:tc>
          <w:tcPr>
            <w:tcW w:type="dxa" w:w="2556"/>
            <w:vAlign w:val="top"/>
          </w:tcPr>
          <w:p>
            <w:pPr>
              <w:spacing w:after="0"/>
            </w:pPr>
            <w:r/>
            <w:r>
              <w:rPr>
                <w:b w:val="0"/>
              </w:rPr>
              <w:t>Initial classification: no review, content review, product review, formal opinion.</w:t>
            </w:r>
          </w:p>
        </w:tc>
        <w:tc>
          <w:tcPr>
            <w:tcW w:type="dxa" w:w="2556"/>
            <w:vAlign w:val="top"/>
          </w:tcPr>
          <w:p>
            <w:pPr>
              <w:spacing w:after="0"/>
            </w:pPr>
            <w:r/>
            <w:r>
              <w:rPr>
                <w:b w:val="0"/>
              </w:rPr>
              <w:t>Shariah Secretariat</w:t>
            </w:r>
          </w:p>
        </w:tc>
        <w:tc>
          <w:tcPr>
            <w:tcW w:type="dxa" w:w="2556"/>
            <w:vAlign w:val="top"/>
          </w:tcPr>
          <w:p>
            <w:pPr>
              <w:spacing w:after="0"/>
            </w:pPr>
            <w:r/>
            <w:r>
              <w:rPr>
                <w:b w:val="0"/>
              </w:rPr>
              <w:t>Review classification record.</w:t>
            </w:r>
          </w:p>
        </w:tc>
      </w:tr>
      <w:tr>
        <w:tc>
          <w:tcPr>
            <w:tcW w:type="dxa" w:w="2556"/>
            <w:vAlign w:val="top"/>
          </w:tcPr>
          <w:p>
            <w:pPr>
              <w:spacing w:after="0"/>
            </w:pPr>
            <w:r/>
            <w:r>
              <w:rPr>
                <w:b w:val="0"/>
              </w:rPr>
              <w:t>SHA-03</w:t>
            </w:r>
          </w:p>
        </w:tc>
        <w:tc>
          <w:tcPr>
            <w:tcW w:type="dxa" w:w="2556"/>
            <w:vAlign w:val="top"/>
          </w:tcPr>
          <w:p>
            <w:pPr>
              <w:spacing w:after="0"/>
            </w:pPr>
            <w:r/>
            <w:r>
              <w:rPr>
                <w:b w:val="0"/>
              </w:rPr>
              <w:t>Evidence pack preparation: sources, user flow, risk, financial structure.</w:t>
            </w:r>
          </w:p>
        </w:tc>
        <w:tc>
          <w:tcPr>
            <w:tcW w:type="dxa" w:w="2556"/>
            <w:vAlign w:val="top"/>
          </w:tcPr>
          <w:p>
            <w:pPr>
              <w:spacing w:after="0"/>
            </w:pPr>
            <w:r/>
            <w:r>
              <w:rPr>
                <w:b w:val="0"/>
              </w:rPr>
              <w:t>Product + Legal + Compliance</w:t>
            </w:r>
          </w:p>
        </w:tc>
        <w:tc>
          <w:tcPr>
            <w:tcW w:type="dxa" w:w="2556"/>
            <w:vAlign w:val="top"/>
          </w:tcPr>
          <w:p>
            <w:pPr>
              <w:spacing w:after="0"/>
            </w:pPr>
            <w:r/>
            <w:r>
              <w:rPr>
                <w:b w:val="0"/>
              </w:rPr>
              <w:t>Evidence pack.</w:t>
            </w:r>
          </w:p>
        </w:tc>
      </w:tr>
      <w:tr>
        <w:tc>
          <w:tcPr>
            <w:tcW w:type="dxa" w:w="2556"/>
            <w:vAlign w:val="top"/>
          </w:tcPr>
          <w:p>
            <w:pPr>
              <w:spacing w:after="0"/>
            </w:pPr>
            <w:r/>
            <w:r>
              <w:rPr>
                <w:b w:val="0"/>
              </w:rPr>
              <w:t>SHA-04</w:t>
            </w:r>
          </w:p>
        </w:tc>
        <w:tc>
          <w:tcPr>
            <w:tcW w:type="dxa" w:w="2556"/>
            <w:vAlign w:val="top"/>
          </w:tcPr>
          <w:p>
            <w:pPr>
              <w:spacing w:after="0"/>
            </w:pPr>
            <w:r/>
            <w:r>
              <w:rPr>
                <w:b w:val="0"/>
              </w:rPr>
              <w:t>SAB review and questions.</w:t>
            </w:r>
          </w:p>
        </w:tc>
        <w:tc>
          <w:tcPr>
            <w:tcW w:type="dxa" w:w="2556"/>
            <w:vAlign w:val="top"/>
          </w:tcPr>
          <w:p>
            <w:pPr>
              <w:spacing w:after="0"/>
            </w:pPr>
            <w:r/>
            <w:r>
              <w:rPr>
                <w:b w:val="0"/>
              </w:rPr>
              <w:t>SAB</w:t>
            </w:r>
          </w:p>
        </w:tc>
        <w:tc>
          <w:tcPr>
            <w:tcW w:type="dxa" w:w="2556"/>
            <w:vAlign w:val="top"/>
          </w:tcPr>
          <w:p>
            <w:pPr>
              <w:spacing w:after="0"/>
            </w:pPr>
            <w:r/>
            <w:r>
              <w:rPr>
                <w:b w:val="0"/>
              </w:rPr>
              <w:t>Meeting minutes and queries.</w:t>
            </w:r>
          </w:p>
        </w:tc>
      </w:tr>
      <w:tr>
        <w:tc>
          <w:tcPr>
            <w:tcW w:type="dxa" w:w="2556"/>
            <w:vAlign w:val="top"/>
          </w:tcPr>
          <w:p>
            <w:pPr>
              <w:spacing w:after="0"/>
            </w:pPr>
            <w:r/>
            <w:r>
              <w:rPr>
                <w:b w:val="0"/>
              </w:rPr>
              <w:t>SHA-05</w:t>
            </w:r>
          </w:p>
        </w:tc>
        <w:tc>
          <w:tcPr>
            <w:tcW w:type="dxa" w:w="2556"/>
            <w:vAlign w:val="top"/>
          </w:tcPr>
          <w:p>
            <w:pPr>
              <w:spacing w:after="0"/>
            </w:pPr>
            <w:r/>
            <w:r>
              <w:rPr>
                <w:b w:val="0"/>
              </w:rPr>
              <w:t>Decision, conditions or rejection.</w:t>
            </w:r>
          </w:p>
        </w:tc>
        <w:tc>
          <w:tcPr>
            <w:tcW w:type="dxa" w:w="2556"/>
            <w:vAlign w:val="top"/>
          </w:tcPr>
          <w:p>
            <w:pPr>
              <w:spacing w:after="0"/>
            </w:pPr>
            <w:r/>
            <w:r>
              <w:rPr>
                <w:b w:val="0"/>
              </w:rPr>
              <w:t>SAB</w:t>
            </w:r>
          </w:p>
        </w:tc>
        <w:tc>
          <w:tcPr>
            <w:tcW w:type="dxa" w:w="2556"/>
            <w:vAlign w:val="top"/>
          </w:tcPr>
          <w:p>
            <w:pPr>
              <w:spacing w:after="0"/>
            </w:pPr>
            <w:r/>
            <w:r>
              <w:rPr>
                <w:b w:val="0"/>
              </w:rPr>
              <w:t>Opinion memo and conditions log.</w:t>
            </w:r>
          </w:p>
        </w:tc>
      </w:tr>
      <w:tr>
        <w:tc>
          <w:tcPr>
            <w:tcW w:type="dxa" w:w="2556"/>
            <w:vAlign w:val="top"/>
          </w:tcPr>
          <w:p>
            <w:pPr>
              <w:spacing w:after="0"/>
            </w:pPr>
            <w:r/>
            <w:r>
              <w:rPr>
                <w:b w:val="0"/>
              </w:rPr>
              <w:t>SHA-06</w:t>
            </w:r>
          </w:p>
        </w:tc>
        <w:tc>
          <w:tcPr>
            <w:tcW w:type="dxa" w:w="2556"/>
            <w:vAlign w:val="top"/>
          </w:tcPr>
          <w:p>
            <w:pPr>
              <w:spacing w:after="0"/>
            </w:pPr>
            <w:r/>
            <w:r>
              <w:rPr>
                <w:b w:val="0"/>
              </w:rPr>
              <w:t>Implementation verification.</w:t>
            </w:r>
          </w:p>
        </w:tc>
        <w:tc>
          <w:tcPr>
            <w:tcW w:type="dxa" w:w="2556"/>
            <w:vAlign w:val="top"/>
          </w:tcPr>
          <w:p>
            <w:pPr>
              <w:spacing w:after="0"/>
            </w:pPr>
            <w:r/>
            <w:r>
              <w:rPr>
                <w:b w:val="0"/>
              </w:rPr>
              <w:t>Compliance + Product</w:t>
            </w:r>
          </w:p>
        </w:tc>
        <w:tc>
          <w:tcPr>
            <w:tcW w:type="dxa" w:w="2556"/>
            <w:vAlign w:val="top"/>
          </w:tcPr>
          <w:p>
            <w:pPr>
              <w:spacing w:after="0"/>
            </w:pPr>
            <w:r/>
            <w:r>
              <w:rPr>
                <w:b w:val="0"/>
              </w:rPr>
              <w:t>Evidence of changes.</w:t>
            </w:r>
          </w:p>
        </w:tc>
      </w:tr>
      <w:tr>
        <w:tc>
          <w:tcPr>
            <w:tcW w:type="dxa" w:w="2556"/>
            <w:vAlign w:val="top"/>
          </w:tcPr>
          <w:p>
            <w:pPr>
              <w:spacing w:after="0"/>
            </w:pPr>
            <w:r/>
            <w:r>
              <w:rPr>
                <w:b w:val="0"/>
              </w:rPr>
              <w:t>SHA-07</w:t>
            </w:r>
          </w:p>
        </w:tc>
        <w:tc>
          <w:tcPr>
            <w:tcW w:type="dxa" w:w="2556"/>
            <w:vAlign w:val="top"/>
          </w:tcPr>
          <w:p>
            <w:pPr>
              <w:spacing w:after="0"/>
            </w:pPr>
            <w:r/>
            <w:r>
              <w:rPr>
                <w:b w:val="0"/>
              </w:rPr>
              <w:t>Annual re-review or trigger-based review.</w:t>
            </w:r>
          </w:p>
        </w:tc>
        <w:tc>
          <w:tcPr>
            <w:tcW w:type="dxa" w:w="2556"/>
            <w:vAlign w:val="top"/>
          </w:tcPr>
          <w:p>
            <w:pPr>
              <w:spacing w:after="0"/>
            </w:pPr>
            <w:r/>
            <w:r>
              <w:rPr>
                <w:b w:val="0"/>
              </w:rPr>
              <w:t>SAB Secretariat</w:t>
            </w:r>
          </w:p>
        </w:tc>
        <w:tc>
          <w:tcPr>
            <w:tcW w:type="dxa" w:w="2556"/>
            <w:vAlign w:val="top"/>
          </w:tcPr>
          <w:p>
            <w:pPr>
              <w:spacing w:after="0"/>
            </w:pPr>
            <w:r/>
            <w:r>
              <w:rPr>
                <w:b w:val="0"/>
              </w:rPr>
              <w:t>Re-review memo.</w:t>
            </w:r>
          </w:p>
        </w:tc>
      </w:tr>
    </w:tbl>
    <w:p/>
    <w:p>
      <w:pPr>
        <w:pStyle w:val="Heading2"/>
      </w:pPr>
      <w:r>
        <w:t>Article GOV-003 - DIFC and UAE Regulatory Expectations</w:t>
      </w:r>
    </w:p>
    <w:p>
      <w:pPr>
        <w:spacing w:after="120" w:line="259" w:lineRule="auto"/>
      </w:pPr>
      <w:r>
        <w:t>Afiyah shall maintain a regulatory obligations register covering the jurisdictions in which it operates. DIFC, UAE federal law, DFSA perimeter considerations, data protection regimes, consumer protection, electronic transactions, cybersecurity and AI governance signals must be monitored continuously. The Constitution does not freeze a legal interpretation; it requires a current legal interpretation.</w:t>
      </w:r>
    </w:p>
    <w:p>
      <w:r>
        <w:rPr>
          <w:b/>
          <w:color w:val="AD8633"/>
        </w:rPr>
        <w:t>Table REG-T01 - Regulatory Mapping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Regulatory Area</w:t>
            </w:r>
          </w:p>
        </w:tc>
        <w:tc>
          <w:tcPr>
            <w:tcW w:type="dxa" w:w="3408"/>
            <w:vAlign w:val="top"/>
            <w:shd w:fill="0C383F"/>
          </w:tcPr>
          <w:p>
            <w:pPr>
              <w:spacing w:after="0"/>
            </w:pPr>
            <w:r/>
            <w:r>
              <w:rPr>
                <w:b/>
                <w:color w:val="FFFFFF"/>
              </w:rPr>
              <w:t>Primary Concern</w:t>
            </w:r>
          </w:p>
        </w:tc>
        <w:tc>
          <w:tcPr>
            <w:tcW w:type="dxa" w:w="3408"/>
            <w:vAlign w:val="top"/>
            <w:shd w:fill="0C383F"/>
          </w:tcPr>
          <w:p>
            <w:pPr>
              <w:spacing w:after="0"/>
            </w:pPr>
            <w:r/>
            <w:r>
              <w:rPr>
                <w:b/>
                <w:color w:val="FFFFFF"/>
              </w:rPr>
              <w:t>Afiyah Control</w:t>
            </w:r>
          </w:p>
        </w:tc>
      </w:tr>
      <w:tr>
        <w:tc>
          <w:tcPr>
            <w:tcW w:type="dxa" w:w="3408"/>
            <w:vAlign w:val="top"/>
          </w:tcPr>
          <w:p>
            <w:pPr>
              <w:spacing w:after="0"/>
            </w:pPr>
            <w:r/>
            <w:r>
              <w:rPr>
                <w:b w:val="0"/>
              </w:rPr>
              <w:t>DIFC corporate and operating obligations</w:t>
            </w:r>
          </w:p>
        </w:tc>
        <w:tc>
          <w:tcPr>
            <w:tcW w:type="dxa" w:w="3408"/>
            <w:vAlign w:val="top"/>
          </w:tcPr>
          <w:p>
            <w:pPr>
              <w:spacing w:after="0"/>
            </w:pPr>
            <w:r/>
            <w:r>
              <w:rPr>
                <w:b w:val="0"/>
              </w:rPr>
              <w:t>Entity governance, records, compliance and operating duties.</w:t>
            </w:r>
          </w:p>
        </w:tc>
        <w:tc>
          <w:tcPr>
            <w:tcW w:type="dxa" w:w="3408"/>
            <w:vAlign w:val="top"/>
          </w:tcPr>
          <w:p>
            <w:pPr>
              <w:spacing w:after="0"/>
            </w:pPr>
            <w:r/>
            <w:r>
              <w:rPr>
                <w:b w:val="0"/>
              </w:rPr>
              <w:t>Corporate obligations register and company secretarial calendar.</w:t>
            </w:r>
          </w:p>
        </w:tc>
      </w:tr>
      <w:tr>
        <w:tc>
          <w:tcPr>
            <w:tcW w:type="dxa" w:w="3408"/>
            <w:vAlign w:val="top"/>
          </w:tcPr>
          <w:p>
            <w:pPr>
              <w:spacing w:after="0"/>
            </w:pPr>
            <w:r/>
            <w:r>
              <w:rPr>
                <w:b w:val="0"/>
              </w:rPr>
              <w:t>DIFC data protection</w:t>
            </w:r>
          </w:p>
        </w:tc>
        <w:tc>
          <w:tcPr>
            <w:tcW w:type="dxa" w:w="3408"/>
            <w:vAlign w:val="top"/>
          </w:tcPr>
          <w:p>
            <w:pPr>
              <w:spacing w:after="0"/>
            </w:pPr>
            <w:r/>
            <w:r>
              <w:rPr>
                <w:b w:val="0"/>
              </w:rPr>
              <w:t>Personal data processing in or from DIFC and data protection governance.</w:t>
            </w:r>
          </w:p>
        </w:tc>
        <w:tc>
          <w:tcPr>
            <w:tcW w:type="dxa" w:w="3408"/>
            <w:vAlign w:val="top"/>
          </w:tcPr>
          <w:p>
            <w:pPr>
              <w:spacing w:after="0"/>
            </w:pPr>
            <w:r/>
            <w:r>
              <w:rPr>
                <w:b w:val="0"/>
              </w:rPr>
              <w:t>DPIA framework, data inventory, DPO assessment, privacy notices.</w:t>
            </w:r>
          </w:p>
        </w:tc>
      </w:tr>
      <w:tr>
        <w:tc>
          <w:tcPr>
            <w:tcW w:type="dxa" w:w="3408"/>
            <w:vAlign w:val="top"/>
          </w:tcPr>
          <w:p>
            <w:pPr>
              <w:spacing w:after="0"/>
            </w:pPr>
            <w:r/>
            <w:r>
              <w:rPr>
                <w:b w:val="0"/>
              </w:rPr>
              <w:t>DIFC Regulation 10 / AI-personal data interface</w:t>
            </w:r>
          </w:p>
        </w:tc>
        <w:tc>
          <w:tcPr>
            <w:tcW w:type="dxa" w:w="3408"/>
            <w:vAlign w:val="top"/>
          </w:tcPr>
          <w:p>
            <w:pPr>
              <w:spacing w:after="0"/>
            </w:pPr>
            <w:r/>
            <w:r>
              <w:rPr>
                <w:b w:val="0"/>
              </w:rPr>
              <w:t>Autonomous/semi-autonomous systems processing personal data.</w:t>
            </w:r>
          </w:p>
        </w:tc>
        <w:tc>
          <w:tcPr>
            <w:tcW w:type="dxa" w:w="3408"/>
            <w:vAlign w:val="top"/>
          </w:tcPr>
          <w:p>
            <w:pPr>
              <w:spacing w:after="0"/>
            </w:pPr>
            <w:r/>
            <w:r>
              <w:rPr>
                <w:b w:val="0"/>
              </w:rPr>
              <w:t>AI system inventory, AI DPIA, human oversight, model monitoring.</w:t>
            </w:r>
          </w:p>
        </w:tc>
      </w:tr>
      <w:tr>
        <w:tc>
          <w:tcPr>
            <w:tcW w:type="dxa" w:w="3408"/>
            <w:vAlign w:val="top"/>
          </w:tcPr>
          <w:p>
            <w:pPr>
              <w:spacing w:after="0"/>
            </w:pPr>
            <w:r/>
            <w:r>
              <w:rPr>
                <w:b w:val="0"/>
              </w:rPr>
              <w:t>UAE PDPL</w:t>
            </w:r>
          </w:p>
        </w:tc>
        <w:tc>
          <w:tcPr>
            <w:tcW w:type="dxa" w:w="3408"/>
            <w:vAlign w:val="top"/>
          </w:tcPr>
          <w:p>
            <w:pPr>
              <w:spacing w:after="0"/>
            </w:pPr>
            <w:r/>
            <w:r>
              <w:rPr>
                <w:b w:val="0"/>
              </w:rPr>
              <w:t>Federal personal data protection requirements where applicable.</w:t>
            </w:r>
          </w:p>
        </w:tc>
        <w:tc>
          <w:tcPr>
            <w:tcW w:type="dxa" w:w="3408"/>
            <w:vAlign w:val="top"/>
          </w:tcPr>
          <w:p>
            <w:pPr>
              <w:spacing w:after="0"/>
            </w:pPr>
            <w:r/>
            <w:r>
              <w:rPr>
                <w:b w:val="0"/>
              </w:rPr>
              <w:t>Lawful basis mapping, rights handling, data transfer review, retention.</w:t>
            </w:r>
          </w:p>
        </w:tc>
      </w:tr>
      <w:tr>
        <w:tc>
          <w:tcPr>
            <w:tcW w:type="dxa" w:w="3408"/>
            <w:vAlign w:val="top"/>
          </w:tcPr>
          <w:p>
            <w:pPr>
              <w:spacing w:after="0"/>
            </w:pPr>
            <w:r/>
            <w:r>
              <w:rPr>
                <w:b w:val="0"/>
              </w:rPr>
              <w:t>DFSA perimeter</w:t>
            </w:r>
          </w:p>
        </w:tc>
        <w:tc>
          <w:tcPr>
            <w:tcW w:type="dxa" w:w="3408"/>
            <w:vAlign w:val="top"/>
          </w:tcPr>
          <w:p>
            <w:pPr>
              <w:spacing w:after="0"/>
            </w:pPr>
            <w:r/>
            <w:r>
              <w:rPr>
                <w:b w:val="0"/>
              </w:rPr>
              <w:t>Financial services conducted in or from DIFC.</w:t>
            </w:r>
          </w:p>
        </w:tc>
        <w:tc>
          <w:tcPr>
            <w:tcW w:type="dxa" w:w="3408"/>
            <w:vAlign w:val="top"/>
          </w:tcPr>
          <w:p>
            <w:pPr>
              <w:spacing w:after="0"/>
            </w:pPr>
            <w:r/>
            <w:r>
              <w:rPr>
                <w:b w:val="0"/>
              </w:rPr>
              <w:t>Regulated activity assessment before advice, execution, custody or investment functions.</w:t>
            </w:r>
          </w:p>
        </w:tc>
      </w:tr>
      <w:tr>
        <w:tc>
          <w:tcPr>
            <w:tcW w:type="dxa" w:w="3408"/>
            <w:vAlign w:val="top"/>
          </w:tcPr>
          <w:p>
            <w:pPr>
              <w:spacing w:after="0"/>
            </w:pPr>
            <w:r/>
            <w:r>
              <w:rPr>
                <w:b w:val="0"/>
              </w:rPr>
              <w:t>Dubai AI ecosystem</w:t>
            </w:r>
          </w:p>
        </w:tc>
        <w:tc>
          <w:tcPr>
            <w:tcW w:type="dxa" w:w="3408"/>
            <w:vAlign w:val="top"/>
          </w:tcPr>
          <w:p>
            <w:pPr>
              <w:spacing w:after="0"/>
            </w:pPr>
            <w:r/>
            <w:r>
              <w:rPr>
                <w:b w:val="0"/>
              </w:rPr>
              <w:t>Responsible AI credibility and ecosystem alignment.</w:t>
            </w:r>
          </w:p>
        </w:tc>
        <w:tc>
          <w:tcPr>
            <w:tcW w:type="dxa" w:w="3408"/>
            <w:vAlign w:val="top"/>
          </w:tcPr>
          <w:p>
            <w:pPr>
              <w:spacing w:after="0"/>
            </w:pPr>
            <w:r/>
            <w:r>
              <w:rPr>
                <w:b w:val="0"/>
              </w:rPr>
              <w:t>Dubai AI Seal readiness assessment and AI governance evidence pack.</w:t>
            </w:r>
          </w:p>
        </w:tc>
      </w:tr>
    </w:tbl>
    <w:p/>
    <w:p>
      <w:pPr>
        <w:pStyle w:val="Heading2"/>
      </w:pPr>
      <w:r>
        <w:t>Article GOV-004 - AI Governance</w:t>
      </w:r>
    </w:p>
    <w:p>
      <w:pPr>
        <w:spacing w:after="120" w:line="259" w:lineRule="auto"/>
      </w:pPr>
      <w:r>
        <w:t>AI is a governed institutional capability. Every AI system shall have a documented purpose, owner, risk classification, knowledge boundaries, memory rules, human oversight, evaluation metrics, incident response procedure and retirement pathway. AI systems serving faith, wellbeing, finance, health, law, family or vulnerable contexts require heightened review.</w:t>
      </w:r>
    </w:p>
    <w:p>
      <w:r>
        <w:rPr>
          <w:b/>
          <w:color w:val="AD8633"/>
        </w:rPr>
        <w:t>Table AI-T01 - AI Risk Classification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Class</w:t>
            </w:r>
          </w:p>
        </w:tc>
        <w:tc>
          <w:tcPr>
            <w:tcW w:type="dxa" w:w="2556"/>
            <w:vAlign w:val="top"/>
            <w:shd w:fill="0C383F"/>
          </w:tcPr>
          <w:p>
            <w:pPr>
              <w:spacing w:after="0"/>
            </w:pPr>
            <w:r/>
            <w:r>
              <w:rPr>
                <w:b/>
                <w:color w:val="FFFFFF"/>
              </w:rPr>
              <w:t>Description</w:t>
            </w:r>
          </w:p>
        </w:tc>
        <w:tc>
          <w:tcPr>
            <w:tcW w:type="dxa" w:w="2556"/>
            <w:vAlign w:val="top"/>
            <w:shd w:fill="0C383F"/>
          </w:tcPr>
          <w:p>
            <w:pPr>
              <w:spacing w:after="0"/>
            </w:pPr>
            <w:r/>
            <w:r>
              <w:rPr>
                <w:b/>
                <w:color w:val="FFFFFF"/>
              </w:rPr>
              <w:t>Examples</w:t>
            </w:r>
          </w:p>
        </w:tc>
        <w:tc>
          <w:tcPr>
            <w:tcW w:type="dxa" w:w="2556"/>
            <w:vAlign w:val="top"/>
            <w:shd w:fill="0C383F"/>
          </w:tcPr>
          <w:p>
            <w:pPr>
              <w:spacing w:after="0"/>
            </w:pPr>
            <w:r/>
            <w:r>
              <w:rPr>
                <w:b/>
                <w:color w:val="FFFFFF"/>
              </w:rPr>
              <w:t>Required Controls</w:t>
            </w:r>
          </w:p>
        </w:tc>
      </w:tr>
      <w:tr>
        <w:tc>
          <w:tcPr>
            <w:tcW w:type="dxa" w:w="2556"/>
            <w:vAlign w:val="top"/>
          </w:tcPr>
          <w:p>
            <w:pPr>
              <w:spacing w:after="0"/>
            </w:pPr>
            <w:r/>
            <w:r>
              <w:rPr>
                <w:b w:val="0"/>
              </w:rPr>
              <w:t>AI-0</w:t>
            </w:r>
          </w:p>
        </w:tc>
        <w:tc>
          <w:tcPr>
            <w:tcW w:type="dxa" w:w="2556"/>
            <w:vAlign w:val="top"/>
          </w:tcPr>
          <w:p>
            <w:pPr>
              <w:spacing w:after="0"/>
            </w:pPr>
            <w:r/>
            <w:r>
              <w:rPr>
                <w:b w:val="0"/>
              </w:rPr>
              <w:t>No AI or deterministic automation.</w:t>
            </w:r>
          </w:p>
        </w:tc>
        <w:tc>
          <w:tcPr>
            <w:tcW w:type="dxa" w:w="2556"/>
            <w:vAlign w:val="top"/>
          </w:tcPr>
          <w:p>
            <w:pPr>
              <w:spacing w:after="0"/>
            </w:pPr>
            <w:r/>
            <w:r>
              <w:rPr>
                <w:b w:val="0"/>
              </w:rPr>
              <w:t>Static reminders, fixed rules.</w:t>
            </w:r>
          </w:p>
        </w:tc>
        <w:tc>
          <w:tcPr>
            <w:tcW w:type="dxa" w:w="2556"/>
            <w:vAlign w:val="top"/>
          </w:tcPr>
          <w:p>
            <w:pPr>
              <w:spacing w:after="0"/>
            </w:pPr>
            <w:r/>
            <w:r>
              <w:rPr>
                <w:b w:val="0"/>
              </w:rPr>
              <w:t>Normal change control.</w:t>
            </w:r>
          </w:p>
        </w:tc>
      </w:tr>
      <w:tr>
        <w:tc>
          <w:tcPr>
            <w:tcW w:type="dxa" w:w="2556"/>
            <w:vAlign w:val="top"/>
          </w:tcPr>
          <w:p>
            <w:pPr>
              <w:spacing w:after="0"/>
            </w:pPr>
            <w:r/>
            <w:r>
              <w:rPr>
                <w:b w:val="0"/>
              </w:rPr>
              <w:t>AI-1</w:t>
            </w:r>
          </w:p>
        </w:tc>
        <w:tc>
          <w:tcPr>
            <w:tcW w:type="dxa" w:w="2556"/>
            <w:vAlign w:val="top"/>
          </w:tcPr>
          <w:p>
            <w:pPr>
              <w:spacing w:after="0"/>
            </w:pPr>
            <w:r/>
            <w:r>
              <w:rPr>
                <w:b w:val="0"/>
              </w:rPr>
              <w:t>Low-risk assistance.</w:t>
            </w:r>
          </w:p>
        </w:tc>
        <w:tc>
          <w:tcPr>
            <w:tcW w:type="dxa" w:w="2556"/>
            <w:vAlign w:val="top"/>
          </w:tcPr>
          <w:p>
            <w:pPr>
              <w:spacing w:after="0"/>
            </w:pPr>
            <w:r/>
            <w:r>
              <w:rPr>
                <w:b w:val="0"/>
              </w:rPr>
              <w:t>Navigation help, FAQ retrieval.</w:t>
            </w:r>
          </w:p>
        </w:tc>
        <w:tc>
          <w:tcPr>
            <w:tcW w:type="dxa" w:w="2556"/>
            <w:vAlign w:val="top"/>
          </w:tcPr>
          <w:p>
            <w:pPr>
              <w:spacing w:after="0"/>
            </w:pPr>
            <w:r/>
            <w:r>
              <w:rPr>
                <w:b w:val="0"/>
              </w:rPr>
              <w:t>Prompt testing, logs, source control.</w:t>
            </w:r>
          </w:p>
        </w:tc>
      </w:tr>
      <w:tr>
        <w:tc>
          <w:tcPr>
            <w:tcW w:type="dxa" w:w="2556"/>
            <w:vAlign w:val="top"/>
          </w:tcPr>
          <w:p>
            <w:pPr>
              <w:spacing w:after="0"/>
            </w:pPr>
            <w:r/>
            <w:r>
              <w:rPr>
                <w:b w:val="0"/>
              </w:rPr>
              <w:t>AI-2</w:t>
            </w:r>
          </w:p>
        </w:tc>
        <w:tc>
          <w:tcPr>
            <w:tcW w:type="dxa" w:w="2556"/>
            <w:vAlign w:val="top"/>
          </w:tcPr>
          <w:p>
            <w:pPr>
              <w:spacing w:after="0"/>
            </w:pPr>
            <w:r/>
            <w:r>
              <w:rPr>
                <w:b w:val="0"/>
              </w:rPr>
              <w:t>Personalised educational support.</w:t>
            </w:r>
          </w:p>
        </w:tc>
        <w:tc>
          <w:tcPr>
            <w:tcW w:type="dxa" w:w="2556"/>
            <w:vAlign w:val="top"/>
          </w:tcPr>
          <w:p>
            <w:pPr>
              <w:spacing w:after="0"/>
            </w:pPr>
            <w:r/>
            <w:r>
              <w:rPr>
                <w:b w:val="0"/>
              </w:rPr>
              <w:t>Learning companion, course recommendations.</w:t>
            </w:r>
          </w:p>
        </w:tc>
        <w:tc>
          <w:tcPr>
            <w:tcW w:type="dxa" w:w="2556"/>
            <w:vAlign w:val="top"/>
          </w:tcPr>
          <w:p>
            <w:pPr>
              <w:spacing w:after="0"/>
            </w:pPr>
            <w:r/>
            <w:r>
              <w:rPr>
                <w:b w:val="0"/>
              </w:rPr>
              <w:t>Consent, RAG source controls, monitoring, evaluations.</w:t>
            </w:r>
          </w:p>
        </w:tc>
      </w:tr>
      <w:tr>
        <w:tc>
          <w:tcPr>
            <w:tcW w:type="dxa" w:w="2556"/>
            <w:vAlign w:val="top"/>
          </w:tcPr>
          <w:p>
            <w:pPr>
              <w:spacing w:after="0"/>
            </w:pPr>
            <w:r/>
            <w:r>
              <w:rPr>
                <w:b w:val="0"/>
              </w:rPr>
              <w:t>AI-3</w:t>
            </w:r>
          </w:p>
        </w:tc>
        <w:tc>
          <w:tcPr>
            <w:tcW w:type="dxa" w:w="2556"/>
            <w:vAlign w:val="top"/>
          </w:tcPr>
          <w:p>
            <w:pPr>
              <w:spacing w:after="0"/>
            </w:pPr>
            <w:r/>
            <w:r>
              <w:rPr>
                <w:b w:val="0"/>
              </w:rPr>
              <w:t>Sensitive wellbeing or financial capability support.</w:t>
            </w:r>
          </w:p>
        </w:tc>
        <w:tc>
          <w:tcPr>
            <w:tcW w:type="dxa" w:w="2556"/>
            <w:vAlign w:val="top"/>
          </w:tcPr>
          <w:p>
            <w:pPr>
              <w:spacing w:after="0"/>
            </w:pPr>
            <w:r/>
            <w:r>
              <w:rPr>
                <w:b w:val="0"/>
              </w:rPr>
              <w:t>Journaling insights, budgeting education.</w:t>
            </w:r>
          </w:p>
        </w:tc>
        <w:tc>
          <w:tcPr>
            <w:tcW w:type="dxa" w:w="2556"/>
            <w:vAlign w:val="top"/>
          </w:tcPr>
          <w:p>
            <w:pPr>
              <w:spacing w:after="0"/>
            </w:pPr>
            <w:r/>
            <w:r>
              <w:rPr>
                <w:b w:val="0"/>
              </w:rPr>
              <w:t>AI DPIA, human escalation, strict disclaimers, safety guardrails.</w:t>
            </w:r>
          </w:p>
        </w:tc>
      </w:tr>
      <w:tr>
        <w:tc>
          <w:tcPr>
            <w:tcW w:type="dxa" w:w="2556"/>
            <w:vAlign w:val="top"/>
          </w:tcPr>
          <w:p>
            <w:pPr>
              <w:spacing w:after="0"/>
            </w:pPr>
            <w:r/>
            <w:r>
              <w:rPr>
                <w:b w:val="0"/>
              </w:rPr>
              <w:t>AI-4</w:t>
            </w:r>
          </w:p>
        </w:tc>
        <w:tc>
          <w:tcPr>
            <w:tcW w:type="dxa" w:w="2556"/>
            <w:vAlign w:val="top"/>
          </w:tcPr>
          <w:p>
            <w:pPr>
              <w:spacing w:after="0"/>
            </w:pPr>
            <w:r/>
            <w:r>
              <w:rPr>
                <w:b w:val="0"/>
              </w:rPr>
              <w:t>High-impact or regulated-adjacent.</w:t>
            </w:r>
          </w:p>
        </w:tc>
        <w:tc>
          <w:tcPr>
            <w:tcW w:type="dxa" w:w="2556"/>
            <w:vAlign w:val="top"/>
          </w:tcPr>
          <w:p>
            <w:pPr>
              <w:spacing w:after="0"/>
            </w:pPr>
            <w:r/>
            <w:r>
              <w:rPr>
                <w:b w:val="0"/>
              </w:rPr>
              <w:t>Financial recommendations, medical triage, legal guidance.</w:t>
            </w:r>
          </w:p>
        </w:tc>
        <w:tc>
          <w:tcPr>
            <w:tcW w:type="dxa" w:w="2556"/>
            <w:vAlign w:val="top"/>
          </w:tcPr>
          <w:p>
            <w:pPr>
              <w:spacing w:after="0"/>
            </w:pPr>
            <w:r/>
            <w:r>
              <w:rPr>
                <w:b w:val="0"/>
              </w:rPr>
              <w:t>Not launched without legal/regulatory approval and licensed partner model.</w:t>
            </w:r>
          </w:p>
        </w:tc>
      </w:tr>
      <w:tr>
        <w:tc>
          <w:tcPr>
            <w:tcW w:type="dxa" w:w="2556"/>
            <w:vAlign w:val="top"/>
          </w:tcPr>
          <w:p>
            <w:pPr>
              <w:spacing w:after="0"/>
            </w:pPr>
            <w:r/>
            <w:r>
              <w:rPr>
                <w:b w:val="0"/>
              </w:rPr>
              <w:t>AI-X</w:t>
            </w:r>
          </w:p>
        </w:tc>
        <w:tc>
          <w:tcPr>
            <w:tcW w:type="dxa" w:w="2556"/>
            <w:vAlign w:val="top"/>
          </w:tcPr>
          <w:p>
            <w:pPr>
              <w:spacing w:after="0"/>
            </w:pPr>
            <w:r/>
            <w:r>
              <w:rPr>
                <w:b w:val="0"/>
              </w:rPr>
              <w:t>Prohibited or deferred.</w:t>
            </w:r>
          </w:p>
        </w:tc>
        <w:tc>
          <w:tcPr>
            <w:tcW w:type="dxa" w:w="2556"/>
            <w:vAlign w:val="top"/>
          </w:tcPr>
          <w:p>
            <w:pPr>
              <w:spacing w:after="0"/>
            </w:pPr>
            <w:r/>
            <w:r>
              <w:rPr>
                <w:b w:val="0"/>
              </w:rPr>
              <w:t>Fatwa issuance, diagnosis, investment advice, surveillance profiling.</w:t>
            </w:r>
          </w:p>
        </w:tc>
        <w:tc>
          <w:tcPr>
            <w:tcW w:type="dxa" w:w="2556"/>
            <w:vAlign w:val="top"/>
          </w:tcPr>
          <w:p>
            <w:pPr>
              <w:spacing w:after="0"/>
            </w:pPr>
            <w:r/>
            <w:r>
              <w:rPr>
                <w:b w:val="0"/>
              </w:rPr>
              <w:t>Rejected unless future constitutional and legal framework changes.</w:t>
            </w:r>
          </w:p>
        </w:tc>
      </w:tr>
    </w:tbl>
    <w:p/>
    <w:p>
      <w:pPr>
        <w:pStyle w:val="Heading1"/>
      </w:pPr>
      <w:r>
        <w:t>Part III - Enterprise Architecture</w:t>
      </w:r>
    </w:p>
    <w:p>
      <w:pPr>
        <w:pStyle w:val="Heading2"/>
      </w:pPr>
      <w:r>
        <w:t>Article EA-001 - Architecture Principle</w:t>
      </w:r>
    </w:p>
    <w:p>
      <w:pPr>
        <w:spacing w:after="120" w:line="259" w:lineRule="auto"/>
      </w:pPr>
      <w:r>
        <w:t>Architecture exists to reduce institutional chaos. Afiyah shall operate as a composable digital institution: one constitution, one identity, one trust platform, one knowledge base, one design language, many products. Applications may change; capabilities endure.</w:t>
      </w:r>
    </w:p>
    <w:p>
      <w:r>
        <w:rPr>
          <w:b/>
          <w:color w:val="AD8633"/>
        </w:rPr>
        <w:t>Table EA-T01 - Enterprise Capability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Capability ID</w:t>
            </w:r>
          </w:p>
        </w:tc>
        <w:tc>
          <w:tcPr>
            <w:tcW w:type="dxa" w:w="2556"/>
            <w:vAlign w:val="top"/>
            <w:shd w:fill="0C383F"/>
          </w:tcPr>
          <w:p>
            <w:pPr>
              <w:spacing w:after="0"/>
            </w:pPr>
            <w:r/>
            <w:r>
              <w:rPr>
                <w:b/>
                <w:color w:val="FFFFFF"/>
              </w:rPr>
              <w:t>Capability</w:t>
            </w:r>
          </w:p>
        </w:tc>
        <w:tc>
          <w:tcPr>
            <w:tcW w:type="dxa" w:w="2556"/>
            <w:vAlign w:val="top"/>
            <w:shd w:fill="0C383F"/>
          </w:tcPr>
          <w:p>
            <w:pPr>
              <w:spacing w:after="0"/>
            </w:pPr>
            <w:r/>
            <w:r>
              <w:rPr>
                <w:b/>
                <w:color w:val="FFFFFF"/>
              </w:rPr>
              <w:t>Primary Owner</w:t>
            </w:r>
          </w:p>
        </w:tc>
        <w:tc>
          <w:tcPr>
            <w:tcW w:type="dxa" w:w="2556"/>
            <w:vAlign w:val="top"/>
            <w:shd w:fill="0C383F"/>
          </w:tcPr>
          <w:p>
            <w:pPr>
              <w:spacing w:after="0"/>
            </w:pPr>
            <w:r/>
            <w:r>
              <w:rPr>
                <w:b/>
                <w:color w:val="FFFFFF"/>
              </w:rPr>
              <w:t>Constitutional Principles</w:t>
            </w:r>
          </w:p>
        </w:tc>
      </w:tr>
      <w:tr>
        <w:tc>
          <w:tcPr>
            <w:tcW w:type="dxa" w:w="2556"/>
            <w:vAlign w:val="top"/>
          </w:tcPr>
          <w:p>
            <w:pPr>
              <w:spacing w:after="0"/>
            </w:pPr>
            <w:r/>
            <w:r>
              <w:rPr>
                <w:b w:val="0"/>
              </w:rPr>
              <w:t>CAP-01</w:t>
            </w:r>
          </w:p>
        </w:tc>
        <w:tc>
          <w:tcPr>
            <w:tcW w:type="dxa" w:w="2556"/>
            <w:vAlign w:val="top"/>
          </w:tcPr>
          <w:p>
            <w:pPr>
              <w:spacing w:after="0"/>
            </w:pPr>
            <w:r/>
            <w:r>
              <w:rPr>
                <w:b w:val="0"/>
              </w:rPr>
              <w:t>Constitutional Governance</w:t>
            </w:r>
          </w:p>
        </w:tc>
        <w:tc>
          <w:tcPr>
            <w:tcW w:type="dxa" w:w="2556"/>
            <w:vAlign w:val="top"/>
          </w:tcPr>
          <w:p>
            <w:pPr>
              <w:spacing w:after="0"/>
            </w:pPr>
            <w:r/>
            <w:r>
              <w:rPr>
                <w:b w:val="0"/>
              </w:rPr>
              <w:t>Board / Constitutional Office</w:t>
            </w:r>
          </w:p>
        </w:tc>
        <w:tc>
          <w:tcPr>
            <w:tcW w:type="dxa" w:w="2556"/>
            <w:vAlign w:val="top"/>
          </w:tcPr>
          <w:p>
            <w:pPr>
              <w:spacing w:after="0"/>
            </w:pPr>
            <w:r/>
            <w:r>
              <w:rPr>
                <w:b w:val="0"/>
              </w:rPr>
              <w:t>Niyyah, Adl, Amanah, Ihsan</w:t>
            </w:r>
          </w:p>
        </w:tc>
      </w:tr>
      <w:tr>
        <w:tc>
          <w:tcPr>
            <w:tcW w:type="dxa" w:w="2556"/>
            <w:vAlign w:val="top"/>
          </w:tcPr>
          <w:p>
            <w:pPr>
              <w:spacing w:after="0"/>
            </w:pPr>
            <w:r/>
            <w:r>
              <w:rPr>
                <w:b w:val="0"/>
              </w:rPr>
              <w:t>CAP-02</w:t>
            </w:r>
          </w:p>
        </w:tc>
        <w:tc>
          <w:tcPr>
            <w:tcW w:type="dxa" w:w="2556"/>
            <w:vAlign w:val="top"/>
          </w:tcPr>
          <w:p>
            <w:pPr>
              <w:spacing w:after="0"/>
            </w:pPr>
            <w:r/>
            <w:r>
              <w:rPr>
                <w:b w:val="0"/>
              </w:rPr>
              <w:t>Shariah &amp; Ethics</w:t>
            </w:r>
          </w:p>
        </w:tc>
        <w:tc>
          <w:tcPr>
            <w:tcW w:type="dxa" w:w="2556"/>
            <w:vAlign w:val="top"/>
          </w:tcPr>
          <w:p>
            <w:pPr>
              <w:spacing w:after="0"/>
            </w:pPr>
            <w:r/>
            <w:r>
              <w:rPr>
                <w:b w:val="0"/>
              </w:rPr>
              <w:t>SAB Secretariat</w:t>
            </w:r>
          </w:p>
        </w:tc>
        <w:tc>
          <w:tcPr>
            <w:tcW w:type="dxa" w:w="2556"/>
            <w:vAlign w:val="top"/>
          </w:tcPr>
          <w:p>
            <w:pPr>
              <w:spacing w:after="0"/>
            </w:pPr>
            <w:r/>
            <w:r>
              <w:rPr>
                <w:b w:val="0"/>
              </w:rPr>
              <w:t>Deen, Amanah, Adl</w:t>
            </w:r>
          </w:p>
        </w:tc>
      </w:tr>
      <w:tr>
        <w:tc>
          <w:tcPr>
            <w:tcW w:type="dxa" w:w="2556"/>
            <w:vAlign w:val="top"/>
          </w:tcPr>
          <w:p>
            <w:pPr>
              <w:spacing w:after="0"/>
            </w:pPr>
            <w:r/>
            <w:r>
              <w:rPr>
                <w:b w:val="0"/>
              </w:rPr>
              <w:t>CAP-03</w:t>
            </w:r>
          </w:p>
        </w:tc>
        <w:tc>
          <w:tcPr>
            <w:tcW w:type="dxa" w:w="2556"/>
            <w:vAlign w:val="top"/>
          </w:tcPr>
          <w:p>
            <w:pPr>
              <w:spacing w:after="0"/>
            </w:pPr>
            <w:r/>
            <w:r>
              <w:rPr>
                <w:b w:val="0"/>
              </w:rPr>
              <w:t>Identity &amp; Trust</w:t>
            </w:r>
          </w:p>
        </w:tc>
        <w:tc>
          <w:tcPr>
            <w:tcW w:type="dxa" w:w="2556"/>
            <w:vAlign w:val="top"/>
          </w:tcPr>
          <w:p>
            <w:pPr>
              <w:spacing w:after="0"/>
            </w:pPr>
            <w:r/>
            <w:r>
              <w:rPr>
                <w:b w:val="0"/>
              </w:rPr>
              <w:t>CIO / CISO</w:t>
            </w:r>
          </w:p>
        </w:tc>
        <w:tc>
          <w:tcPr>
            <w:tcW w:type="dxa" w:w="2556"/>
            <w:vAlign w:val="top"/>
          </w:tcPr>
          <w:p>
            <w:pPr>
              <w:spacing w:after="0"/>
            </w:pPr>
            <w:r/>
            <w:r>
              <w:rPr>
                <w:b w:val="0"/>
              </w:rPr>
              <w:t>Amanah, Adl</w:t>
            </w:r>
          </w:p>
        </w:tc>
      </w:tr>
      <w:tr>
        <w:tc>
          <w:tcPr>
            <w:tcW w:type="dxa" w:w="2556"/>
            <w:vAlign w:val="top"/>
          </w:tcPr>
          <w:p>
            <w:pPr>
              <w:spacing w:after="0"/>
            </w:pPr>
            <w:r/>
            <w:r>
              <w:rPr>
                <w:b w:val="0"/>
              </w:rPr>
              <w:t>CAP-04</w:t>
            </w:r>
          </w:p>
        </w:tc>
        <w:tc>
          <w:tcPr>
            <w:tcW w:type="dxa" w:w="2556"/>
            <w:vAlign w:val="top"/>
          </w:tcPr>
          <w:p>
            <w:pPr>
              <w:spacing w:after="0"/>
            </w:pPr>
            <w:r/>
            <w:r>
              <w:rPr>
                <w:b w:val="0"/>
              </w:rPr>
              <w:t>Knowledge &amp; Learning</w:t>
            </w:r>
          </w:p>
        </w:tc>
        <w:tc>
          <w:tcPr>
            <w:tcW w:type="dxa" w:w="2556"/>
            <w:vAlign w:val="top"/>
          </w:tcPr>
          <w:p>
            <w:pPr>
              <w:spacing w:after="0"/>
            </w:pPr>
            <w:r/>
            <w:r>
              <w:rPr>
                <w:b w:val="0"/>
              </w:rPr>
              <w:t>Chief Learning Officer</w:t>
            </w:r>
          </w:p>
        </w:tc>
        <w:tc>
          <w:tcPr>
            <w:tcW w:type="dxa" w:w="2556"/>
            <w:vAlign w:val="top"/>
          </w:tcPr>
          <w:p>
            <w:pPr>
              <w:spacing w:after="0"/>
            </w:pPr>
            <w:r/>
            <w:r>
              <w:rPr>
                <w:b w:val="0"/>
              </w:rPr>
              <w:t>Deen, Ihsan, Sadaqah</w:t>
            </w:r>
          </w:p>
        </w:tc>
      </w:tr>
      <w:tr>
        <w:tc>
          <w:tcPr>
            <w:tcW w:type="dxa" w:w="2556"/>
            <w:vAlign w:val="top"/>
          </w:tcPr>
          <w:p>
            <w:pPr>
              <w:spacing w:after="0"/>
            </w:pPr>
            <w:r/>
            <w:r>
              <w:rPr>
                <w:b w:val="0"/>
              </w:rPr>
              <w:t>CAP-05</w:t>
            </w:r>
          </w:p>
        </w:tc>
        <w:tc>
          <w:tcPr>
            <w:tcW w:type="dxa" w:w="2556"/>
            <w:vAlign w:val="top"/>
          </w:tcPr>
          <w:p>
            <w:pPr>
              <w:spacing w:after="0"/>
            </w:pPr>
            <w:r/>
            <w:r>
              <w:rPr>
                <w:b w:val="0"/>
              </w:rPr>
              <w:t>Financial Wellbeing</w:t>
            </w:r>
          </w:p>
        </w:tc>
        <w:tc>
          <w:tcPr>
            <w:tcW w:type="dxa" w:w="2556"/>
            <w:vAlign w:val="top"/>
          </w:tcPr>
          <w:p>
            <w:pPr>
              <w:spacing w:after="0"/>
            </w:pPr>
            <w:r/>
            <w:r>
              <w:rPr>
                <w:b w:val="0"/>
              </w:rPr>
              <w:t>Product + Compliance</w:t>
            </w:r>
          </w:p>
        </w:tc>
        <w:tc>
          <w:tcPr>
            <w:tcW w:type="dxa" w:w="2556"/>
            <w:vAlign w:val="top"/>
          </w:tcPr>
          <w:p>
            <w:pPr>
              <w:spacing w:after="0"/>
            </w:pPr>
            <w:r/>
            <w:r>
              <w:rPr>
                <w:b w:val="0"/>
              </w:rPr>
              <w:t>Adl, Amanah, Barakah</w:t>
            </w:r>
          </w:p>
        </w:tc>
      </w:tr>
      <w:tr>
        <w:tc>
          <w:tcPr>
            <w:tcW w:type="dxa" w:w="2556"/>
            <w:vAlign w:val="top"/>
          </w:tcPr>
          <w:p>
            <w:pPr>
              <w:spacing w:after="0"/>
            </w:pPr>
            <w:r/>
            <w:r>
              <w:rPr>
                <w:b w:val="0"/>
              </w:rPr>
              <w:t>CAP-06</w:t>
            </w:r>
          </w:p>
        </w:tc>
        <w:tc>
          <w:tcPr>
            <w:tcW w:type="dxa" w:w="2556"/>
            <w:vAlign w:val="top"/>
          </w:tcPr>
          <w:p>
            <w:pPr>
              <w:spacing w:after="0"/>
            </w:pPr>
            <w:r/>
            <w:r>
              <w:rPr>
                <w:b w:val="0"/>
              </w:rPr>
              <w:t>Wellbeing</w:t>
            </w:r>
          </w:p>
        </w:tc>
        <w:tc>
          <w:tcPr>
            <w:tcW w:type="dxa" w:w="2556"/>
            <w:vAlign w:val="top"/>
          </w:tcPr>
          <w:p>
            <w:pPr>
              <w:spacing w:after="0"/>
            </w:pPr>
            <w:r/>
            <w:r>
              <w:rPr>
                <w:b w:val="0"/>
              </w:rPr>
              <w:t>Product + Clinical/Wellbeing Advisors</w:t>
            </w:r>
          </w:p>
        </w:tc>
        <w:tc>
          <w:tcPr>
            <w:tcW w:type="dxa" w:w="2556"/>
            <w:vAlign w:val="top"/>
          </w:tcPr>
          <w:p>
            <w:pPr>
              <w:spacing w:after="0"/>
            </w:pPr>
            <w:r/>
            <w:r>
              <w:rPr>
                <w:b w:val="0"/>
              </w:rPr>
              <w:t>Afiyah, Amanah</w:t>
            </w:r>
          </w:p>
        </w:tc>
      </w:tr>
      <w:tr>
        <w:tc>
          <w:tcPr>
            <w:tcW w:type="dxa" w:w="2556"/>
            <w:vAlign w:val="top"/>
          </w:tcPr>
          <w:p>
            <w:pPr>
              <w:spacing w:after="0"/>
            </w:pPr>
            <w:r/>
            <w:r>
              <w:rPr>
                <w:b w:val="0"/>
              </w:rPr>
              <w:t>CAP-07</w:t>
            </w:r>
          </w:p>
        </w:tc>
        <w:tc>
          <w:tcPr>
            <w:tcW w:type="dxa" w:w="2556"/>
            <w:vAlign w:val="top"/>
          </w:tcPr>
          <w:p>
            <w:pPr>
              <w:spacing w:after="0"/>
            </w:pPr>
            <w:r/>
            <w:r>
              <w:rPr>
                <w:b w:val="0"/>
              </w:rPr>
              <w:t>Community</w:t>
            </w:r>
          </w:p>
        </w:tc>
        <w:tc>
          <w:tcPr>
            <w:tcW w:type="dxa" w:w="2556"/>
            <w:vAlign w:val="top"/>
          </w:tcPr>
          <w:p>
            <w:pPr>
              <w:spacing w:after="0"/>
            </w:pPr>
            <w:r/>
            <w:r>
              <w:rPr>
                <w:b w:val="0"/>
              </w:rPr>
              <w:t>Community Operations</w:t>
            </w:r>
          </w:p>
        </w:tc>
        <w:tc>
          <w:tcPr>
            <w:tcW w:type="dxa" w:w="2556"/>
            <w:vAlign w:val="top"/>
          </w:tcPr>
          <w:p>
            <w:pPr>
              <w:spacing w:after="0"/>
            </w:pPr>
            <w:r/>
            <w:r>
              <w:rPr>
                <w:b w:val="0"/>
              </w:rPr>
              <w:t>Adl, Afiyah, Amanah</w:t>
            </w:r>
          </w:p>
        </w:tc>
      </w:tr>
      <w:tr>
        <w:tc>
          <w:tcPr>
            <w:tcW w:type="dxa" w:w="2556"/>
            <w:vAlign w:val="top"/>
          </w:tcPr>
          <w:p>
            <w:pPr>
              <w:spacing w:after="0"/>
            </w:pPr>
            <w:r/>
            <w:r>
              <w:rPr>
                <w:b w:val="0"/>
              </w:rPr>
              <w:t>CAP-08</w:t>
            </w:r>
          </w:p>
        </w:tc>
        <w:tc>
          <w:tcPr>
            <w:tcW w:type="dxa" w:w="2556"/>
            <w:vAlign w:val="top"/>
          </w:tcPr>
          <w:p>
            <w:pPr>
              <w:spacing w:after="0"/>
            </w:pPr>
            <w:r/>
            <w:r>
              <w:rPr>
                <w:b w:val="0"/>
              </w:rPr>
              <w:t>Marketplace</w:t>
            </w:r>
          </w:p>
        </w:tc>
        <w:tc>
          <w:tcPr>
            <w:tcW w:type="dxa" w:w="2556"/>
            <w:vAlign w:val="top"/>
          </w:tcPr>
          <w:p>
            <w:pPr>
              <w:spacing w:after="0"/>
            </w:pPr>
            <w:r/>
            <w:r>
              <w:rPr>
                <w:b w:val="0"/>
              </w:rPr>
              <w:t>Commercial / Compliance</w:t>
            </w:r>
          </w:p>
        </w:tc>
        <w:tc>
          <w:tcPr>
            <w:tcW w:type="dxa" w:w="2556"/>
            <w:vAlign w:val="top"/>
          </w:tcPr>
          <w:p>
            <w:pPr>
              <w:spacing w:after="0"/>
            </w:pPr>
            <w:r/>
            <w:r>
              <w:rPr>
                <w:b w:val="0"/>
              </w:rPr>
              <w:t>Adl, Barakah, Sadaqah</w:t>
            </w:r>
          </w:p>
        </w:tc>
      </w:tr>
      <w:tr>
        <w:tc>
          <w:tcPr>
            <w:tcW w:type="dxa" w:w="2556"/>
            <w:vAlign w:val="top"/>
          </w:tcPr>
          <w:p>
            <w:pPr>
              <w:spacing w:after="0"/>
            </w:pPr>
            <w:r/>
            <w:r>
              <w:rPr>
                <w:b w:val="0"/>
              </w:rPr>
              <w:t>CAP-09</w:t>
            </w:r>
          </w:p>
        </w:tc>
        <w:tc>
          <w:tcPr>
            <w:tcW w:type="dxa" w:w="2556"/>
            <w:vAlign w:val="top"/>
          </w:tcPr>
          <w:p>
            <w:pPr>
              <w:spacing w:after="0"/>
            </w:pPr>
            <w:r/>
            <w:r>
              <w:rPr>
                <w:b w:val="0"/>
              </w:rPr>
              <w:t>Artificial Intelligence</w:t>
            </w:r>
          </w:p>
        </w:tc>
        <w:tc>
          <w:tcPr>
            <w:tcW w:type="dxa" w:w="2556"/>
            <w:vAlign w:val="top"/>
          </w:tcPr>
          <w:p>
            <w:pPr>
              <w:spacing w:after="0"/>
            </w:pPr>
            <w:r/>
            <w:r>
              <w:rPr>
                <w:b w:val="0"/>
              </w:rPr>
              <w:t>Chief AI Officer</w:t>
            </w:r>
          </w:p>
        </w:tc>
        <w:tc>
          <w:tcPr>
            <w:tcW w:type="dxa" w:w="2556"/>
            <w:vAlign w:val="top"/>
          </w:tcPr>
          <w:p>
            <w:pPr>
              <w:spacing w:after="0"/>
            </w:pPr>
            <w:r/>
            <w:r>
              <w:rPr>
                <w:b w:val="0"/>
              </w:rPr>
              <w:t>Niyyah, Amanah, Ihsan</w:t>
            </w:r>
          </w:p>
        </w:tc>
      </w:tr>
      <w:tr>
        <w:tc>
          <w:tcPr>
            <w:tcW w:type="dxa" w:w="2556"/>
            <w:vAlign w:val="top"/>
          </w:tcPr>
          <w:p>
            <w:pPr>
              <w:spacing w:after="0"/>
            </w:pPr>
            <w:r/>
            <w:r>
              <w:rPr>
                <w:b w:val="0"/>
              </w:rPr>
              <w:t>CAP-10</w:t>
            </w:r>
          </w:p>
        </w:tc>
        <w:tc>
          <w:tcPr>
            <w:tcW w:type="dxa" w:w="2556"/>
            <w:vAlign w:val="top"/>
          </w:tcPr>
          <w:p>
            <w:pPr>
              <w:spacing w:after="0"/>
            </w:pPr>
            <w:r/>
            <w:r>
              <w:rPr>
                <w:b w:val="0"/>
              </w:rPr>
              <w:t>Enterprise Operations</w:t>
            </w:r>
          </w:p>
        </w:tc>
        <w:tc>
          <w:tcPr>
            <w:tcW w:type="dxa" w:w="2556"/>
            <w:vAlign w:val="top"/>
          </w:tcPr>
          <w:p>
            <w:pPr>
              <w:spacing w:after="0"/>
            </w:pPr>
            <w:r/>
            <w:r>
              <w:rPr>
                <w:b w:val="0"/>
              </w:rPr>
              <w:t>COO</w:t>
            </w:r>
          </w:p>
        </w:tc>
        <w:tc>
          <w:tcPr>
            <w:tcW w:type="dxa" w:w="2556"/>
            <w:vAlign w:val="top"/>
          </w:tcPr>
          <w:p>
            <w:pPr>
              <w:spacing w:after="0"/>
            </w:pPr>
            <w:r/>
            <w:r>
              <w:rPr>
                <w:b w:val="0"/>
              </w:rPr>
              <w:t>Ihsan, Amanah</w:t>
            </w:r>
          </w:p>
        </w:tc>
      </w:tr>
      <w:tr>
        <w:tc>
          <w:tcPr>
            <w:tcW w:type="dxa" w:w="2556"/>
            <w:vAlign w:val="top"/>
          </w:tcPr>
          <w:p>
            <w:pPr>
              <w:spacing w:after="0"/>
            </w:pPr>
            <w:r/>
            <w:r>
              <w:rPr>
                <w:b w:val="0"/>
              </w:rPr>
              <w:t>CAP-11</w:t>
            </w:r>
          </w:p>
        </w:tc>
        <w:tc>
          <w:tcPr>
            <w:tcW w:type="dxa" w:w="2556"/>
            <w:vAlign w:val="top"/>
          </w:tcPr>
          <w:p>
            <w:pPr>
              <w:spacing w:after="0"/>
            </w:pPr>
            <w:r/>
            <w:r>
              <w:rPr>
                <w:b w:val="0"/>
              </w:rPr>
              <w:t>Risk &amp; Resilience</w:t>
            </w:r>
          </w:p>
        </w:tc>
        <w:tc>
          <w:tcPr>
            <w:tcW w:type="dxa" w:w="2556"/>
            <w:vAlign w:val="top"/>
          </w:tcPr>
          <w:p>
            <w:pPr>
              <w:spacing w:after="0"/>
            </w:pPr>
            <w:r/>
            <w:r>
              <w:rPr>
                <w:b w:val="0"/>
              </w:rPr>
              <w:t>CRO / CISO</w:t>
            </w:r>
          </w:p>
        </w:tc>
        <w:tc>
          <w:tcPr>
            <w:tcW w:type="dxa" w:w="2556"/>
            <w:vAlign w:val="top"/>
          </w:tcPr>
          <w:p>
            <w:pPr>
              <w:spacing w:after="0"/>
            </w:pPr>
            <w:r/>
            <w:r>
              <w:rPr>
                <w:b w:val="0"/>
              </w:rPr>
              <w:t>Amanah, Adl</w:t>
            </w:r>
          </w:p>
        </w:tc>
      </w:tr>
      <w:tr>
        <w:tc>
          <w:tcPr>
            <w:tcW w:type="dxa" w:w="2556"/>
            <w:vAlign w:val="top"/>
          </w:tcPr>
          <w:p>
            <w:pPr>
              <w:spacing w:after="0"/>
            </w:pPr>
            <w:r/>
            <w:r>
              <w:rPr>
                <w:b w:val="0"/>
              </w:rPr>
              <w:t>CAP-12</w:t>
            </w:r>
          </w:p>
        </w:tc>
        <w:tc>
          <w:tcPr>
            <w:tcW w:type="dxa" w:w="2556"/>
            <w:vAlign w:val="top"/>
          </w:tcPr>
          <w:p>
            <w:pPr>
              <w:spacing w:after="0"/>
            </w:pPr>
            <w:r/>
            <w:r>
              <w:rPr>
                <w:b w:val="0"/>
              </w:rPr>
              <w:t>Innovation &amp; Research</w:t>
            </w:r>
          </w:p>
        </w:tc>
        <w:tc>
          <w:tcPr>
            <w:tcW w:type="dxa" w:w="2556"/>
            <w:vAlign w:val="top"/>
          </w:tcPr>
          <w:p>
            <w:pPr>
              <w:spacing w:after="0"/>
            </w:pPr>
            <w:r/>
            <w:r>
              <w:rPr>
                <w:b w:val="0"/>
              </w:rPr>
              <w:t>Strategy / Research Office</w:t>
            </w:r>
          </w:p>
        </w:tc>
        <w:tc>
          <w:tcPr>
            <w:tcW w:type="dxa" w:w="2556"/>
            <w:vAlign w:val="top"/>
          </w:tcPr>
          <w:p>
            <w:pPr>
              <w:spacing w:after="0"/>
            </w:pPr>
            <w:r/>
            <w:r>
              <w:rPr>
                <w:b w:val="0"/>
              </w:rPr>
              <w:t>Niyyah, Ihsan, Barakah</w:t>
            </w:r>
          </w:p>
        </w:tc>
      </w:tr>
    </w:tbl>
    <w:p/>
    <w:p>
      <w:pPr>
        <w:pStyle w:val="Heading2"/>
      </w:pPr>
      <w:r>
        <w:t>Article EA-002 - Target Architecture Layers</w:t>
      </w:r>
    </w:p>
    <w:p>
      <w:r>
        <w:rPr>
          <w:b/>
          <w:color w:val="AD8633"/>
        </w:rPr>
        <w:t>Table EA-T02 - Target Architecture Layer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Layer</w:t>
            </w:r>
          </w:p>
        </w:tc>
        <w:tc>
          <w:tcPr>
            <w:tcW w:type="dxa" w:w="3408"/>
            <w:vAlign w:val="top"/>
            <w:shd w:fill="0C383F"/>
          </w:tcPr>
          <w:p>
            <w:pPr>
              <w:spacing w:after="0"/>
            </w:pPr>
            <w:r/>
            <w:r>
              <w:rPr>
                <w:b/>
                <w:color w:val="FFFFFF"/>
              </w:rPr>
              <w:t>Description</w:t>
            </w:r>
          </w:p>
        </w:tc>
        <w:tc>
          <w:tcPr>
            <w:tcW w:type="dxa" w:w="3408"/>
            <w:vAlign w:val="top"/>
            <w:shd w:fill="0C383F"/>
          </w:tcPr>
          <w:p>
            <w:pPr>
              <w:spacing w:after="0"/>
            </w:pPr>
            <w:r/>
            <w:r>
              <w:rPr>
                <w:b/>
                <w:color w:val="FFFFFF"/>
              </w:rPr>
              <w:t>Core Artefacts</w:t>
            </w:r>
          </w:p>
        </w:tc>
      </w:tr>
      <w:tr>
        <w:tc>
          <w:tcPr>
            <w:tcW w:type="dxa" w:w="3408"/>
            <w:vAlign w:val="top"/>
          </w:tcPr>
          <w:p>
            <w:pPr>
              <w:spacing w:after="0"/>
            </w:pPr>
            <w:r/>
            <w:r>
              <w:rPr>
                <w:b w:val="0"/>
              </w:rPr>
              <w:t>Experience</w:t>
            </w:r>
          </w:p>
        </w:tc>
        <w:tc>
          <w:tcPr>
            <w:tcW w:type="dxa" w:w="3408"/>
            <w:vAlign w:val="top"/>
          </w:tcPr>
          <w:p>
            <w:pPr>
              <w:spacing w:after="0"/>
            </w:pPr>
            <w:r/>
            <w:r>
              <w:rPr>
                <w:b w:val="0"/>
              </w:rPr>
              <w:t>Mobile app, web, partner portal, admin portal, scholar portal.</w:t>
            </w:r>
          </w:p>
        </w:tc>
        <w:tc>
          <w:tcPr>
            <w:tcW w:type="dxa" w:w="3408"/>
            <w:vAlign w:val="top"/>
          </w:tcPr>
          <w:p>
            <w:pPr>
              <w:spacing w:after="0"/>
            </w:pPr>
            <w:r/>
            <w:r>
              <w:rPr>
                <w:b w:val="0"/>
              </w:rPr>
              <w:t>Journeys, screens, components, accessibility specifications.</w:t>
            </w:r>
          </w:p>
        </w:tc>
      </w:tr>
      <w:tr>
        <w:tc>
          <w:tcPr>
            <w:tcW w:type="dxa" w:w="3408"/>
            <w:vAlign w:val="top"/>
          </w:tcPr>
          <w:p>
            <w:pPr>
              <w:spacing w:after="0"/>
            </w:pPr>
            <w:r/>
            <w:r>
              <w:rPr>
                <w:b w:val="0"/>
              </w:rPr>
              <w:t>Product Services</w:t>
            </w:r>
          </w:p>
        </w:tc>
        <w:tc>
          <w:tcPr>
            <w:tcW w:type="dxa" w:w="3408"/>
            <w:vAlign w:val="top"/>
          </w:tcPr>
          <w:p>
            <w:pPr>
              <w:spacing w:after="0"/>
            </w:pPr>
            <w:r/>
            <w:r>
              <w:rPr>
                <w:b w:val="0"/>
              </w:rPr>
              <w:t>Learning, wellbeing, finance education, community, marketplace.</w:t>
            </w:r>
          </w:p>
        </w:tc>
        <w:tc>
          <w:tcPr>
            <w:tcW w:type="dxa" w:w="3408"/>
            <w:vAlign w:val="top"/>
          </w:tcPr>
          <w:p>
            <w:pPr>
              <w:spacing w:after="0"/>
            </w:pPr>
            <w:r/>
            <w:r>
              <w:rPr>
                <w:b w:val="0"/>
              </w:rPr>
              <w:t>Service catalogue, domain services, APIs.</w:t>
            </w:r>
          </w:p>
        </w:tc>
      </w:tr>
      <w:tr>
        <w:tc>
          <w:tcPr>
            <w:tcW w:type="dxa" w:w="3408"/>
            <w:vAlign w:val="top"/>
          </w:tcPr>
          <w:p>
            <w:pPr>
              <w:spacing w:after="0"/>
            </w:pPr>
            <w:r/>
            <w:r>
              <w:rPr>
                <w:b w:val="0"/>
              </w:rPr>
              <w:t>Trust Services</w:t>
            </w:r>
          </w:p>
        </w:tc>
        <w:tc>
          <w:tcPr>
            <w:tcW w:type="dxa" w:w="3408"/>
            <w:vAlign w:val="top"/>
          </w:tcPr>
          <w:p>
            <w:pPr>
              <w:spacing w:after="0"/>
            </w:pPr>
            <w:r/>
            <w:r>
              <w:rPr>
                <w:b w:val="0"/>
              </w:rPr>
              <w:t>Identity, consent, privacy, audit, permissions, risk.</w:t>
            </w:r>
          </w:p>
        </w:tc>
        <w:tc>
          <w:tcPr>
            <w:tcW w:type="dxa" w:w="3408"/>
            <w:vAlign w:val="top"/>
          </w:tcPr>
          <w:p>
            <w:pPr>
              <w:spacing w:after="0"/>
            </w:pPr>
            <w:r/>
            <w:r>
              <w:rPr>
                <w:b w:val="0"/>
              </w:rPr>
              <w:t>IAM, consent engine, audit ledger, policy engine.</w:t>
            </w:r>
          </w:p>
        </w:tc>
      </w:tr>
      <w:tr>
        <w:tc>
          <w:tcPr>
            <w:tcW w:type="dxa" w:w="3408"/>
            <w:vAlign w:val="top"/>
          </w:tcPr>
          <w:p>
            <w:pPr>
              <w:spacing w:after="0"/>
            </w:pPr>
            <w:r/>
            <w:r>
              <w:rPr>
                <w:b w:val="0"/>
              </w:rPr>
              <w:t>AI Services</w:t>
            </w:r>
          </w:p>
        </w:tc>
        <w:tc>
          <w:tcPr>
            <w:tcW w:type="dxa" w:w="3408"/>
            <w:vAlign w:val="top"/>
          </w:tcPr>
          <w:p>
            <w:pPr>
              <w:spacing w:after="0"/>
            </w:pPr>
            <w:r/>
            <w:r>
              <w:rPr>
                <w:b w:val="0"/>
              </w:rPr>
              <w:t>Orchestration, RAG, memory, agents, evaluation, guardrails.</w:t>
            </w:r>
          </w:p>
        </w:tc>
        <w:tc>
          <w:tcPr>
            <w:tcW w:type="dxa" w:w="3408"/>
            <w:vAlign w:val="top"/>
          </w:tcPr>
          <w:p>
            <w:pPr>
              <w:spacing w:after="0"/>
            </w:pPr>
            <w:r/>
            <w:r>
              <w:rPr>
                <w:b w:val="0"/>
              </w:rPr>
              <w:t>Model registry, prompt registry, agent cards.</w:t>
            </w:r>
          </w:p>
        </w:tc>
      </w:tr>
      <w:tr>
        <w:tc>
          <w:tcPr>
            <w:tcW w:type="dxa" w:w="3408"/>
            <w:vAlign w:val="top"/>
          </w:tcPr>
          <w:p>
            <w:pPr>
              <w:spacing w:after="0"/>
            </w:pPr>
            <w:r/>
            <w:r>
              <w:rPr>
                <w:b w:val="0"/>
              </w:rPr>
              <w:t>Data Platform</w:t>
            </w:r>
          </w:p>
        </w:tc>
        <w:tc>
          <w:tcPr>
            <w:tcW w:type="dxa" w:w="3408"/>
            <w:vAlign w:val="top"/>
          </w:tcPr>
          <w:p>
            <w:pPr>
              <w:spacing w:after="0"/>
            </w:pPr>
            <w:r/>
            <w:r>
              <w:rPr>
                <w:b w:val="0"/>
              </w:rPr>
              <w:t>PostgreSQL, events, analytics, knowledge graph, vector search.</w:t>
            </w:r>
          </w:p>
        </w:tc>
        <w:tc>
          <w:tcPr>
            <w:tcW w:type="dxa" w:w="3408"/>
            <w:vAlign w:val="top"/>
          </w:tcPr>
          <w:p>
            <w:pPr>
              <w:spacing w:after="0"/>
            </w:pPr>
            <w:r/>
            <w:r>
              <w:rPr>
                <w:b w:val="0"/>
              </w:rPr>
              <w:t>Data models, lineage, classifications.</w:t>
            </w:r>
          </w:p>
        </w:tc>
      </w:tr>
      <w:tr>
        <w:tc>
          <w:tcPr>
            <w:tcW w:type="dxa" w:w="3408"/>
            <w:vAlign w:val="top"/>
          </w:tcPr>
          <w:p>
            <w:pPr>
              <w:spacing w:after="0"/>
            </w:pPr>
            <w:r/>
            <w:r>
              <w:rPr>
                <w:b w:val="0"/>
              </w:rPr>
              <w:t>Integration</w:t>
            </w:r>
          </w:p>
        </w:tc>
        <w:tc>
          <w:tcPr>
            <w:tcW w:type="dxa" w:w="3408"/>
            <w:vAlign w:val="top"/>
          </w:tcPr>
          <w:p>
            <w:pPr>
              <w:spacing w:after="0"/>
            </w:pPr>
            <w:r/>
            <w:r>
              <w:rPr>
                <w:b w:val="0"/>
              </w:rPr>
              <w:t>API gateway, event bus, partner integration, webhooks.</w:t>
            </w:r>
          </w:p>
        </w:tc>
        <w:tc>
          <w:tcPr>
            <w:tcW w:type="dxa" w:w="3408"/>
            <w:vAlign w:val="top"/>
          </w:tcPr>
          <w:p>
            <w:pPr>
              <w:spacing w:after="0"/>
            </w:pPr>
            <w:r/>
            <w:r>
              <w:rPr>
                <w:b w:val="0"/>
              </w:rPr>
              <w:t>API specs, contracts, schemas.</w:t>
            </w:r>
          </w:p>
        </w:tc>
      </w:tr>
      <w:tr>
        <w:tc>
          <w:tcPr>
            <w:tcW w:type="dxa" w:w="3408"/>
            <w:vAlign w:val="top"/>
          </w:tcPr>
          <w:p>
            <w:pPr>
              <w:spacing w:after="0"/>
            </w:pPr>
            <w:r/>
            <w:r>
              <w:rPr>
                <w:b w:val="0"/>
              </w:rPr>
              <w:t>Infrastructure</w:t>
            </w:r>
          </w:p>
        </w:tc>
        <w:tc>
          <w:tcPr>
            <w:tcW w:type="dxa" w:w="3408"/>
            <w:vAlign w:val="top"/>
          </w:tcPr>
          <w:p>
            <w:pPr>
              <w:spacing w:after="0"/>
            </w:pPr>
            <w:r/>
            <w:r>
              <w:rPr>
                <w:b w:val="0"/>
              </w:rPr>
              <w:t>Cloud, Kubernetes/serverless, storage, secrets, observability.</w:t>
            </w:r>
          </w:p>
        </w:tc>
        <w:tc>
          <w:tcPr>
            <w:tcW w:type="dxa" w:w="3408"/>
            <w:vAlign w:val="top"/>
          </w:tcPr>
          <w:p>
            <w:pPr>
              <w:spacing w:after="0"/>
            </w:pPr>
            <w:r/>
            <w:r>
              <w:rPr>
                <w:b w:val="0"/>
              </w:rPr>
              <w:t>IaC, runbooks, monitoring dashboards.</w:t>
            </w:r>
          </w:p>
        </w:tc>
      </w:tr>
    </w:tbl>
    <w:p/>
    <w:p>
      <w:pPr>
        <w:pStyle w:val="Heading1"/>
      </w:pPr>
      <w:r>
        <w:t>Part IV - Enterprise Data Architecture</w:t>
      </w:r>
    </w:p>
    <w:p>
      <w:pPr>
        <w:pStyle w:val="Heading2"/>
      </w:pPr>
      <w:r>
        <w:t>Article EDA-001 - Data as Amanah</w:t>
      </w:r>
    </w:p>
    <w:p>
      <w:pPr>
        <w:spacing w:after="120" w:line="259" w:lineRule="auto"/>
      </w:pPr>
      <w:r>
        <w:t>Data is an Amanah. No dataset shall exist without a lawful, constitutional and operational purpose. Applications do not own data. Domains own data. Engineering safeguards data. Users retain rights and choices according to applicable law and institutional policy.</w:t>
      </w:r>
    </w:p>
    <w:p>
      <w:r>
        <w:rPr>
          <w:b/>
          <w:color w:val="AD8633"/>
        </w:rPr>
        <w:t>Table EDA-T01 - Core Data Domain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Domain</w:t>
            </w:r>
          </w:p>
        </w:tc>
        <w:tc>
          <w:tcPr>
            <w:tcW w:type="dxa" w:w="3408"/>
            <w:vAlign w:val="top"/>
            <w:shd w:fill="0C383F"/>
          </w:tcPr>
          <w:p>
            <w:pPr>
              <w:spacing w:after="0"/>
            </w:pPr>
            <w:r/>
            <w:r>
              <w:rPr>
                <w:b/>
                <w:color w:val="FFFFFF"/>
              </w:rPr>
              <w:t>Authoritative Entities</w:t>
            </w:r>
          </w:p>
        </w:tc>
        <w:tc>
          <w:tcPr>
            <w:tcW w:type="dxa" w:w="3408"/>
            <w:vAlign w:val="top"/>
            <w:shd w:fill="0C383F"/>
          </w:tcPr>
          <w:p>
            <w:pPr>
              <w:spacing w:after="0"/>
            </w:pPr>
            <w:r/>
            <w:r>
              <w:rPr>
                <w:b/>
                <w:color w:val="FFFFFF"/>
              </w:rPr>
              <w:t>Restricted Data Considerations</w:t>
            </w:r>
          </w:p>
        </w:tc>
      </w:tr>
      <w:tr>
        <w:tc>
          <w:tcPr>
            <w:tcW w:type="dxa" w:w="3408"/>
            <w:vAlign w:val="top"/>
          </w:tcPr>
          <w:p>
            <w:pPr>
              <w:spacing w:after="0"/>
            </w:pPr>
            <w:r/>
            <w:r>
              <w:rPr>
                <w:b w:val="0"/>
              </w:rPr>
              <w:t>Identity</w:t>
            </w:r>
          </w:p>
        </w:tc>
        <w:tc>
          <w:tcPr>
            <w:tcW w:type="dxa" w:w="3408"/>
            <w:vAlign w:val="top"/>
          </w:tcPr>
          <w:p>
            <w:pPr>
              <w:spacing w:after="0"/>
            </w:pPr>
            <w:r/>
            <w:r>
              <w:rPr>
                <w:b w:val="0"/>
              </w:rPr>
              <w:t>Person, account, role, consent, preference, household, accessibility setting.</w:t>
            </w:r>
          </w:p>
        </w:tc>
        <w:tc>
          <w:tcPr>
            <w:tcW w:type="dxa" w:w="3408"/>
            <w:vAlign w:val="top"/>
          </w:tcPr>
          <w:p>
            <w:pPr>
              <w:spacing w:after="0"/>
            </w:pPr>
            <w:r/>
            <w:r>
              <w:rPr>
                <w:b w:val="0"/>
              </w:rPr>
              <w:t>Identity, contact details, authentication factors, consent records.</w:t>
            </w:r>
          </w:p>
        </w:tc>
      </w:tr>
      <w:tr>
        <w:tc>
          <w:tcPr>
            <w:tcW w:type="dxa" w:w="3408"/>
            <w:vAlign w:val="top"/>
          </w:tcPr>
          <w:p>
            <w:pPr>
              <w:spacing w:after="0"/>
            </w:pPr>
            <w:r/>
            <w:r>
              <w:rPr>
                <w:b w:val="0"/>
              </w:rPr>
              <w:t>Learning</w:t>
            </w:r>
          </w:p>
        </w:tc>
        <w:tc>
          <w:tcPr>
            <w:tcW w:type="dxa" w:w="3408"/>
            <w:vAlign w:val="top"/>
          </w:tcPr>
          <w:p>
            <w:pPr>
              <w:spacing w:after="0"/>
            </w:pPr>
            <w:r/>
            <w:r>
              <w:rPr>
                <w:b w:val="0"/>
              </w:rPr>
              <w:t>Course, lesson, quiz, certificate, progress, reflection.</w:t>
            </w:r>
          </w:p>
        </w:tc>
        <w:tc>
          <w:tcPr>
            <w:tcW w:type="dxa" w:w="3408"/>
            <w:vAlign w:val="top"/>
          </w:tcPr>
          <w:p>
            <w:pPr>
              <w:spacing w:after="0"/>
            </w:pPr>
            <w:r/>
            <w:r>
              <w:rPr>
                <w:b w:val="0"/>
              </w:rPr>
              <w:t>Learning analytics, assessment results.</w:t>
            </w:r>
          </w:p>
        </w:tc>
      </w:tr>
      <w:tr>
        <w:tc>
          <w:tcPr>
            <w:tcW w:type="dxa" w:w="3408"/>
            <w:vAlign w:val="top"/>
          </w:tcPr>
          <w:p>
            <w:pPr>
              <w:spacing w:after="0"/>
            </w:pPr>
            <w:r/>
            <w:r>
              <w:rPr>
                <w:b w:val="0"/>
              </w:rPr>
              <w:t>Wellbeing</w:t>
            </w:r>
          </w:p>
        </w:tc>
        <w:tc>
          <w:tcPr>
            <w:tcW w:type="dxa" w:w="3408"/>
            <w:vAlign w:val="top"/>
          </w:tcPr>
          <w:p>
            <w:pPr>
              <w:spacing w:after="0"/>
            </w:pPr>
            <w:r/>
            <w:r>
              <w:rPr>
                <w:b w:val="0"/>
              </w:rPr>
              <w:t>Habit, journal, mood, goal, sleep, cycle education preference.</w:t>
            </w:r>
          </w:p>
        </w:tc>
        <w:tc>
          <w:tcPr>
            <w:tcW w:type="dxa" w:w="3408"/>
            <w:vAlign w:val="top"/>
          </w:tcPr>
          <w:p>
            <w:pPr>
              <w:spacing w:after="0"/>
            </w:pPr>
            <w:r/>
            <w:r>
              <w:rPr>
                <w:b w:val="0"/>
              </w:rPr>
              <w:t>Sensitive wellbeing and private reflections.</w:t>
            </w:r>
          </w:p>
        </w:tc>
      </w:tr>
      <w:tr>
        <w:tc>
          <w:tcPr>
            <w:tcW w:type="dxa" w:w="3408"/>
            <w:vAlign w:val="top"/>
          </w:tcPr>
          <w:p>
            <w:pPr>
              <w:spacing w:after="0"/>
            </w:pPr>
            <w:r/>
            <w:r>
              <w:rPr>
                <w:b w:val="0"/>
              </w:rPr>
              <w:t>Financial Capability</w:t>
            </w:r>
          </w:p>
        </w:tc>
        <w:tc>
          <w:tcPr>
            <w:tcW w:type="dxa" w:w="3408"/>
            <w:vAlign w:val="top"/>
          </w:tcPr>
          <w:p>
            <w:pPr>
              <w:spacing w:after="0"/>
            </w:pPr>
            <w:r/>
            <w:r>
              <w:rPr>
                <w:b w:val="0"/>
              </w:rPr>
              <w:t>Budget, saving goal, debt education record, zakat calculation, confidence score.</w:t>
            </w:r>
          </w:p>
        </w:tc>
        <w:tc>
          <w:tcPr>
            <w:tcW w:type="dxa" w:w="3408"/>
            <w:vAlign w:val="top"/>
          </w:tcPr>
          <w:p>
            <w:pPr>
              <w:spacing w:after="0"/>
            </w:pPr>
            <w:r/>
            <w:r>
              <w:rPr>
                <w:b w:val="0"/>
              </w:rPr>
              <w:t>Financial information and behavioural inferences.</w:t>
            </w:r>
          </w:p>
        </w:tc>
      </w:tr>
      <w:tr>
        <w:tc>
          <w:tcPr>
            <w:tcW w:type="dxa" w:w="3408"/>
            <w:vAlign w:val="top"/>
          </w:tcPr>
          <w:p>
            <w:pPr>
              <w:spacing w:after="0"/>
            </w:pPr>
            <w:r/>
            <w:r>
              <w:rPr>
                <w:b w:val="0"/>
              </w:rPr>
              <w:t>Community</w:t>
            </w:r>
          </w:p>
        </w:tc>
        <w:tc>
          <w:tcPr>
            <w:tcW w:type="dxa" w:w="3408"/>
            <w:vAlign w:val="top"/>
          </w:tcPr>
          <w:p>
            <w:pPr>
              <w:spacing w:after="0"/>
            </w:pPr>
            <w:r/>
            <w:r>
              <w:rPr>
                <w:b w:val="0"/>
              </w:rPr>
              <w:t>Circle, post, moderation case, mentor relation, event.</w:t>
            </w:r>
          </w:p>
        </w:tc>
        <w:tc>
          <w:tcPr>
            <w:tcW w:type="dxa" w:w="3408"/>
            <w:vAlign w:val="top"/>
          </w:tcPr>
          <w:p>
            <w:pPr>
              <w:spacing w:after="0"/>
            </w:pPr>
            <w:r/>
            <w:r>
              <w:rPr>
                <w:b w:val="0"/>
              </w:rPr>
              <w:t>Safety, abuse reports, private group content.</w:t>
            </w:r>
          </w:p>
        </w:tc>
      </w:tr>
      <w:tr>
        <w:tc>
          <w:tcPr>
            <w:tcW w:type="dxa" w:w="3408"/>
            <w:vAlign w:val="top"/>
          </w:tcPr>
          <w:p>
            <w:pPr>
              <w:spacing w:after="0"/>
            </w:pPr>
            <w:r/>
            <w:r>
              <w:rPr>
                <w:b w:val="0"/>
              </w:rPr>
              <w:t>Marketplace</w:t>
            </w:r>
          </w:p>
        </w:tc>
        <w:tc>
          <w:tcPr>
            <w:tcW w:type="dxa" w:w="3408"/>
            <w:vAlign w:val="top"/>
          </w:tcPr>
          <w:p>
            <w:pPr>
              <w:spacing w:after="0"/>
            </w:pPr>
            <w:r/>
            <w:r>
              <w:rPr>
                <w:b w:val="0"/>
              </w:rPr>
              <w:t>Merchant, product, order, payout, due diligence file.</w:t>
            </w:r>
          </w:p>
        </w:tc>
        <w:tc>
          <w:tcPr>
            <w:tcW w:type="dxa" w:w="3408"/>
            <w:vAlign w:val="top"/>
          </w:tcPr>
          <w:p>
            <w:pPr>
              <w:spacing w:after="0"/>
            </w:pPr>
            <w:r/>
            <w:r>
              <w:rPr>
                <w:b w:val="0"/>
              </w:rPr>
              <w:t>Commercial records and partner verification.</w:t>
            </w:r>
          </w:p>
        </w:tc>
      </w:tr>
      <w:tr>
        <w:tc>
          <w:tcPr>
            <w:tcW w:type="dxa" w:w="3408"/>
            <w:vAlign w:val="top"/>
          </w:tcPr>
          <w:p>
            <w:pPr>
              <w:spacing w:after="0"/>
            </w:pPr>
            <w:r/>
            <w:r>
              <w:rPr>
                <w:b w:val="0"/>
              </w:rPr>
              <w:t>AI</w:t>
            </w:r>
          </w:p>
        </w:tc>
        <w:tc>
          <w:tcPr>
            <w:tcW w:type="dxa" w:w="3408"/>
            <w:vAlign w:val="top"/>
          </w:tcPr>
          <w:p>
            <w:pPr>
              <w:spacing w:after="0"/>
            </w:pPr>
            <w:r/>
            <w:r>
              <w:rPr>
                <w:b w:val="0"/>
              </w:rPr>
              <w:t>Conversation, context, memory, recommendation, feedback, evaluation.</w:t>
            </w:r>
          </w:p>
        </w:tc>
        <w:tc>
          <w:tcPr>
            <w:tcW w:type="dxa" w:w="3408"/>
            <w:vAlign w:val="top"/>
          </w:tcPr>
          <w:p>
            <w:pPr>
              <w:spacing w:after="0"/>
            </w:pPr>
            <w:r/>
            <w:r>
              <w:rPr>
                <w:b w:val="0"/>
              </w:rPr>
              <w:t>AI memory, prompts, personal context and inferences.</w:t>
            </w:r>
          </w:p>
        </w:tc>
      </w:tr>
      <w:tr>
        <w:tc>
          <w:tcPr>
            <w:tcW w:type="dxa" w:w="3408"/>
            <w:vAlign w:val="top"/>
          </w:tcPr>
          <w:p>
            <w:pPr>
              <w:spacing w:after="0"/>
            </w:pPr>
            <w:r/>
            <w:r>
              <w:rPr>
                <w:b w:val="0"/>
              </w:rPr>
              <w:t>Governance</w:t>
            </w:r>
          </w:p>
        </w:tc>
        <w:tc>
          <w:tcPr>
            <w:tcW w:type="dxa" w:w="3408"/>
            <w:vAlign w:val="top"/>
          </w:tcPr>
          <w:p>
            <w:pPr>
              <w:spacing w:after="0"/>
            </w:pPr>
            <w:r/>
            <w:r>
              <w:rPr>
                <w:b w:val="0"/>
              </w:rPr>
              <w:t>Policy, control, risk, audit finding, board paper, SAB memo.</w:t>
            </w:r>
          </w:p>
        </w:tc>
        <w:tc>
          <w:tcPr>
            <w:tcW w:type="dxa" w:w="3408"/>
            <w:vAlign w:val="top"/>
          </w:tcPr>
          <w:p>
            <w:pPr>
              <w:spacing w:after="0"/>
            </w:pPr>
            <w:r/>
            <w:r>
              <w:rPr>
                <w:b w:val="0"/>
              </w:rPr>
              <w:t>Confidential governance and legal records.</w:t>
            </w:r>
          </w:p>
        </w:tc>
      </w:tr>
    </w:tbl>
    <w:p/>
    <w:p>
      <w:r>
        <w:rPr>
          <w:b/>
          <w:color w:val="AD8633"/>
        </w:rPr>
        <w:t>Table EDA-T02 - Data Classification Standard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Class</w:t>
            </w:r>
          </w:p>
        </w:tc>
        <w:tc>
          <w:tcPr>
            <w:tcW w:type="dxa" w:w="2556"/>
            <w:vAlign w:val="top"/>
            <w:shd w:fill="0C383F"/>
          </w:tcPr>
          <w:p>
            <w:pPr>
              <w:spacing w:after="0"/>
            </w:pPr>
            <w:r/>
            <w:r>
              <w:rPr>
                <w:b/>
                <w:color w:val="FFFFFF"/>
              </w:rPr>
              <w:t>Definition</w:t>
            </w:r>
          </w:p>
        </w:tc>
        <w:tc>
          <w:tcPr>
            <w:tcW w:type="dxa" w:w="2556"/>
            <w:vAlign w:val="top"/>
            <w:shd w:fill="0C383F"/>
          </w:tcPr>
          <w:p>
            <w:pPr>
              <w:spacing w:after="0"/>
            </w:pPr>
            <w:r/>
            <w:r>
              <w:rPr>
                <w:b/>
                <w:color w:val="FFFFFF"/>
              </w:rPr>
              <w:t>Examples</w:t>
            </w:r>
          </w:p>
        </w:tc>
        <w:tc>
          <w:tcPr>
            <w:tcW w:type="dxa" w:w="2556"/>
            <w:vAlign w:val="top"/>
            <w:shd w:fill="0C383F"/>
          </w:tcPr>
          <w:p>
            <w:pPr>
              <w:spacing w:after="0"/>
            </w:pPr>
            <w:r/>
            <w:r>
              <w:rPr>
                <w:b/>
                <w:color w:val="FFFFFF"/>
              </w:rPr>
              <w:t>Minimum Controls</w:t>
            </w:r>
          </w:p>
        </w:tc>
      </w:tr>
      <w:tr>
        <w:tc>
          <w:tcPr>
            <w:tcW w:type="dxa" w:w="2556"/>
            <w:vAlign w:val="top"/>
          </w:tcPr>
          <w:p>
            <w:pPr>
              <w:spacing w:after="0"/>
            </w:pPr>
            <w:r/>
            <w:r>
              <w:rPr>
                <w:b w:val="0"/>
              </w:rPr>
              <w:t>Public</w:t>
            </w:r>
          </w:p>
        </w:tc>
        <w:tc>
          <w:tcPr>
            <w:tcW w:type="dxa" w:w="2556"/>
            <w:vAlign w:val="top"/>
          </w:tcPr>
          <w:p>
            <w:pPr>
              <w:spacing w:after="0"/>
            </w:pPr>
            <w:r/>
            <w:r>
              <w:rPr>
                <w:b w:val="0"/>
              </w:rPr>
              <w:t>Approved for external publication.</w:t>
            </w:r>
          </w:p>
        </w:tc>
        <w:tc>
          <w:tcPr>
            <w:tcW w:type="dxa" w:w="2556"/>
            <w:vAlign w:val="top"/>
          </w:tcPr>
          <w:p>
            <w:pPr>
              <w:spacing w:after="0"/>
            </w:pPr>
            <w:r/>
            <w:r>
              <w:rPr>
                <w:b w:val="0"/>
              </w:rPr>
              <w:t>Website copy, published reports.</w:t>
            </w:r>
          </w:p>
        </w:tc>
        <w:tc>
          <w:tcPr>
            <w:tcW w:type="dxa" w:w="2556"/>
            <w:vAlign w:val="top"/>
          </w:tcPr>
          <w:p>
            <w:pPr>
              <w:spacing w:after="0"/>
            </w:pPr>
            <w:r/>
            <w:r>
              <w:rPr>
                <w:b w:val="0"/>
              </w:rPr>
              <w:t>Approval workflow, version record.</w:t>
            </w:r>
          </w:p>
        </w:tc>
      </w:tr>
      <w:tr>
        <w:tc>
          <w:tcPr>
            <w:tcW w:type="dxa" w:w="2556"/>
            <w:vAlign w:val="top"/>
          </w:tcPr>
          <w:p>
            <w:pPr>
              <w:spacing w:after="0"/>
            </w:pPr>
            <w:r/>
            <w:r>
              <w:rPr>
                <w:b w:val="0"/>
              </w:rPr>
              <w:t>Internal</w:t>
            </w:r>
          </w:p>
        </w:tc>
        <w:tc>
          <w:tcPr>
            <w:tcW w:type="dxa" w:w="2556"/>
            <w:vAlign w:val="top"/>
          </w:tcPr>
          <w:p>
            <w:pPr>
              <w:spacing w:after="0"/>
            </w:pPr>
            <w:r/>
            <w:r>
              <w:rPr>
                <w:b w:val="0"/>
              </w:rPr>
              <w:t>Operational information not public.</w:t>
            </w:r>
          </w:p>
        </w:tc>
        <w:tc>
          <w:tcPr>
            <w:tcW w:type="dxa" w:w="2556"/>
            <w:vAlign w:val="top"/>
          </w:tcPr>
          <w:p>
            <w:pPr>
              <w:spacing w:after="0"/>
            </w:pPr>
            <w:r/>
            <w:r>
              <w:rPr>
                <w:b w:val="0"/>
              </w:rPr>
              <w:t>Team SOPs, non-sensitive meeting notes.</w:t>
            </w:r>
          </w:p>
        </w:tc>
        <w:tc>
          <w:tcPr>
            <w:tcW w:type="dxa" w:w="2556"/>
            <w:vAlign w:val="top"/>
          </w:tcPr>
          <w:p>
            <w:pPr>
              <w:spacing w:after="0"/>
            </w:pPr>
            <w:r/>
            <w:r>
              <w:rPr>
                <w:b w:val="0"/>
              </w:rPr>
              <w:t>Authenticated access, internal distribution.</w:t>
            </w:r>
          </w:p>
        </w:tc>
      </w:tr>
      <w:tr>
        <w:tc>
          <w:tcPr>
            <w:tcW w:type="dxa" w:w="2556"/>
            <w:vAlign w:val="top"/>
          </w:tcPr>
          <w:p>
            <w:pPr>
              <w:spacing w:after="0"/>
            </w:pPr>
            <w:r/>
            <w:r>
              <w:rPr>
                <w:b w:val="0"/>
              </w:rPr>
              <w:t>Confidential</w:t>
            </w:r>
          </w:p>
        </w:tc>
        <w:tc>
          <w:tcPr>
            <w:tcW w:type="dxa" w:w="2556"/>
            <w:vAlign w:val="top"/>
          </w:tcPr>
          <w:p>
            <w:pPr>
              <w:spacing w:after="0"/>
            </w:pPr>
            <w:r/>
            <w:r>
              <w:rPr>
                <w:b w:val="0"/>
              </w:rPr>
              <w:t>Disclosure may harm Afiyah or users.</w:t>
            </w:r>
          </w:p>
        </w:tc>
        <w:tc>
          <w:tcPr>
            <w:tcW w:type="dxa" w:w="2556"/>
            <w:vAlign w:val="top"/>
          </w:tcPr>
          <w:p>
            <w:pPr>
              <w:spacing w:after="0"/>
            </w:pPr>
            <w:r/>
            <w:r>
              <w:rPr>
                <w:b w:val="0"/>
              </w:rPr>
              <w:t>Contracts, roadmaps, financials, partner files.</w:t>
            </w:r>
          </w:p>
        </w:tc>
        <w:tc>
          <w:tcPr>
            <w:tcW w:type="dxa" w:w="2556"/>
            <w:vAlign w:val="top"/>
          </w:tcPr>
          <w:p>
            <w:pPr>
              <w:spacing w:after="0"/>
            </w:pPr>
            <w:r/>
            <w:r>
              <w:rPr>
                <w:b w:val="0"/>
              </w:rPr>
              <w:t>RBAC, encryption, audit logs.</w:t>
            </w:r>
          </w:p>
        </w:tc>
      </w:tr>
      <w:tr>
        <w:tc>
          <w:tcPr>
            <w:tcW w:type="dxa" w:w="2556"/>
            <w:vAlign w:val="top"/>
          </w:tcPr>
          <w:p>
            <w:pPr>
              <w:spacing w:after="0"/>
            </w:pPr>
            <w:r/>
            <w:r>
              <w:rPr>
                <w:b w:val="0"/>
              </w:rPr>
              <w:t>Restricted</w:t>
            </w:r>
          </w:p>
        </w:tc>
        <w:tc>
          <w:tcPr>
            <w:tcW w:type="dxa" w:w="2556"/>
            <w:vAlign w:val="top"/>
          </w:tcPr>
          <w:p>
            <w:pPr>
              <w:spacing w:after="0"/>
            </w:pPr>
            <w:r/>
            <w:r>
              <w:rPr>
                <w:b w:val="0"/>
              </w:rPr>
              <w:t>Highest sensitivity.</w:t>
            </w:r>
          </w:p>
        </w:tc>
        <w:tc>
          <w:tcPr>
            <w:tcW w:type="dxa" w:w="2556"/>
            <w:vAlign w:val="top"/>
          </w:tcPr>
          <w:p>
            <w:pPr>
              <w:spacing w:after="0"/>
            </w:pPr>
            <w:r/>
            <w:r>
              <w:rPr>
                <w:b w:val="0"/>
              </w:rPr>
              <w:t>Journal entries, AI memory, authentication, legal cases, wellbeing records.</w:t>
            </w:r>
          </w:p>
        </w:tc>
        <w:tc>
          <w:tcPr>
            <w:tcW w:type="dxa" w:w="2556"/>
            <w:vAlign w:val="top"/>
          </w:tcPr>
          <w:p>
            <w:pPr>
              <w:spacing w:after="0"/>
            </w:pPr>
            <w:r/>
            <w:r>
              <w:rPr>
                <w:b w:val="0"/>
              </w:rPr>
              <w:t>Least privilege, encryption, heightened audit, retention review.</w:t>
            </w:r>
          </w:p>
        </w:tc>
      </w:tr>
    </w:tbl>
    <w:p/>
    <w:p>
      <w:pPr>
        <w:pStyle w:val="Heading1"/>
      </w:pPr>
      <w:r>
        <w:t>Part V - AI Architecture</w:t>
      </w:r>
    </w:p>
    <w:p>
      <w:pPr>
        <w:pStyle w:val="Heading2"/>
      </w:pPr>
      <w:r>
        <w:t>Article AIA-001 - AI Constitutional Boundary</w:t>
      </w:r>
    </w:p>
    <w:p>
      <w:pPr>
        <w:spacing w:after="120" w:line="259" w:lineRule="auto"/>
      </w:pPr>
      <w:r>
        <w:t>Afiyah AI shall operate as a governed companion and learning guide first. It shall not issue fatwa, medical diagnosis, investment advice, legal representation, or regulated financial advice. It may educate, explain, retrieve sources, structure learning, support reflection, recommend seeking qualified professionals, and escalate high-risk cases.</w:t>
      </w:r>
    </w:p>
    <w:p>
      <w:r>
        <w:rPr>
          <w:b/>
          <w:color w:val="AD8633"/>
        </w:rPr>
        <w:t>Table AIA-T01 - AI Agent Registry v0.1</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0C383F"/>
          </w:tcPr>
          <w:p>
            <w:pPr>
              <w:spacing w:after="0"/>
            </w:pPr>
            <w:r/>
            <w:r>
              <w:rPr>
                <w:b/>
                <w:color w:val="FFFFFF"/>
              </w:rPr>
              <w:t>Agent ID</w:t>
            </w:r>
          </w:p>
        </w:tc>
        <w:tc>
          <w:tcPr>
            <w:tcW w:type="dxa" w:w="2045"/>
            <w:vAlign w:val="top"/>
            <w:shd w:fill="0C383F"/>
          </w:tcPr>
          <w:p>
            <w:pPr>
              <w:spacing w:after="0"/>
            </w:pPr>
            <w:r/>
            <w:r>
              <w:rPr>
                <w:b/>
                <w:color w:val="FFFFFF"/>
              </w:rPr>
              <w:t>Agent Name</w:t>
            </w:r>
          </w:p>
        </w:tc>
        <w:tc>
          <w:tcPr>
            <w:tcW w:type="dxa" w:w="2045"/>
            <w:vAlign w:val="top"/>
            <w:shd w:fill="0C383F"/>
          </w:tcPr>
          <w:p>
            <w:pPr>
              <w:spacing w:after="0"/>
            </w:pPr>
            <w:r/>
            <w:r>
              <w:rPr>
                <w:b/>
                <w:color w:val="FFFFFF"/>
              </w:rPr>
              <w:t>Purpose</w:t>
            </w:r>
          </w:p>
        </w:tc>
        <w:tc>
          <w:tcPr>
            <w:tcW w:type="dxa" w:w="2045"/>
            <w:vAlign w:val="top"/>
            <w:shd w:fill="0C383F"/>
          </w:tcPr>
          <w:p>
            <w:pPr>
              <w:spacing w:after="0"/>
            </w:pPr>
            <w:r/>
            <w:r>
              <w:rPr>
                <w:b/>
                <w:color w:val="FFFFFF"/>
              </w:rPr>
              <w:t>Risk Class</w:t>
            </w:r>
          </w:p>
        </w:tc>
        <w:tc>
          <w:tcPr>
            <w:tcW w:type="dxa" w:w="2045"/>
            <w:vAlign w:val="top"/>
            <w:shd w:fill="0C383F"/>
          </w:tcPr>
          <w:p>
            <w:pPr>
              <w:spacing w:after="0"/>
            </w:pPr>
            <w:r/>
            <w:r>
              <w:rPr>
                <w:b/>
                <w:color w:val="FFFFFF"/>
              </w:rPr>
              <w:t>Memory</w:t>
            </w:r>
          </w:p>
        </w:tc>
      </w:tr>
      <w:tr>
        <w:tc>
          <w:tcPr>
            <w:tcW w:type="dxa" w:w="2045"/>
            <w:vAlign w:val="top"/>
          </w:tcPr>
          <w:p>
            <w:pPr>
              <w:spacing w:after="0"/>
            </w:pPr>
            <w:r/>
            <w:r>
              <w:rPr>
                <w:b w:val="0"/>
              </w:rPr>
              <w:t>AI-AGT-001</w:t>
            </w:r>
          </w:p>
        </w:tc>
        <w:tc>
          <w:tcPr>
            <w:tcW w:type="dxa" w:w="2045"/>
            <w:vAlign w:val="top"/>
          </w:tcPr>
          <w:p>
            <w:pPr>
              <w:spacing w:after="0"/>
            </w:pPr>
            <w:r/>
            <w:r>
              <w:rPr>
                <w:b w:val="0"/>
              </w:rPr>
              <w:t>Afiyah Companion</w:t>
            </w:r>
          </w:p>
        </w:tc>
        <w:tc>
          <w:tcPr>
            <w:tcW w:type="dxa" w:w="2045"/>
            <w:vAlign w:val="top"/>
          </w:tcPr>
          <w:p>
            <w:pPr>
              <w:spacing w:after="0"/>
            </w:pPr>
            <w:r/>
            <w:r>
              <w:rPr>
                <w:b w:val="0"/>
              </w:rPr>
              <w:t>Gentle wellbeing and learning orientation.</w:t>
            </w:r>
          </w:p>
        </w:tc>
        <w:tc>
          <w:tcPr>
            <w:tcW w:type="dxa" w:w="2045"/>
            <w:vAlign w:val="top"/>
          </w:tcPr>
          <w:p>
            <w:pPr>
              <w:spacing w:after="0"/>
            </w:pPr>
            <w:r/>
            <w:r>
              <w:rPr>
                <w:b w:val="0"/>
              </w:rPr>
              <w:t>AI-2/AI-3 depending on input</w:t>
            </w:r>
          </w:p>
        </w:tc>
        <w:tc>
          <w:tcPr>
            <w:tcW w:type="dxa" w:w="2045"/>
            <w:vAlign w:val="top"/>
          </w:tcPr>
          <w:p>
            <w:pPr>
              <w:spacing w:after="0"/>
            </w:pPr>
            <w:r/>
            <w:r>
              <w:rPr>
                <w:b w:val="0"/>
              </w:rPr>
              <w:t>User-controlled short/long memory.</w:t>
            </w:r>
          </w:p>
        </w:tc>
      </w:tr>
      <w:tr>
        <w:tc>
          <w:tcPr>
            <w:tcW w:type="dxa" w:w="2045"/>
            <w:vAlign w:val="top"/>
          </w:tcPr>
          <w:p>
            <w:pPr>
              <w:spacing w:after="0"/>
            </w:pPr>
            <w:r/>
            <w:r>
              <w:rPr>
                <w:b w:val="0"/>
              </w:rPr>
              <w:t>AI-AGT-002</w:t>
            </w:r>
          </w:p>
        </w:tc>
        <w:tc>
          <w:tcPr>
            <w:tcW w:type="dxa" w:w="2045"/>
            <w:vAlign w:val="top"/>
          </w:tcPr>
          <w:p>
            <w:pPr>
              <w:spacing w:after="0"/>
            </w:pPr>
            <w:r/>
            <w:r>
              <w:rPr>
                <w:b w:val="0"/>
              </w:rPr>
              <w:t>Learning Guide</w:t>
            </w:r>
          </w:p>
        </w:tc>
        <w:tc>
          <w:tcPr>
            <w:tcW w:type="dxa" w:w="2045"/>
            <w:vAlign w:val="top"/>
          </w:tcPr>
          <w:p>
            <w:pPr>
              <w:spacing w:after="0"/>
            </w:pPr>
            <w:r/>
            <w:r>
              <w:rPr>
                <w:b w:val="0"/>
              </w:rPr>
              <w:t>Pathway guidance across 10 learning modules.</w:t>
            </w:r>
          </w:p>
        </w:tc>
        <w:tc>
          <w:tcPr>
            <w:tcW w:type="dxa" w:w="2045"/>
            <w:vAlign w:val="top"/>
          </w:tcPr>
          <w:p>
            <w:pPr>
              <w:spacing w:after="0"/>
            </w:pPr>
            <w:r/>
            <w:r>
              <w:rPr>
                <w:b w:val="0"/>
              </w:rPr>
              <w:t>AI-2</w:t>
            </w:r>
          </w:p>
        </w:tc>
        <w:tc>
          <w:tcPr>
            <w:tcW w:type="dxa" w:w="2045"/>
            <w:vAlign w:val="top"/>
          </w:tcPr>
          <w:p>
            <w:pPr>
              <w:spacing w:after="0"/>
            </w:pPr>
            <w:r/>
            <w:r>
              <w:rPr>
                <w:b w:val="0"/>
              </w:rPr>
              <w:t>Learning history only.</w:t>
            </w:r>
          </w:p>
        </w:tc>
      </w:tr>
      <w:tr>
        <w:tc>
          <w:tcPr>
            <w:tcW w:type="dxa" w:w="2045"/>
            <w:vAlign w:val="top"/>
          </w:tcPr>
          <w:p>
            <w:pPr>
              <w:spacing w:after="0"/>
            </w:pPr>
            <w:r/>
            <w:r>
              <w:rPr>
                <w:b w:val="0"/>
              </w:rPr>
              <w:t>AI-AGT-003</w:t>
            </w:r>
          </w:p>
        </w:tc>
        <w:tc>
          <w:tcPr>
            <w:tcW w:type="dxa" w:w="2045"/>
            <w:vAlign w:val="top"/>
          </w:tcPr>
          <w:p>
            <w:pPr>
              <w:spacing w:after="0"/>
            </w:pPr>
            <w:r/>
            <w:r>
              <w:rPr>
                <w:b w:val="0"/>
              </w:rPr>
              <w:t>Financial Literacy Guide</w:t>
            </w:r>
          </w:p>
        </w:tc>
        <w:tc>
          <w:tcPr>
            <w:tcW w:type="dxa" w:w="2045"/>
            <w:vAlign w:val="top"/>
          </w:tcPr>
          <w:p>
            <w:pPr>
              <w:spacing w:after="0"/>
            </w:pPr>
            <w:r/>
            <w:r>
              <w:rPr>
                <w:b w:val="0"/>
              </w:rPr>
              <w:t>Islamic finance and banking fundamentals education.</w:t>
            </w:r>
          </w:p>
        </w:tc>
        <w:tc>
          <w:tcPr>
            <w:tcW w:type="dxa" w:w="2045"/>
            <w:vAlign w:val="top"/>
          </w:tcPr>
          <w:p>
            <w:pPr>
              <w:spacing w:after="0"/>
            </w:pPr>
            <w:r/>
            <w:r>
              <w:rPr>
                <w:b w:val="0"/>
              </w:rPr>
              <w:t>AI-3</w:t>
            </w:r>
          </w:p>
        </w:tc>
        <w:tc>
          <w:tcPr>
            <w:tcW w:type="dxa" w:w="2045"/>
            <w:vAlign w:val="top"/>
          </w:tcPr>
          <w:p>
            <w:pPr>
              <w:spacing w:after="0"/>
            </w:pPr>
            <w:r/>
            <w:r>
              <w:rPr>
                <w:b w:val="0"/>
              </w:rPr>
              <w:t>Financial education progress, no advice memory without consent.</w:t>
            </w:r>
          </w:p>
        </w:tc>
      </w:tr>
      <w:tr>
        <w:tc>
          <w:tcPr>
            <w:tcW w:type="dxa" w:w="2045"/>
            <w:vAlign w:val="top"/>
          </w:tcPr>
          <w:p>
            <w:pPr>
              <w:spacing w:after="0"/>
            </w:pPr>
            <w:r/>
            <w:r>
              <w:rPr>
                <w:b w:val="0"/>
              </w:rPr>
              <w:t>AI-AGT-004</w:t>
            </w:r>
          </w:p>
        </w:tc>
        <w:tc>
          <w:tcPr>
            <w:tcW w:type="dxa" w:w="2045"/>
            <w:vAlign w:val="top"/>
          </w:tcPr>
          <w:p>
            <w:pPr>
              <w:spacing w:after="0"/>
            </w:pPr>
            <w:r/>
            <w:r>
              <w:rPr>
                <w:b w:val="0"/>
              </w:rPr>
              <w:t>Wellbeing Reflection Guide</w:t>
            </w:r>
          </w:p>
        </w:tc>
        <w:tc>
          <w:tcPr>
            <w:tcW w:type="dxa" w:w="2045"/>
            <w:vAlign w:val="top"/>
          </w:tcPr>
          <w:p>
            <w:pPr>
              <w:spacing w:after="0"/>
            </w:pPr>
            <w:r/>
            <w:r>
              <w:rPr>
                <w:b w:val="0"/>
              </w:rPr>
              <w:t>Journaling prompts, habit reflection and non-clinical support.</w:t>
            </w:r>
          </w:p>
        </w:tc>
        <w:tc>
          <w:tcPr>
            <w:tcW w:type="dxa" w:w="2045"/>
            <w:vAlign w:val="top"/>
          </w:tcPr>
          <w:p>
            <w:pPr>
              <w:spacing w:after="0"/>
            </w:pPr>
            <w:r/>
            <w:r>
              <w:rPr>
                <w:b w:val="0"/>
              </w:rPr>
              <w:t>AI-3</w:t>
            </w:r>
          </w:p>
        </w:tc>
        <w:tc>
          <w:tcPr>
            <w:tcW w:type="dxa" w:w="2045"/>
            <w:vAlign w:val="top"/>
          </w:tcPr>
          <w:p>
            <w:pPr>
              <w:spacing w:after="0"/>
            </w:pPr>
            <w:r/>
            <w:r>
              <w:rPr>
                <w:b w:val="0"/>
              </w:rPr>
              <w:t>Highly restricted wellbeing memory.</w:t>
            </w:r>
          </w:p>
        </w:tc>
      </w:tr>
      <w:tr>
        <w:tc>
          <w:tcPr>
            <w:tcW w:type="dxa" w:w="2045"/>
            <w:vAlign w:val="top"/>
          </w:tcPr>
          <w:p>
            <w:pPr>
              <w:spacing w:after="0"/>
            </w:pPr>
            <w:r/>
            <w:r>
              <w:rPr>
                <w:b w:val="0"/>
              </w:rPr>
              <w:t>AI-AGT-005</w:t>
            </w:r>
          </w:p>
        </w:tc>
        <w:tc>
          <w:tcPr>
            <w:tcW w:type="dxa" w:w="2045"/>
            <w:vAlign w:val="top"/>
          </w:tcPr>
          <w:p>
            <w:pPr>
              <w:spacing w:after="0"/>
            </w:pPr>
            <w:r/>
            <w:r>
              <w:rPr>
                <w:b w:val="0"/>
              </w:rPr>
              <w:t>Research Assistant</w:t>
            </w:r>
          </w:p>
        </w:tc>
        <w:tc>
          <w:tcPr>
            <w:tcW w:type="dxa" w:w="2045"/>
            <w:vAlign w:val="top"/>
          </w:tcPr>
          <w:p>
            <w:pPr>
              <w:spacing w:after="0"/>
            </w:pPr>
            <w:r/>
            <w:r>
              <w:rPr>
                <w:b w:val="0"/>
              </w:rPr>
              <w:t>Internal research, citations, source management.</w:t>
            </w:r>
          </w:p>
        </w:tc>
        <w:tc>
          <w:tcPr>
            <w:tcW w:type="dxa" w:w="2045"/>
            <w:vAlign w:val="top"/>
          </w:tcPr>
          <w:p>
            <w:pPr>
              <w:spacing w:after="0"/>
            </w:pPr>
            <w:r/>
            <w:r>
              <w:rPr>
                <w:b w:val="0"/>
              </w:rPr>
              <w:t>AI-2</w:t>
            </w:r>
          </w:p>
        </w:tc>
        <w:tc>
          <w:tcPr>
            <w:tcW w:type="dxa" w:w="2045"/>
            <w:vAlign w:val="top"/>
          </w:tcPr>
          <w:p>
            <w:pPr>
              <w:spacing w:after="0"/>
            </w:pPr>
            <w:r/>
            <w:r>
              <w:rPr>
                <w:b w:val="0"/>
              </w:rPr>
              <w:t>Institutional memory only.</w:t>
            </w:r>
          </w:p>
        </w:tc>
      </w:tr>
      <w:tr>
        <w:tc>
          <w:tcPr>
            <w:tcW w:type="dxa" w:w="2045"/>
            <w:vAlign w:val="top"/>
          </w:tcPr>
          <w:p>
            <w:pPr>
              <w:spacing w:after="0"/>
            </w:pPr>
            <w:r/>
            <w:r>
              <w:rPr>
                <w:b w:val="0"/>
              </w:rPr>
              <w:t>AI-AGT-006</w:t>
            </w:r>
          </w:p>
        </w:tc>
        <w:tc>
          <w:tcPr>
            <w:tcW w:type="dxa" w:w="2045"/>
            <w:vAlign w:val="top"/>
          </w:tcPr>
          <w:p>
            <w:pPr>
              <w:spacing w:after="0"/>
            </w:pPr>
            <w:r/>
            <w:r>
              <w:rPr>
                <w:b w:val="0"/>
              </w:rPr>
              <w:t>Operations Assistant</w:t>
            </w:r>
          </w:p>
        </w:tc>
        <w:tc>
          <w:tcPr>
            <w:tcW w:type="dxa" w:w="2045"/>
            <w:vAlign w:val="top"/>
          </w:tcPr>
          <w:p>
            <w:pPr>
              <w:spacing w:after="0"/>
            </w:pPr>
            <w:r/>
            <w:r>
              <w:rPr>
                <w:b w:val="0"/>
              </w:rPr>
              <w:t>Admin workflow support for internal teams.</w:t>
            </w:r>
          </w:p>
        </w:tc>
        <w:tc>
          <w:tcPr>
            <w:tcW w:type="dxa" w:w="2045"/>
            <w:vAlign w:val="top"/>
          </w:tcPr>
          <w:p>
            <w:pPr>
              <w:spacing w:after="0"/>
            </w:pPr>
            <w:r/>
            <w:r>
              <w:rPr>
                <w:b w:val="0"/>
              </w:rPr>
              <w:t>AI-2</w:t>
            </w:r>
          </w:p>
        </w:tc>
        <w:tc>
          <w:tcPr>
            <w:tcW w:type="dxa" w:w="2045"/>
            <w:vAlign w:val="top"/>
          </w:tcPr>
          <w:p>
            <w:pPr>
              <w:spacing w:after="0"/>
            </w:pPr>
            <w:r/>
            <w:r>
              <w:rPr>
                <w:b w:val="0"/>
              </w:rPr>
              <w:t>Role-based operational memory.</w:t>
            </w:r>
          </w:p>
        </w:tc>
      </w:tr>
    </w:tbl>
    <w:p/>
    <w:p>
      <w:r>
        <w:rPr>
          <w:b/>
          <w:color w:val="AD8633"/>
        </w:rPr>
        <w:t>Table AIA-T02 - AI Lifecycle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Lifecycle Stage</w:t>
            </w:r>
          </w:p>
        </w:tc>
        <w:tc>
          <w:tcPr>
            <w:tcW w:type="dxa" w:w="3408"/>
            <w:vAlign w:val="top"/>
            <w:shd w:fill="0C383F"/>
          </w:tcPr>
          <w:p>
            <w:pPr>
              <w:spacing w:after="0"/>
            </w:pPr>
            <w:r/>
            <w:r>
              <w:rPr>
                <w:b/>
                <w:color w:val="FFFFFF"/>
              </w:rPr>
              <w:t>Controls</w:t>
            </w:r>
          </w:p>
        </w:tc>
        <w:tc>
          <w:tcPr>
            <w:tcW w:type="dxa" w:w="3408"/>
            <w:vAlign w:val="top"/>
            <w:shd w:fill="0C383F"/>
          </w:tcPr>
          <w:p>
            <w:pPr>
              <w:spacing w:after="0"/>
            </w:pPr>
            <w:r/>
            <w:r>
              <w:rPr>
                <w:b/>
                <w:color w:val="FFFFFF"/>
              </w:rPr>
              <w:t>Evidence</w:t>
            </w:r>
          </w:p>
        </w:tc>
      </w:tr>
      <w:tr>
        <w:tc>
          <w:tcPr>
            <w:tcW w:type="dxa" w:w="3408"/>
            <w:vAlign w:val="top"/>
          </w:tcPr>
          <w:p>
            <w:pPr>
              <w:spacing w:after="0"/>
            </w:pPr>
            <w:r/>
            <w:r>
              <w:rPr>
                <w:b w:val="0"/>
              </w:rPr>
              <w:t>Idea</w:t>
            </w:r>
          </w:p>
        </w:tc>
        <w:tc>
          <w:tcPr>
            <w:tcW w:type="dxa" w:w="3408"/>
            <w:vAlign w:val="top"/>
          </w:tcPr>
          <w:p>
            <w:pPr>
              <w:spacing w:after="0"/>
            </w:pPr>
            <w:r/>
            <w:r>
              <w:rPr>
                <w:b w:val="0"/>
              </w:rPr>
              <w:t>Statement of Niyyah, risk classification, data needs.</w:t>
            </w:r>
          </w:p>
        </w:tc>
        <w:tc>
          <w:tcPr>
            <w:tcW w:type="dxa" w:w="3408"/>
            <w:vAlign w:val="top"/>
          </w:tcPr>
          <w:p>
            <w:pPr>
              <w:spacing w:after="0"/>
            </w:pPr>
            <w:r/>
            <w:r>
              <w:rPr>
                <w:b w:val="0"/>
              </w:rPr>
              <w:t>AI proposal record.</w:t>
            </w:r>
          </w:p>
        </w:tc>
      </w:tr>
      <w:tr>
        <w:tc>
          <w:tcPr>
            <w:tcW w:type="dxa" w:w="3408"/>
            <w:vAlign w:val="top"/>
          </w:tcPr>
          <w:p>
            <w:pPr>
              <w:spacing w:after="0"/>
            </w:pPr>
            <w:r/>
            <w:r>
              <w:rPr>
                <w:b w:val="0"/>
              </w:rPr>
              <w:t>Design</w:t>
            </w:r>
          </w:p>
        </w:tc>
        <w:tc>
          <w:tcPr>
            <w:tcW w:type="dxa" w:w="3408"/>
            <w:vAlign w:val="top"/>
          </w:tcPr>
          <w:p>
            <w:pPr>
              <w:spacing w:after="0"/>
            </w:pPr>
            <w:r/>
            <w:r>
              <w:rPr>
                <w:b w:val="0"/>
              </w:rPr>
              <w:t>Agent card, system prompt, knowledge sources, memory rules.</w:t>
            </w:r>
          </w:p>
        </w:tc>
        <w:tc>
          <w:tcPr>
            <w:tcW w:type="dxa" w:w="3408"/>
            <w:vAlign w:val="top"/>
          </w:tcPr>
          <w:p>
            <w:pPr>
              <w:spacing w:after="0"/>
            </w:pPr>
            <w:r/>
            <w:r>
              <w:rPr>
                <w:b w:val="0"/>
              </w:rPr>
              <w:t>Design pack.</w:t>
            </w:r>
          </w:p>
        </w:tc>
      </w:tr>
      <w:tr>
        <w:tc>
          <w:tcPr>
            <w:tcW w:type="dxa" w:w="3408"/>
            <w:vAlign w:val="top"/>
          </w:tcPr>
          <w:p>
            <w:pPr>
              <w:spacing w:after="0"/>
            </w:pPr>
            <w:r/>
            <w:r>
              <w:rPr>
                <w:b w:val="0"/>
              </w:rPr>
              <w:t>Build</w:t>
            </w:r>
          </w:p>
        </w:tc>
        <w:tc>
          <w:tcPr>
            <w:tcW w:type="dxa" w:w="3408"/>
            <w:vAlign w:val="top"/>
          </w:tcPr>
          <w:p>
            <w:pPr>
              <w:spacing w:after="0"/>
            </w:pPr>
            <w:r/>
            <w:r>
              <w:rPr>
                <w:b w:val="0"/>
              </w:rPr>
              <w:t>Secure development, prompt versioning, test dataset.</w:t>
            </w:r>
          </w:p>
        </w:tc>
        <w:tc>
          <w:tcPr>
            <w:tcW w:type="dxa" w:w="3408"/>
            <w:vAlign w:val="top"/>
          </w:tcPr>
          <w:p>
            <w:pPr>
              <w:spacing w:after="0"/>
            </w:pPr>
            <w:r/>
            <w:r>
              <w:rPr>
                <w:b w:val="0"/>
              </w:rPr>
              <w:t>Repository and model/prompt registry.</w:t>
            </w:r>
          </w:p>
        </w:tc>
      </w:tr>
      <w:tr>
        <w:tc>
          <w:tcPr>
            <w:tcW w:type="dxa" w:w="3408"/>
            <w:vAlign w:val="top"/>
          </w:tcPr>
          <w:p>
            <w:pPr>
              <w:spacing w:after="0"/>
            </w:pPr>
            <w:r/>
            <w:r>
              <w:rPr>
                <w:b w:val="0"/>
              </w:rPr>
              <w:t>Evaluate</w:t>
            </w:r>
          </w:p>
        </w:tc>
        <w:tc>
          <w:tcPr>
            <w:tcW w:type="dxa" w:w="3408"/>
            <w:vAlign w:val="top"/>
          </w:tcPr>
          <w:p>
            <w:pPr>
              <w:spacing w:after="0"/>
            </w:pPr>
            <w:r/>
            <w:r>
              <w:rPr>
                <w:b w:val="0"/>
              </w:rPr>
              <w:t>Accuracy, safety, hallucination, bias, refusal, escalation tests.</w:t>
            </w:r>
          </w:p>
        </w:tc>
        <w:tc>
          <w:tcPr>
            <w:tcW w:type="dxa" w:w="3408"/>
            <w:vAlign w:val="top"/>
          </w:tcPr>
          <w:p>
            <w:pPr>
              <w:spacing w:after="0"/>
            </w:pPr>
            <w:r/>
            <w:r>
              <w:rPr>
                <w:b w:val="0"/>
              </w:rPr>
              <w:t>Evaluation report.</w:t>
            </w:r>
          </w:p>
        </w:tc>
      </w:tr>
      <w:tr>
        <w:tc>
          <w:tcPr>
            <w:tcW w:type="dxa" w:w="3408"/>
            <w:vAlign w:val="top"/>
          </w:tcPr>
          <w:p>
            <w:pPr>
              <w:spacing w:after="0"/>
            </w:pPr>
            <w:r/>
            <w:r>
              <w:rPr>
                <w:b w:val="0"/>
              </w:rPr>
              <w:t>Approve</w:t>
            </w:r>
          </w:p>
        </w:tc>
        <w:tc>
          <w:tcPr>
            <w:tcW w:type="dxa" w:w="3408"/>
            <w:vAlign w:val="top"/>
          </w:tcPr>
          <w:p>
            <w:pPr>
              <w:spacing w:after="0"/>
            </w:pPr>
            <w:r/>
            <w:r>
              <w:rPr>
                <w:b w:val="0"/>
              </w:rPr>
              <w:t>Constitutional, product, security, legal and Shariah review if needed.</w:t>
            </w:r>
          </w:p>
        </w:tc>
        <w:tc>
          <w:tcPr>
            <w:tcW w:type="dxa" w:w="3408"/>
            <w:vAlign w:val="top"/>
          </w:tcPr>
          <w:p>
            <w:pPr>
              <w:spacing w:after="0"/>
            </w:pPr>
            <w:r/>
            <w:r>
              <w:rPr>
                <w:b w:val="0"/>
              </w:rPr>
              <w:t>Approval record.</w:t>
            </w:r>
          </w:p>
        </w:tc>
      </w:tr>
      <w:tr>
        <w:tc>
          <w:tcPr>
            <w:tcW w:type="dxa" w:w="3408"/>
            <w:vAlign w:val="top"/>
          </w:tcPr>
          <w:p>
            <w:pPr>
              <w:spacing w:after="0"/>
            </w:pPr>
            <w:r/>
            <w:r>
              <w:rPr>
                <w:b w:val="0"/>
              </w:rPr>
              <w:t>Deploy</w:t>
            </w:r>
          </w:p>
        </w:tc>
        <w:tc>
          <w:tcPr>
            <w:tcW w:type="dxa" w:w="3408"/>
            <w:vAlign w:val="top"/>
          </w:tcPr>
          <w:p>
            <w:pPr>
              <w:spacing w:after="0"/>
            </w:pPr>
            <w:r/>
            <w:r>
              <w:rPr>
                <w:b w:val="0"/>
              </w:rPr>
              <w:t>Monitoring, logging, rollback plan, incident contact.</w:t>
            </w:r>
          </w:p>
        </w:tc>
        <w:tc>
          <w:tcPr>
            <w:tcW w:type="dxa" w:w="3408"/>
            <w:vAlign w:val="top"/>
          </w:tcPr>
          <w:p>
            <w:pPr>
              <w:spacing w:after="0"/>
            </w:pPr>
            <w:r/>
            <w:r>
              <w:rPr>
                <w:b w:val="0"/>
              </w:rPr>
              <w:t>Release record.</w:t>
            </w:r>
          </w:p>
        </w:tc>
      </w:tr>
      <w:tr>
        <w:tc>
          <w:tcPr>
            <w:tcW w:type="dxa" w:w="3408"/>
            <w:vAlign w:val="top"/>
          </w:tcPr>
          <w:p>
            <w:pPr>
              <w:spacing w:after="0"/>
            </w:pPr>
            <w:r/>
            <w:r>
              <w:rPr>
                <w:b w:val="0"/>
              </w:rPr>
              <w:t>Monitor</w:t>
            </w:r>
          </w:p>
        </w:tc>
        <w:tc>
          <w:tcPr>
            <w:tcW w:type="dxa" w:w="3408"/>
            <w:vAlign w:val="top"/>
          </w:tcPr>
          <w:p>
            <w:pPr>
              <w:spacing w:after="0"/>
            </w:pPr>
            <w:r/>
            <w:r>
              <w:rPr>
                <w:b w:val="0"/>
              </w:rPr>
              <w:t>Drift, complaints, safety events, source freshness.</w:t>
            </w:r>
          </w:p>
        </w:tc>
        <w:tc>
          <w:tcPr>
            <w:tcW w:type="dxa" w:w="3408"/>
            <w:vAlign w:val="top"/>
          </w:tcPr>
          <w:p>
            <w:pPr>
              <w:spacing w:after="0"/>
            </w:pPr>
            <w:r/>
            <w:r>
              <w:rPr>
                <w:b w:val="0"/>
              </w:rPr>
              <w:t>AI dashboard.</w:t>
            </w:r>
          </w:p>
        </w:tc>
      </w:tr>
      <w:tr>
        <w:tc>
          <w:tcPr>
            <w:tcW w:type="dxa" w:w="3408"/>
            <w:vAlign w:val="top"/>
          </w:tcPr>
          <w:p>
            <w:pPr>
              <w:spacing w:after="0"/>
            </w:pPr>
            <w:r/>
            <w:r>
              <w:rPr>
                <w:b w:val="0"/>
              </w:rPr>
              <w:t>Retire</w:t>
            </w:r>
          </w:p>
        </w:tc>
        <w:tc>
          <w:tcPr>
            <w:tcW w:type="dxa" w:w="3408"/>
            <w:vAlign w:val="top"/>
          </w:tcPr>
          <w:p>
            <w:pPr>
              <w:spacing w:after="0"/>
            </w:pPr>
            <w:r/>
            <w:r>
              <w:rPr>
                <w:b w:val="0"/>
              </w:rPr>
              <w:t>Disable, archive, migrate, notify where needed.</w:t>
            </w:r>
          </w:p>
        </w:tc>
        <w:tc>
          <w:tcPr>
            <w:tcW w:type="dxa" w:w="3408"/>
            <w:vAlign w:val="top"/>
          </w:tcPr>
          <w:p>
            <w:pPr>
              <w:spacing w:after="0"/>
            </w:pPr>
            <w:r/>
            <w:r>
              <w:rPr>
                <w:b w:val="0"/>
              </w:rPr>
              <w:t>Retirement record.</w:t>
            </w:r>
          </w:p>
        </w:tc>
      </w:tr>
    </w:tbl>
    <w:p/>
    <w:p>
      <w:pPr>
        <w:pStyle w:val="Heading1"/>
      </w:pPr>
      <w:r>
        <w:t>Part VI - Cloud and Infrastructure Architecture</w:t>
      </w:r>
    </w:p>
    <w:p>
      <w:pPr>
        <w:pStyle w:val="Heading2"/>
      </w:pPr>
      <w:r>
        <w:t>Article CIA-001 - Cloud Architecture Principle</w:t>
      </w:r>
    </w:p>
    <w:p>
      <w:pPr>
        <w:spacing w:after="120" w:line="259" w:lineRule="auto"/>
      </w:pPr>
      <w:r>
        <w:t>Cloud infrastructure shall be designed for resilience, data protection, cost discipline, observability and jurisdictional review. Afiyah may begin with managed cloud services for speed, but every managed service must be documented, monitored and exit-planned. Vendor dependency shall be governed as a risk.</w:t>
      </w:r>
    </w:p>
    <w:p>
      <w:r>
        <w:rPr>
          <w:b/>
          <w:color w:val="AD8633"/>
        </w:rPr>
        <w:t>Table CIA-T01 - Reference Cloud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Component</w:t>
            </w:r>
          </w:p>
        </w:tc>
        <w:tc>
          <w:tcPr>
            <w:tcW w:type="dxa" w:w="3408"/>
            <w:vAlign w:val="top"/>
            <w:shd w:fill="0C383F"/>
          </w:tcPr>
          <w:p>
            <w:pPr>
              <w:spacing w:after="0"/>
            </w:pPr>
            <w:r/>
            <w:r>
              <w:rPr>
                <w:b/>
                <w:color w:val="FFFFFF"/>
              </w:rPr>
              <w:t>Preferred Capability</w:t>
            </w:r>
          </w:p>
        </w:tc>
        <w:tc>
          <w:tcPr>
            <w:tcW w:type="dxa" w:w="3408"/>
            <w:vAlign w:val="top"/>
            <w:shd w:fill="0C383F"/>
          </w:tcPr>
          <w:p>
            <w:pPr>
              <w:spacing w:after="0"/>
            </w:pPr>
            <w:r/>
            <w:r>
              <w:rPr>
                <w:b/>
                <w:color w:val="FFFFFF"/>
              </w:rPr>
              <w:t>Controls</w:t>
            </w:r>
          </w:p>
        </w:tc>
      </w:tr>
      <w:tr>
        <w:tc>
          <w:tcPr>
            <w:tcW w:type="dxa" w:w="3408"/>
            <w:vAlign w:val="top"/>
          </w:tcPr>
          <w:p>
            <w:pPr>
              <w:spacing w:after="0"/>
            </w:pPr>
            <w:r/>
            <w:r>
              <w:rPr>
                <w:b w:val="0"/>
              </w:rPr>
              <w:t>Compute</w:t>
            </w:r>
          </w:p>
        </w:tc>
        <w:tc>
          <w:tcPr>
            <w:tcW w:type="dxa" w:w="3408"/>
            <w:vAlign w:val="top"/>
          </w:tcPr>
          <w:p>
            <w:pPr>
              <w:spacing w:after="0"/>
            </w:pPr>
            <w:r/>
            <w:r>
              <w:rPr>
                <w:b w:val="0"/>
              </w:rPr>
              <w:t>Containerized services and managed serverless where appropriate.</w:t>
            </w:r>
          </w:p>
        </w:tc>
        <w:tc>
          <w:tcPr>
            <w:tcW w:type="dxa" w:w="3408"/>
            <w:vAlign w:val="top"/>
          </w:tcPr>
          <w:p>
            <w:pPr>
              <w:spacing w:after="0"/>
            </w:pPr>
            <w:r/>
            <w:r>
              <w:rPr>
                <w:b w:val="0"/>
              </w:rPr>
              <w:t>IaC, autoscaling, patching, logging.</w:t>
            </w:r>
          </w:p>
        </w:tc>
      </w:tr>
      <w:tr>
        <w:tc>
          <w:tcPr>
            <w:tcW w:type="dxa" w:w="3408"/>
            <w:vAlign w:val="top"/>
          </w:tcPr>
          <w:p>
            <w:pPr>
              <w:spacing w:after="0"/>
            </w:pPr>
            <w:r/>
            <w:r>
              <w:rPr>
                <w:b w:val="0"/>
              </w:rPr>
              <w:t>Database</w:t>
            </w:r>
          </w:p>
        </w:tc>
        <w:tc>
          <w:tcPr>
            <w:tcW w:type="dxa" w:w="3408"/>
            <w:vAlign w:val="top"/>
          </w:tcPr>
          <w:p>
            <w:pPr>
              <w:spacing w:after="0"/>
            </w:pPr>
            <w:r/>
            <w:r>
              <w:rPr>
                <w:b w:val="0"/>
              </w:rPr>
              <w:t>PostgreSQL for transactional data.</w:t>
            </w:r>
          </w:p>
        </w:tc>
        <w:tc>
          <w:tcPr>
            <w:tcW w:type="dxa" w:w="3408"/>
            <w:vAlign w:val="top"/>
          </w:tcPr>
          <w:p>
            <w:pPr>
              <w:spacing w:after="0"/>
            </w:pPr>
            <w:r/>
            <w:r>
              <w:rPr>
                <w:b w:val="0"/>
              </w:rPr>
              <w:t>Backups, encryption, RLS where applicable, migrations.</w:t>
            </w:r>
          </w:p>
        </w:tc>
      </w:tr>
      <w:tr>
        <w:tc>
          <w:tcPr>
            <w:tcW w:type="dxa" w:w="3408"/>
            <w:vAlign w:val="top"/>
          </w:tcPr>
          <w:p>
            <w:pPr>
              <w:spacing w:after="0"/>
            </w:pPr>
            <w:r/>
            <w:r>
              <w:rPr>
                <w:b w:val="0"/>
              </w:rPr>
              <w:t>Cache/Queue</w:t>
            </w:r>
          </w:p>
        </w:tc>
        <w:tc>
          <w:tcPr>
            <w:tcW w:type="dxa" w:w="3408"/>
            <w:vAlign w:val="top"/>
          </w:tcPr>
          <w:p>
            <w:pPr>
              <w:spacing w:after="0"/>
            </w:pPr>
            <w:r/>
            <w:r>
              <w:rPr>
                <w:b w:val="0"/>
              </w:rPr>
              <w:t>Redis and managed queues/event bus.</w:t>
            </w:r>
          </w:p>
        </w:tc>
        <w:tc>
          <w:tcPr>
            <w:tcW w:type="dxa" w:w="3408"/>
            <w:vAlign w:val="top"/>
          </w:tcPr>
          <w:p>
            <w:pPr>
              <w:spacing w:after="0"/>
            </w:pPr>
            <w:r/>
            <w:r>
              <w:rPr>
                <w:b w:val="0"/>
              </w:rPr>
              <w:t>TTL, access control, monitoring.</w:t>
            </w:r>
          </w:p>
        </w:tc>
      </w:tr>
      <w:tr>
        <w:tc>
          <w:tcPr>
            <w:tcW w:type="dxa" w:w="3408"/>
            <w:vAlign w:val="top"/>
          </w:tcPr>
          <w:p>
            <w:pPr>
              <w:spacing w:after="0"/>
            </w:pPr>
            <w:r/>
            <w:r>
              <w:rPr>
                <w:b w:val="0"/>
              </w:rPr>
              <w:t>Object Storage</w:t>
            </w:r>
          </w:p>
        </w:tc>
        <w:tc>
          <w:tcPr>
            <w:tcW w:type="dxa" w:w="3408"/>
            <w:vAlign w:val="top"/>
          </w:tcPr>
          <w:p>
            <w:pPr>
              <w:spacing w:after="0"/>
            </w:pPr>
            <w:r/>
            <w:r>
              <w:rPr>
                <w:b w:val="0"/>
              </w:rPr>
              <w:t>Media, documents, exports.</w:t>
            </w:r>
          </w:p>
        </w:tc>
        <w:tc>
          <w:tcPr>
            <w:tcW w:type="dxa" w:w="3408"/>
            <w:vAlign w:val="top"/>
          </w:tcPr>
          <w:p>
            <w:pPr>
              <w:spacing w:after="0"/>
            </w:pPr>
            <w:r/>
            <w:r>
              <w:rPr>
                <w:b w:val="0"/>
              </w:rPr>
              <w:t>Encryption, signed URLs, retention.</w:t>
            </w:r>
          </w:p>
        </w:tc>
      </w:tr>
      <w:tr>
        <w:tc>
          <w:tcPr>
            <w:tcW w:type="dxa" w:w="3408"/>
            <w:vAlign w:val="top"/>
          </w:tcPr>
          <w:p>
            <w:pPr>
              <w:spacing w:after="0"/>
            </w:pPr>
            <w:r/>
            <w:r>
              <w:rPr>
                <w:b w:val="0"/>
              </w:rPr>
              <w:t>Vector Search</w:t>
            </w:r>
          </w:p>
        </w:tc>
        <w:tc>
          <w:tcPr>
            <w:tcW w:type="dxa" w:w="3408"/>
            <w:vAlign w:val="top"/>
          </w:tcPr>
          <w:p>
            <w:pPr>
              <w:spacing w:after="0"/>
            </w:pPr>
            <w:r/>
            <w:r>
              <w:rPr>
                <w:b w:val="0"/>
              </w:rPr>
              <w:t>AI retrieval and semantic memory.</w:t>
            </w:r>
          </w:p>
        </w:tc>
        <w:tc>
          <w:tcPr>
            <w:tcW w:type="dxa" w:w="3408"/>
            <w:vAlign w:val="top"/>
          </w:tcPr>
          <w:p>
            <w:pPr>
              <w:spacing w:after="0"/>
            </w:pPr>
            <w:r/>
            <w:r>
              <w:rPr>
                <w:b w:val="0"/>
              </w:rPr>
              <w:t>Source lineage, access filtering, freshness.</w:t>
            </w:r>
          </w:p>
        </w:tc>
      </w:tr>
      <w:tr>
        <w:tc>
          <w:tcPr>
            <w:tcW w:type="dxa" w:w="3408"/>
            <w:vAlign w:val="top"/>
          </w:tcPr>
          <w:p>
            <w:pPr>
              <w:spacing w:after="0"/>
            </w:pPr>
            <w:r/>
            <w:r>
              <w:rPr>
                <w:b w:val="0"/>
              </w:rPr>
              <w:t>Secrets</w:t>
            </w:r>
          </w:p>
        </w:tc>
        <w:tc>
          <w:tcPr>
            <w:tcW w:type="dxa" w:w="3408"/>
            <w:vAlign w:val="top"/>
          </w:tcPr>
          <w:p>
            <w:pPr>
              <w:spacing w:after="0"/>
            </w:pPr>
            <w:r/>
            <w:r>
              <w:rPr>
                <w:b w:val="0"/>
              </w:rPr>
              <w:t>Central secrets manager.</w:t>
            </w:r>
          </w:p>
        </w:tc>
        <w:tc>
          <w:tcPr>
            <w:tcW w:type="dxa" w:w="3408"/>
            <w:vAlign w:val="top"/>
          </w:tcPr>
          <w:p>
            <w:pPr>
              <w:spacing w:after="0"/>
            </w:pPr>
            <w:r/>
            <w:r>
              <w:rPr>
                <w:b w:val="0"/>
              </w:rPr>
              <w:t>Rotation, least privilege, no secrets in code.</w:t>
            </w:r>
          </w:p>
        </w:tc>
      </w:tr>
      <w:tr>
        <w:tc>
          <w:tcPr>
            <w:tcW w:type="dxa" w:w="3408"/>
            <w:vAlign w:val="top"/>
          </w:tcPr>
          <w:p>
            <w:pPr>
              <w:spacing w:after="0"/>
            </w:pPr>
            <w:r/>
            <w:r>
              <w:rPr>
                <w:b w:val="0"/>
              </w:rPr>
              <w:t>Observability</w:t>
            </w:r>
          </w:p>
        </w:tc>
        <w:tc>
          <w:tcPr>
            <w:tcW w:type="dxa" w:w="3408"/>
            <w:vAlign w:val="top"/>
          </w:tcPr>
          <w:p>
            <w:pPr>
              <w:spacing w:after="0"/>
            </w:pPr>
            <w:r/>
            <w:r>
              <w:rPr>
                <w:b w:val="0"/>
              </w:rPr>
              <w:t>Logs, metrics, traces, alerts.</w:t>
            </w:r>
          </w:p>
        </w:tc>
        <w:tc>
          <w:tcPr>
            <w:tcW w:type="dxa" w:w="3408"/>
            <w:vAlign w:val="top"/>
          </w:tcPr>
          <w:p>
            <w:pPr>
              <w:spacing w:after="0"/>
            </w:pPr>
            <w:r/>
            <w:r>
              <w:rPr>
                <w:b w:val="0"/>
              </w:rPr>
              <w:t>Dashboards, SLOs, incident response.</w:t>
            </w:r>
          </w:p>
        </w:tc>
      </w:tr>
    </w:tbl>
    <w:p/>
    <w:p>
      <w:pPr>
        <w:pStyle w:val="Heading1"/>
      </w:pPr>
      <w:r>
        <w:t>Part VII - Engineering Standards</w:t>
      </w:r>
    </w:p>
    <w:p>
      <w:pPr>
        <w:pStyle w:val="Heading2"/>
      </w:pPr>
      <w:r>
        <w:t>Article ENG-001 - Engineering Constitution</w:t>
      </w:r>
    </w:p>
    <w:p>
      <w:pPr>
        <w:spacing w:after="120" w:line="259" w:lineRule="auto"/>
      </w:pPr>
      <w:r>
        <w:t>Engineering is institutional stewardship. Code must be readable, tested, secure, documented and maintainable. Every repository shall include ownership, architecture notes, threat model, setup instructions, coding standards, CI/CD pipeline, dependency management, release procedure and incident runbook.</w:t>
      </w:r>
    </w:p>
    <w:p>
      <w:r>
        <w:rPr>
          <w:b/>
          <w:color w:val="AD8633"/>
        </w:rPr>
        <w:t>Table ENG-T01 - Engineering Standard Index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Standard ID</w:t>
            </w:r>
          </w:p>
        </w:tc>
        <w:tc>
          <w:tcPr>
            <w:tcW w:type="dxa" w:w="3408"/>
            <w:vAlign w:val="top"/>
            <w:shd w:fill="0C383F"/>
          </w:tcPr>
          <w:p>
            <w:pPr>
              <w:spacing w:after="0"/>
            </w:pPr>
            <w:r/>
            <w:r>
              <w:rPr>
                <w:b/>
                <w:color w:val="FFFFFF"/>
              </w:rPr>
              <w:t>Standard</w:t>
            </w:r>
          </w:p>
        </w:tc>
        <w:tc>
          <w:tcPr>
            <w:tcW w:type="dxa" w:w="3408"/>
            <w:vAlign w:val="top"/>
            <w:shd w:fill="0C383F"/>
          </w:tcPr>
          <w:p>
            <w:pPr>
              <w:spacing w:after="0"/>
            </w:pPr>
            <w:r/>
            <w:r>
              <w:rPr>
                <w:b/>
                <w:color w:val="FFFFFF"/>
              </w:rPr>
              <w:t>Mandatory Evidence</w:t>
            </w:r>
          </w:p>
        </w:tc>
      </w:tr>
      <w:tr>
        <w:tc>
          <w:tcPr>
            <w:tcW w:type="dxa" w:w="3408"/>
            <w:vAlign w:val="top"/>
          </w:tcPr>
          <w:p>
            <w:pPr>
              <w:spacing w:after="0"/>
            </w:pPr>
            <w:r/>
            <w:r>
              <w:rPr>
                <w:b w:val="0"/>
              </w:rPr>
              <w:t>ENG-STD-001</w:t>
            </w:r>
          </w:p>
        </w:tc>
        <w:tc>
          <w:tcPr>
            <w:tcW w:type="dxa" w:w="3408"/>
            <w:vAlign w:val="top"/>
          </w:tcPr>
          <w:p>
            <w:pPr>
              <w:spacing w:after="0"/>
            </w:pPr>
            <w:r/>
            <w:r>
              <w:rPr>
                <w:b w:val="0"/>
              </w:rPr>
              <w:t>Repository Standard</w:t>
            </w:r>
          </w:p>
        </w:tc>
        <w:tc>
          <w:tcPr>
            <w:tcW w:type="dxa" w:w="3408"/>
            <w:vAlign w:val="top"/>
          </w:tcPr>
          <w:p>
            <w:pPr>
              <w:spacing w:after="0"/>
            </w:pPr>
            <w:r/>
            <w:r>
              <w:rPr>
                <w:b w:val="0"/>
              </w:rPr>
              <w:t>README, owners, setup, env vars, architecture.</w:t>
            </w:r>
          </w:p>
        </w:tc>
      </w:tr>
      <w:tr>
        <w:tc>
          <w:tcPr>
            <w:tcW w:type="dxa" w:w="3408"/>
            <w:vAlign w:val="top"/>
          </w:tcPr>
          <w:p>
            <w:pPr>
              <w:spacing w:after="0"/>
            </w:pPr>
            <w:r/>
            <w:r>
              <w:rPr>
                <w:b w:val="0"/>
              </w:rPr>
              <w:t>ENG-STD-002</w:t>
            </w:r>
          </w:p>
        </w:tc>
        <w:tc>
          <w:tcPr>
            <w:tcW w:type="dxa" w:w="3408"/>
            <w:vAlign w:val="top"/>
          </w:tcPr>
          <w:p>
            <w:pPr>
              <w:spacing w:after="0"/>
            </w:pPr>
            <w:r/>
            <w:r>
              <w:rPr>
                <w:b w:val="0"/>
              </w:rPr>
              <w:t>Coding Standard</w:t>
            </w:r>
          </w:p>
        </w:tc>
        <w:tc>
          <w:tcPr>
            <w:tcW w:type="dxa" w:w="3408"/>
            <w:vAlign w:val="top"/>
          </w:tcPr>
          <w:p>
            <w:pPr>
              <w:spacing w:after="0"/>
            </w:pPr>
            <w:r/>
            <w:r>
              <w:rPr>
                <w:b w:val="0"/>
              </w:rPr>
              <w:t>Linting, formatting, naming conventions, review rules.</w:t>
            </w:r>
          </w:p>
        </w:tc>
      </w:tr>
      <w:tr>
        <w:tc>
          <w:tcPr>
            <w:tcW w:type="dxa" w:w="3408"/>
            <w:vAlign w:val="top"/>
          </w:tcPr>
          <w:p>
            <w:pPr>
              <w:spacing w:after="0"/>
            </w:pPr>
            <w:r/>
            <w:r>
              <w:rPr>
                <w:b w:val="0"/>
              </w:rPr>
              <w:t>ENG-STD-003</w:t>
            </w:r>
          </w:p>
        </w:tc>
        <w:tc>
          <w:tcPr>
            <w:tcW w:type="dxa" w:w="3408"/>
            <w:vAlign w:val="top"/>
          </w:tcPr>
          <w:p>
            <w:pPr>
              <w:spacing w:after="0"/>
            </w:pPr>
            <w:r/>
            <w:r>
              <w:rPr>
                <w:b w:val="0"/>
              </w:rPr>
              <w:t>Testing Standard</w:t>
            </w:r>
          </w:p>
        </w:tc>
        <w:tc>
          <w:tcPr>
            <w:tcW w:type="dxa" w:w="3408"/>
            <w:vAlign w:val="top"/>
          </w:tcPr>
          <w:p>
            <w:pPr>
              <w:spacing w:after="0"/>
            </w:pPr>
            <w:r/>
            <w:r>
              <w:rPr>
                <w:b w:val="0"/>
              </w:rPr>
              <w:t>Unit, integration, contract, e2e, security tests.</w:t>
            </w:r>
          </w:p>
        </w:tc>
      </w:tr>
      <w:tr>
        <w:tc>
          <w:tcPr>
            <w:tcW w:type="dxa" w:w="3408"/>
            <w:vAlign w:val="top"/>
          </w:tcPr>
          <w:p>
            <w:pPr>
              <w:spacing w:after="0"/>
            </w:pPr>
            <w:r/>
            <w:r>
              <w:rPr>
                <w:b w:val="0"/>
              </w:rPr>
              <w:t>ENG-STD-004</w:t>
            </w:r>
          </w:p>
        </w:tc>
        <w:tc>
          <w:tcPr>
            <w:tcW w:type="dxa" w:w="3408"/>
            <w:vAlign w:val="top"/>
          </w:tcPr>
          <w:p>
            <w:pPr>
              <w:spacing w:after="0"/>
            </w:pPr>
            <w:r/>
            <w:r>
              <w:rPr>
                <w:b w:val="0"/>
              </w:rPr>
              <w:t>API Standard</w:t>
            </w:r>
          </w:p>
        </w:tc>
        <w:tc>
          <w:tcPr>
            <w:tcW w:type="dxa" w:w="3408"/>
            <w:vAlign w:val="top"/>
          </w:tcPr>
          <w:p>
            <w:pPr>
              <w:spacing w:after="0"/>
            </w:pPr>
            <w:r/>
            <w:r>
              <w:rPr>
                <w:b w:val="0"/>
              </w:rPr>
              <w:t>OpenAPI spec, versioning, auth, errors, rate limits.</w:t>
            </w:r>
          </w:p>
        </w:tc>
      </w:tr>
      <w:tr>
        <w:tc>
          <w:tcPr>
            <w:tcW w:type="dxa" w:w="3408"/>
            <w:vAlign w:val="top"/>
          </w:tcPr>
          <w:p>
            <w:pPr>
              <w:spacing w:after="0"/>
            </w:pPr>
            <w:r/>
            <w:r>
              <w:rPr>
                <w:b w:val="0"/>
              </w:rPr>
              <w:t>ENG-STD-005</w:t>
            </w:r>
          </w:p>
        </w:tc>
        <w:tc>
          <w:tcPr>
            <w:tcW w:type="dxa" w:w="3408"/>
            <w:vAlign w:val="top"/>
          </w:tcPr>
          <w:p>
            <w:pPr>
              <w:spacing w:after="0"/>
            </w:pPr>
            <w:r/>
            <w:r>
              <w:rPr>
                <w:b w:val="0"/>
              </w:rPr>
              <w:t>Database Standard</w:t>
            </w:r>
          </w:p>
        </w:tc>
        <w:tc>
          <w:tcPr>
            <w:tcW w:type="dxa" w:w="3408"/>
            <w:vAlign w:val="top"/>
          </w:tcPr>
          <w:p>
            <w:pPr>
              <w:spacing w:after="0"/>
            </w:pPr>
            <w:r/>
            <w:r>
              <w:rPr>
                <w:b w:val="0"/>
              </w:rPr>
              <w:t>Migrations, schema docs, indexes, retention flags.</w:t>
            </w:r>
          </w:p>
        </w:tc>
      </w:tr>
      <w:tr>
        <w:tc>
          <w:tcPr>
            <w:tcW w:type="dxa" w:w="3408"/>
            <w:vAlign w:val="top"/>
          </w:tcPr>
          <w:p>
            <w:pPr>
              <w:spacing w:after="0"/>
            </w:pPr>
            <w:r/>
            <w:r>
              <w:rPr>
                <w:b w:val="0"/>
              </w:rPr>
              <w:t>ENG-STD-006</w:t>
            </w:r>
          </w:p>
        </w:tc>
        <w:tc>
          <w:tcPr>
            <w:tcW w:type="dxa" w:w="3408"/>
            <w:vAlign w:val="top"/>
          </w:tcPr>
          <w:p>
            <w:pPr>
              <w:spacing w:after="0"/>
            </w:pPr>
            <w:r/>
            <w:r>
              <w:rPr>
                <w:b w:val="0"/>
              </w:rPr>
              <w:t>Release Standard</w:t>
            </w:r>
          </w:p>
        </w:tc>
        <w:tc>
          <w:tcPr>
            <w:tcW w:type="dxa" w:w="3408"/>
            <w:vAlign w:val="top"/>
          </w:tcPr>
          <w:p>
            <w:pPr>
              <w:spacing w:after="0"/>
            </w:pPr>
            <w:r/>
            <w:r>
              <w:rPr>
                <w:b w:val="0"/>
              </w:rPr>
              <w:t>CI/CD, approvals, rollback, change log.</w:t>
            </w:r>
          </w:p>
        </w:tc>
      </w:tr>
      <w:tr>
        <w:tc>
          <w:tcPr>
            <w:tcW w:type="dxa" w:w="3408"/>
            <w:vAlign w:val="top"/>
          </w:tcPr>
          <w:p>
            <w:pPr>
              <w:spacing w:after="0"/>
            </w:pPr>
            <w:r/>
            <w:r>
              <w:rPr>
                <w:b w:val="0"/>
              </w:rPr>
              <w:t>ENG-STD-007</w:t>
            </w:r>
          </w:p>
        </w:tc>
        <w:tc>
          <w:tcPr>
            <w:tcW w:type="dxa" w:w="3408"/>
            <w:vAlign w:val="top"/>
          </w:tcPr>
          <w:p>
            <w:pPr>
              <w:spacing w:after="0"/>
            </w:pPr>
            <w:r/>
            <w:r>
              <w:rPr>
                <w:b w:val="0"/>
              </w:rPr>
              <w:t>Incident Standard</w:t>
            </w:r>
          </w:p>
        </w:tc>
        <w:tc>
          <w:tcPr>
            <w:tcW w:type="dxa" w:w="3408"/>
            <w:vAlign w:val="top"/>
          </w:tcPr>
          <w:p>
            <w:pPr>
              <w:spacing w:after="0"/>
            </w:pPr>
            <w:r/>
            <w:r>
              <w:rPr>
                <w:b w:val="0"/>
              </w:rPr>
              <w:t>Severity, owner, timeline, RCA, lessons.</w:t>
            </w:r>
          </w:p>
        </w:tc>
      </w:tr>
      <w:tr>
        <w:tc>
          <w:tcPr>
            <w:tcW w:type="dxa" w:w="3408"/>
            <w:vAlign w:val="top"/>
          </w:tcPr>
          <w:p>
            <w:pPr>
              <w:spacing w:after="0"/>
            </w:pPr>
            <w:r/>
            <w:r>
              <w:rPr>
                <w:b w:val="0"/>
              </w:rPr>
              <w:t>ENG-STD-008</w:t>
            </w:r>
          </w:p>
        </w:tc>
        <w:tc>
          <w:tcPr>
            <w:tcW w:type="dxa" w:w="3408"/>
            <w:vAlign w:val="top"/>
          </w:tcPr>
          <w:p>
            <w:pPr>
              <w:spacing w:after="0"/>
            </w:pPr>
            <w:r/>
            <w:r>
              <w:rPr>
                <w:b w:val="0"/>
              </w:rPr>
              <w:t>AI Engineering Standard</w:t>
            </w:r>
          </w:p>
        </w:tc>
        <w:tc>
          <w:tcPr>
            <w:tcW w:type="dxa" w:w="3408"/>
            <w:vAlign w:val="top"/>
          </w:tcPr>
          <w:p>
            <w:pPr>
              <w:spacing w:after="0"/>
            </w:pPr>
            <w:r/>
            <w:r>
              <w:rPr>
                <w:b w:val="0"/>
              </w:rPr>
              <w:t>Prompt registry, evals, model cards, monitoring.</w:t>
            </w:r>
          </w:p>
        </w:tc>
      </w:tr>
    </w:tbl>
    <w:p/>
    <w:p>
      <w:pPr>
        <w:pStyle w:val="Heading2"/>
      </w:pPr>
      <w:r>
        <w:t>Article ENG-002 - Proposed Stack</w:t>
      </w:r>
    </w:p>
    <w:p>
      <w:r>
        <w:rPr>
          <w:b/>
          <w:color w:val="AD8633"/>
        </w:rPr>
        <w:t>Table ENG-T02 - Technology Stack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Layer</w:t>
            </w:r>
          </w:p>
        </w:tc>
        <w:tc>
          <w:tcPr>
            <w:tcW w:type="dxa" w:w="3408"/>
            <w:vAlign w:val="top"/>
            <w:shd w:fill="0C383F"/>
          </w:tcPr>
          <w:p>
            <w:pPr>
              <w:spacing w:after="0"/>
            </w:pPr>
            <w:r/>
            <w:r>
              <w:rPr>
                <w:b/>
                <w:color w:val="FFFFFF"/>
              </w:rPr>
              <w:t>Recommended Baseline</w:t>
            </w:r>
          </w:p>
        </w:tc>
        <w:tc>
          <w:tcPr>
            <w:tcW w:type="dxa" w:w="3408"/>
            <w:vAlign w:val="top"/>
            <w:shd w:fill="0C383F"/>
          </w:tcPr>
          <w:p>
            <w:pPr>
              <w:spacing w:after="0"/>
            </w:pPr>
            <w:r/>
            <w:r>
              <w:rPr>
                <w:b/>
                <w:color w:val="FFFFFF"/>
              </w:rPr>
              <w:t>Reason</w:t>
            </w:r>
          </w:p>
        </w:tc>
      </w:tr>
      <w:tr>
        <w:tc>
          <w:tcPr>
            <w:tcW w:type="dxa" w:w="3408"/>
            <w:vAlign w:val="top"/>
          </w:tcPr>
          <w:p>
            <w:pPr>
              <w:spacing w:after="0"/>
            </w:pPr>
            <w:r/>
            <w:r>
              <w:rPr>
                <w:b w:val="0"/>
              </w:rPr>
              <w:t>Mobile</w:t>
            </w:r>
          </w:p>
        </w:tc>
        <w:tc>
          <w:tcPr>
            <w:tcW w:type="dxa" w:w="3408"/>
            <w:vAlign w:val="top"/>
          </w:tcPr>
          <w:p>
            <w:pPr>
              <w:spacing w:after="0"/>
            </w:pPr>
            <w:r/>
            <w:r>
              <w:rPr>
                <w:b w:val="0"/>
              </w:rPr>
              <w:t>Flutter or React Native; final decision by team capability.</w:t>
            </w:r>
          </w:p>
        </w:tc>
        <w:tc>
          <w:tcPr>
            <w:tcW w:type="dxa" w:w="3408"/>
            <w:vAlign w:val="top"/>
          </w:tcPr>
          <w:p>
            <w:pPr>
              <w:spacing w:after="0"/>
            </w:pPr>
            <w:r/>
            <w:r>
              <w:rPr>
                <w:b w:val="0"/>
              </w:rPr>
              <w:t>Single codebase for iOS/Android; strong design consistency.</w:t>
            </w:r>
          </w:p>
        </w:tc>
      </w:tr>
      <w:tr>
        <w:tc>
          <w:tcPr>
            <w:tcW w:type="dxa" w:w="3408"/>
            <w:vAlign w:val="top"/>
          </w:tcPr>
          <w:p>
            <w:pPr>
              <w:spacing w:after="0"/>
            </w:pPr>
            <w:r/>
            <w:r>
              <w:rPr>
                <w:b w:val="0"/>
              </w:rPr>
              <w:t>Web App</w:t>
            </w:r>
          </w:p>
        </w:tc>
        <w:tc>
          <w:tcPr>
            <w:tcW w:type="dxa" w:w="3408"/>
            <w:vAlign w:val="top"/>
          </w:tcPr>
          <w:p>
            <w:pPr>
              <w:spacing w:after="0"/>
            </w:pPr>
            <w:r/>
            <w:r>
              <w:rPr>
                <w:b w:val="0"/>
              </w:rPr>
              <w:t>Next.js / React / TypeScript.</w:t>
            </w:r>
          </w:p>
        </w:tc>
        <w:tc>
          <w:tcPr>
            <w:tcW w:type="dxa" w:w="3408"/>
            <w:vAlign w:val="top"/>
          </w:tcPr>
          <w:p>
            <w:pPr>
              <w:spacing w:after="0"/>
            </w:pPr>
            <w:r/>
            <w:r>
              <w:rPr>
                <w:b w:val="0"/>
              </w:rPr>
              <w:t>Modern web, SEO, app router, component ecosystem.</w:t>
            </w:r>
          </w:p>
        </w:tc>
      </w:tr>
      <w:tr>
        <w:tc>
          <w:tcPr>
            <w:tcW w:type="dxa" w:w="3408"/>
            <w:vAlign w:val="top"/>
          </w:tcPr>
          <w:p>
            <w:pPr>
              <w:spacing w:after="0"/>
            </w:pPr>
            <w:r/>
            <w:r>
              <w:rPr>
                <w:b w:val="0"/>
              </w:rPr>
              <w:t>Backend</w:t>
            </w:r>
          </w:p>
        </w:tc>
        <w:tc>
          <w:tcPr>
            <w:tcW w:type="dxa" w:w="3408"/>
            <w:vAlign w:val="top"/>
          </w:tcPr>
          <w:p>
            <w:pPr>
              <w:spacing w:after="0"/>
            </w:pPr>
            <w:r/>
            <w:r>
              <w:rPr>
                <w:b w:val="0"/>
              </w:rPr>
              <w:t>NestJS / TypeScript for core services.</w:t>
            </w:r>
          </w:p>
        </w:tc>
        <w:tc>
          <w:tcPr>
            <w:tcW w:type="dxa" w:w="3408"/>
            <w:vAlign w:val="top"/>
          </w:tcPr>
          <w:p>
            <w:pPr>
              <w:spacing w:after="0"/>
            </w:pPr>
            <w:r/>
            <w:r>
              <w:rPr>
                <w:b w:val="0"/>
              </w:rPr>
              <w:t>Typed modular architecture, enterprise maintainability.</w:t>
            </w:r>
          </w:p>
        </w:tc>
      </w:tr>
      <w:tr>
        <w:tc>
          <w:tcPr>
            <w:tcW w:type="dxa" w:w="3408"/>
            <w:vAlign w:val="top"/>
          </w:tcPr>
          <w:p>
            <w:pPr>
              <w:spacing w:after="0"/>
            </w:pPr>
            <w:r/>
            <w:r>
              <w:rPr>
                <w:b w:val="0"/>
              </w:rPr>
              <w:t>AI Services</w:t>
            </w:r>
          </w:p>
        </w:tc>
        <w:tc>
          <w:tcPr>
            <w:tcW w:type="dxa" w:w="3408"/>
            <w:vAlign w:val="top"/>
          </w:tcPr>
          <w:p>
            <w:pPr>
              <w:spacing w:after="0"/>
            </w:pPr>
            <w:r/>
            <w:r>
              <w:rPr>
                <w:b w:val="0"/>
              </w:rPr>
              <w:t>Python services for AI orchestration and evaluation.</w:t>
            </w:r>
          </w:p>
        </w:tc>
        <w:tc>
          <w:tcPr>
            <w:tcW w:type="dxa" w:w="3408"/>
            <w:vAlign w:val="top"/>
          </w:tcPr>
          <w:p>
            <w:pPr>
              <w:spacing w:after="0"/>
            </w:pPr>
            <w:r/>
            <w:r>
              <w:rPr>
                <w:b w:val="0"/>
              </w:rPr>
              <w:t>AI tooling ecosystem and model evaluation flexibility.</w:t>
            </w:r>
          </w:p>
        </w:tc>
      </w:tr>
      <w:tr>
        <w:tc>
          <w:tcPr>
            <w:tcW w:type="dxa" w:w="3408"/>
            <w:vAlign w:val="top"/>
          </w:tcPr>
          <w:p>
            <w:pPr>
              <w:spacing w:after="0"/>
            </w:pPr>
            <w:r/>
            <w:r>
              <w:rPr>
                <w:b w:val="0"/>
              </w:rPr>
              <w:t>Database</w:t>
            </w:r>
          </w:p>
        </w:tc>
        <w:tc>
          <w:tcPr>
            <w:tcW w:type="dxa" w:w="3408"/>
            <w:vAlign w:val="top"/>
          </w:tcPr>
          <w:p>
            <w:pPr>
              <w:spacing w:after="0"/>
            </w:pPr>
            <w:r/>
            <w:r>
              <w:rPr>
                <w:b w:val="0"/>
              </w:rPr>
              <w:t>PostgreSQL primary; Redis cache; object storage; vector store.</w:t>
            </w:r>
          </w:p>
        </w:tc>
        <w:tc>
          <w:tcPr>
            <w:tcW w:type="dxa" w:w="3408"/>
            <w:vAlign w:val="top"/>
          </w:tcPr>
          <w:p>
            <w:pPr>
              <w:spacing w:after="0"/>
            </w:pPr>
            <w:r/>
            <w:r>
              <w:rPr>
                <w:b w:val="0"/>
              </w:rPr>
              <w:t>Reliable relational backbone with AI retrieval capability.</w:t>
            </w:r>
          </w:p>
        </w:tc>
      </w:tr>
      <w:tr>
        <w:tc>
          <w:tcPr>
            <w:tcW w:type="dxa" w:w="3408"/>
            <w:vAlign w:val="top"/>
          </w:tcPr>
          <w:p>
            <w:pPr>
              <w:spacing w:after="0"/>
            </w:pPr>
            <w:r/>
            <w:r>
              <w:rPr>
                <w:b w:val="0"/>
              </w:rPr>
              <w:t>Infrastructure</w:t>
            </w:r>
          </w:p>
        </w:tc>
        <w:tc>
          <w:tcPr>
            <w:tcW w:type="dxa" w:w="3408"/>
            <w:vAlign w:val="top"/>
          </w:tcPr>
          <w:p>
            <w:pPr>
              <w:spacing w:after="0"/>
            </w:pPr>
            <w:r/>
            <w:r>
              <w:rPr>
                <w:b w:val="0"/>
              </w:rPr>
              <w:t>Managed cloud first; containerization as complexity grows.</w:t>
            </w:r>
          </w:p>
        </w:tc>
        <w:tc>
          <w:tcPr>
            <w:tcW w:type="dxa" w:w="3408"/>
            <w:vAlign w:val="top"/>
          </w:tcPr>
          <w:p>
            <w:pPr>
              <w:spacing w:after="0"/>
            </w:pPr>
            <w:r/>
            <w:r>
              <w:rPr>
                <w:b w:val="0"/>
              </w:rPr>
              <w:t>Speed now, portability later.</w:t>
            </w:r>
          </w:p>
        </w:tc>
      </w:tr>
      <w:tr>
        <w:tc>
          <w:tcPr>
            <w:tcW w:type="dxa" w:w="3408"/>
            <w:vAlign w:val="top"/>
          </w:tcPr>
          <w:p>
            <w:pPr>
              <w:spacing w:after="0"/>
            </w:pPr>
            <w:r/>
            <w:r>
              <w:rPr>
                <w:b w:val="0"/>
              </w:rPr>
              <w:t>Auth</w:t>
            </w:r>
          </w:p>
        </w:tc>
        <w:tc>
          <w:tcPr>
            <w:tcW w:type="dxa" w:w="3408"/>
            <w:vAlign w:val="top"/>
          </w:tcPr>
          <w:p>
            <w:pPr>
              <w:spacing w:after="0"/>
            </w:pPr>
            <w:r/>
            <w:r>
              <w:rPr>
                <w:b w:val="0"/>
              </w:rPr>
              <w:t>OIDC/OAuth2.1 compatible identity provider.</w:t>
            </w:r>
          </w:p>
        </w:tc>
        <w:tc>
          <w:tcPr>
            <w:tcW w:type="dxa" w:w="3408"/>
            <w:vAlign w:val="top"/>
          </w:tcPr>
          <w:p>
            <w:pPr>
              <w:spacing w:after="0"/>
            </w:pPr>
            <w:r/>
            <w:r>
              <w:rPr>
                <w:b w:val="0"/>
              </w:rPr>
              <w:t>Standards-based security.</w:t>
            </w:r>
          </w:p>
        </w:tc>
      </w:tr>
      <w:tr>
        <w:tc>
          <w:tcPr>
            <w:tcW w:type="dxa" w:w="3408"/>
            <w:vAlign w:val="top"/>
          </w:tcPr>
          <w:p>
            <w:pPr>
              <w:spacing w:after="0"/>
            </w:pPr>
            <w:r/>
            <w:r>
              <w:rPr>
                <w:b w:val="0"/>
              </w:rPr>
              <w:t>Analytics</w:t>
            </w:r>
          </w:p>
        </w:tc>
        <w:tc>
          <w:tcPr>
            <w:tcW w:type="dxa" w:w="3408"/>
            <w:vAlign w:val="top"/>
          </w:tcPr>
          <w:p>
            <w:pPr>
              <w:spacing w:after="0"/>
            </w:pPr>
            <w:r/>
            <w:r>
              <w:rPr>
                <w:b w:val="0"/>
              </w:rPr>
              <w:t>Privacy-aware product analytics and BI warehouse.</w:t>
            </w:r>
          </w:p>
        </w:tc>
        <w:tc>
          <w:tcPr>
            <w:tcW w:type="dxa" w:w="3408"/>
            <w:vAlign w:val="top"/>
          </w:tcPr>
          <w:p>
            <w:pPr>
              <w:spacing w:after="0"/>
            </w:pPr>
            <w:r/>
            <w:r>
              <w:rPr>
                <w:b w:val="0"/>
              </w:rPr>
              <w:t>Impact measurement without surveillance model.</w:t>
            </w:r>
          </w:p>
        </w:tc>
      </w:tr>
    </w:tbl>
    <w:p/>
    <w:p>
      <w:pPr>
        <w:pStyle w:val="Heading1"/>
      </w:pPr>
      <w:r>
        <w:t>Part VIII - Product Architecture</w:t>
      </w:r>
    </w:p>
    <w:p>
      <w:pPr>
        <w:pStyle w:val="Heading2"/>
      </w:pPr>
      <w:r>
        <w:t>Article PROD-001 - Product Operating Model</w:t>
      </w:r>
    </w:p>
    <w:p>
      <w:pPr>
        <w:spacing w:after="120" w:line="259" w:lineRule="auto"/>
      </w:pPr>
      <w:r>
        <w:t>Afiyah shall not ship features without constitutional purpose, product outcome, risk assessment, data mapping, AI mapping, security review, analytics plan and support procedure. Products are grouped into domains: Companion, Learning, Wellbeing, Financial Capability, Community, Marketplace, Partner Portal, Scholar Portal, Admin Console and Governance Console.</w:t>
      </w:r>
    </w:p>
    <w:p>
      <w:r>
        <w:rPr>
          <w:b/>
          <w:color w:val="AD8633"/>
        </w:rPr>
        <w:t>Table PROD-T01 - Product Domain Specification Index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Product</w:t>
            </w:r>
          </w:p>
        </w:tc>
        <w:tc>
          <w:tcPr>
            <w:tcW w:type="dxa" w:w="3408"/>
            <w:vAlign w:val="top"/>
            <w:shd w:fill="0C383F"/>
          </w:tcPr>
          <w:p>
            <w:pPr>
              <w:spacing w:after="0"/>
            </w:pPr>
            <w:r/>
            <w:r>
              <w:rPr>
                <w:b/>
                <w:color w:val="FFFFFF"/>
              </w:rPr>
              <w:t>Core Outcomes</w:t>
            </w:r>
          </w:p>
        </w:tc>
        <w:tc>
          <w:tcPr>
            <w:tcW w:type="dxa" w:w="3408"/>
            <w:vAlign w:val="top"/>
            <w:shd w:fill="0C383F"/>
          </w:tcPr>
          <w:p>
            <w:pPr>
              <w:spacing w:after="0"/>
            </w:pPr>
            <w:r/>
            <w:r>
              <w:rPr>
                <w:b/>
                <w:color w:val="FFFFFF"/>
              </w:rPr>
              <w:t>High-Risk Considerations</w:t>
            </w:r>
          </w:p>
        </w:tc>
      </w:tr>
      <w:tr>
        <w:tc>
          <w:tcPr>
            <w:tcW w:type="dxa" w:w="3408"/>
            <w:vAlign w:val="top"/>
          </w:tcPr>
          <w:p>
            <w:pPr>
              <w:spacing w:after="0"/>
            </w:pPr>
            <w:r/>
            <w:r>
              <w:rPr>
                <w:b w:val="0"/>
              </w:rPr>
              <w:t>Afiyah Companion</w:t>
            </w:r>
          </w:p>
        </w:tc>
        <w:tc>
          <w:tcPr>
            <w:tcW w:type="dxa" w:w="3408"/>
            <w:vAlign w:val="top"/>
          </w:tcPr>
          <w:p>
            <w:pPr>
              <w:spacing w:after="0"/>
            </w:pPr>
            <w:r/>
            <w:r>
              <w:rPr>
                <w:b w:val="0"/>
              </w:rPr>
              <w:t>Daily guidance, reflection, learning pathway, wellbeing prompt.</w:t>
            </w:r>
          </w:p>
        </w:tc>
        <w:tc>
          <w:tcPr>
            <w:tcW w:type="dxa" w:w="3408"/>
            <w:vAlign w:val="top"/>
          </w:tcPr>
          <w:p>
            <w:pPr>
              <w:spacing w:after="0"/>
            </w:pPr>
            <w:r/>
            <w:r>
              <w:rPr>
                <w:b w:val="0"/>
              </w:rPr>
              <w:t>AI dependency, mental wellbeing boundaries, privacy.</w:t>
            </w:r>
          </w:p>
        </w:tc>
      </w:tr>
      <w:tr>
        <w:tc>
          <w:tcPr>
            <w:tcW w:type="dxa" w:w="3408"/>
            <w:vAlign w:val="top"/>
          </w:tcPr>
          <w:p>
            <w:pPr>
              <w:spacing w:after="0"/>
            </w:pPr>
            <w:r/>
            <w:r>
              <w:rPr>
                <w:b w:val="0"/>
              </w:rPr>
              <w:t>Learning System</w:t>
            </w:r>
          </w:p>
        </w:tc>
        <w:tc>
          <w:tcPr>
            <w:tcW w:type="dxa" w:w="3408"/>
            <w:vAlign w:val="top"/>
          </w:tcPr>
          <w:p>
            <w:pPr>
              <w:spacing w:after="0"/>
            </w:pPr>
            <w:r/>
            <w:r>
              <w:rPr>
                <w:b w:val="0"/>
              </w:rPr>
              <w:t>10 modules, assessments, progress, certificates.</w:t>
            </w:r>
          </w:p>
        </w:tc>
        <w:tc>
          <w:tcPr>
            <w:tcW w:type="dxa" w:w="3408"/>
            <w:vAlign w:val="top"/>
          </w:tcPr>
          <w:p>
            <w:pPr>
              <w:spacing w:after="0"/>
            </w:pPr>
            <w:r/>
            <w:r>
              <w:rPr>
                <w:b w:val="0"/>
              </w:rPr>
              <w:t>Content accuracy, Shariah review, partner certificates.</w:t>
            </w:r>
          </w:p>
        </w:tc>
      </w:tr>
      <w:tr>
        <w:tc>
          <w:tcPr>
            <w:tcW w:type="dxa" w:w="3408"/>
            <w:vAlign w:val="top"/>
          </w:tcPr>
          <w:p>
            <w:pPr>
              <w:spacing w:after="0"/>
            </w:pPr>
            <w:r/>
            <w:r>
              <w:rPr>
                <w:b w:val="0"/>
              </w:rPr>
              <w:t>Infinity Score</w:t>
            </w:r>
          </w:p>
        </w:tc>
        <w:tc>
          <w:tcPr>
            <w:tcW w:type="dxa" w:w="3408"/>
            <w:vAlign w:val="top"/>
          </w:tcPr>
          <w:p>
            <w:pPr>
              <w:spacing w:after="0"/>
            </w:pPr>
            <w:r/>
            <w:r>
              <w:rPr>
                <w:b w:val="0"/>
              </w:rPr>
              <w:t>Private progress reflection across dimensions.</w:t>
            </w:r>
          </w:p>
        </w:tc>
        <w:tc>
          <w:tcPr>
            <w:tcW w:type="dxa" w:w="3408"/>
            <w:vAlign w:val="top"/>
          </w:tcPr>
          <w:p>
            <w:pPr>
              <w:spacing w:after="0"/>
            </w:pPr>
            <w:r/>
            <w:r>
              <w:rPr>
                <w:b w:val="0"/>
              </w:rPr>
              <w:t>Misinterpretation, anxiety, ranking risk.</w:t>
            </w:r>
          </w:p>
        </w:tc>
      </w:tr>
      <w:tr>
        <w:tc>
          <w:tcPr>
            <w:tcW w:type="dxa" w:w="3408"/>
            <w:vAlign w:val="top"/>
          </w:tcPr>
          <w:p>
            <w:pPr>
              <w:spacing w:after="0"/>
            </w:pPr>
            <w:r/>
            <w:r>
              <w:rPr>
                <w:b w:val="0"/>
              </w:rPr>
              <w:t>Financial Capability</w:t>
            </w:r>
          </w:p>
        </w:tc>
        <w:tc>
          <w:tcPr>
            <w:tcW w:type="dxa" w:w="3408"/>
            <w:vAlign w:val="top"/>
          </w:tcPr>
          <w:p>
            <w:pPr>
              <w:spacing w:after="0"/>
            </w:pPr>
            <w:r/>
            <w:r>
              <w:rPr>
                <w:b w:val="0"/>
              </w:rPr>
              <w:t>Budgeting, education, zakat calculation, Islamic finance fundamentals.</w:t>
            </w:r>
          </w:p>
        </w:tc>
        <w:tc>
          <w:tcPr>
            <w:tcW w:type="dxa" w:w="3408"/>
            <w:vAlign w:val="top"/>
          </w:tcPr>
          <w:p>
            <w:pPr>
              <w:spacing w:after="0"/>
            </w:pPr>
            <w:r/>
            <w:r>
              <w:rPr>
                <w:b w:val="0"/>
              </w:rPr>
              <w:t>Regulated advice boundary, financial data sensitivity.</w:t>
            </w:r>
          </w:p>
        </w:tc>
      </w:tr>
      <w:tr>
        <w:tc>
          <w:tcPr>
            <w:tcW w:type="dxa" w:w="3408"/>
            <w:vAlign w:val="top"/>
          </w:tcPr>
          <w:p>
            <w:pPr>
              <w:spacing w:after="0"/>
            </w:pPr>
            <w:r/>
            <w:r>
              <w:rPr>
                <w:b w:val="0"/>
              </w:rPr>
              <w:t>Sister Circles</w:t>
            </w:r>
          </w:p>
        </w:tc>
        <w:tc>
          <w:tcPr>
            <w:tcW w:type="dxa" w:w="3408"/>
            <w:vAlign w:val="top"/>
          </w:tcPr>
          <w:p>
            <w:pPr>
              <w:spacing w:after="0"/>
            </w:pPr>
            <w:r/>
            <w:r>
              <w:rPr>
                <w:b w:val="0"/>
              </w:rPr>
              <w:t>Community, mentorship, events, safe support.</w:t>
            </w:r>
          </w:p>
        </w:tc>
        <w:tc>
          <w:tcPr>
            <w:tcW w:type="dxa" w:w="3408"/>
            <w:vAlign w:val="top"/>
          </w:tcPr>
          <w:p>
            <w:pPr>
              <w:spacing w:after="0"/>
            </w:pPr>
            <w:r/>
            <w:r>
              <w:rPr>
                <w:b w:val="0"/>
              </w:rPr>
              <w:t>Moderation, harassment, anonymity, abuse reporting.</w:t>
            </w:r>
          </w:p>
        </w:tc>
      </w:tr>
      <w:tr>
        <w:tc>
          <w:tcPr>
            <w:tcW w:type="dxa" w:w="3408"/>
            <w:vAlign w:val="top"/>
          </w:tcPr>
          <w:p>
            <w:pPr>
              <w:spacing w:after="0"/>
            </w:pPr>
            <w:r/>
            <w:r>
              <w:rPr>
                <w:b w:val="0"/>
              </w:rPr>
              <w:t>Marketplace</w:t>
            </w:r>
          </w:p>
        </w:tc>
        <w:tc>
          <w:tcPr>
            <w:tcW w:type="dxa" w:w="3408"/>
            <w:vAlign w:val="top"/>
          </w:tcPr>
          <w:p>
            <w:pPr>
              <w:spacing w:after="0"/>
            </w:pPr>
            <w:r/>
            <w:r>
              <w:rPr>
                <w:b w:val="0"/>
              </w:rPr>
              <w:t>Women-led products/services and partner offerings.</w:t>
            </w:r>
          </w:p>
        </w:tc>
        <w:tc>
          <w:tcPr>
            <w:tcW w:type="dxa" w:w="3408"/>
            <w:vAlign w:val="top"/>
          </w:tcPr>
          <w:p>
            <w:pPr>
              <w:spacing w:after="0"/>
            </w:pPr>
            <w:r/>
            <w:r>
              <w:rPr>
                <w:b w:val="0"/>
              </w:rPr>
              <w:t>Due diligence, consumer protection, payments, disputes.</w:t>
            </w:r>
          </w:p>
        </w:tc>
      </w:tr>
      <w:tr>
        <w:tc>
          <w:tcPr>
            <w:tcW w:type="dxa" w:w="3408"/>
            <w:vAlign w:val="top"/>
          </w:tcPr>
          <w:p>
            <w:pPr>
              <w:spacing w:after="0"/>
            </w:pPr>
            <w:r/>
            <w:r>
              <w:rPr>
                <w:b w:val="0"/>
              </w:rPr>
              <w:t>Admin Console</w:t>
            </w:r>
          </w:p>
        </w:tc>
        <w:tc>
          <w:tcPr>
            <w:tcW w:type="dxa" w:w="3408"/>
            <w:vAlign w:val="top"/>
          </w:tcPr>
          <w:p>
            <w:pPr>
              <w:spacing w:after="0"/>
            </w:pPr>
            <w:r/>
            <w:r>
              <w:rPr>
                <w:b w:val="0"/>
              </w:rPr>
              <w:t>Support, risk, content, operations.</w:t>
            </w:r>
          </w:p>
        </w:tc>
        <w:tc>
          <w:tcPr>
            <w:tcW w:type="dxa" w:w="3408"/>
            <w:vAlign w:val="top"/>
          </w:tcPr>
          <w:p>
            <w:pPr>
              <w:spacing w:after="0"/>
            </w:pPr>
            <w:r/>
            <w:r>
              <w:rPr>
                <w:b w:val="0"/>
              </w:rPr>
              <w:t>Privileged access, auditability.</w:t>
            </w:r>
          </w:p>
        </w:tc>
      </w:tr>
      <w:tr>
        <w:tc>
          <w:tcPr>
            <w:tcW w:type="dxa" w:w="3408"/>
            <w:vAlign w:val="top"/>
          </w:tcPr>
          <w:p>
            <w:pPr>
              <w:spacing w:after="0"/>
            </w:pPr>
            <w:r/>
            <w:r>
              <w:rPr>
                <w:b w:val="0"/>
              </w:rPr>
              <w:t>Scholar Portal</w:t>
            </w:r>
          </w:p>
        </w:tc>
        <w:tc>
          <w:tcPr>
            <w:tcW w:type="dxa" w:w="3408"/>
            <w:vAlign w:val="top"/>
          </w:tcPr>
          <w:p>
            <w:pPr>
              <w:spacing w:after="0"/>
            </w:pPr>
            <w:r/>
            <w:r>
              <w:rPr>
                <w:b w:val="0"/>
              </w:rPr>
              <w:t>Review workflow, source management, opinion records.</w:t>
            </w:r>
          </w:p>
        </w:tc>
        <w:tc>
          <w:tcPr>
            <w:tcW w:type="dxa" w:w="3408"/>
            <w:vAlign w:val="top"/>
          </w:tcPr>
          <w:p>
            <w:pPr>
              <w:spacing w:after="0"/>
            </w:pPr>
            <w:r/>
            <w:r>
              <w:rPr>
                <w:b w:val="0"/>
              </w:rPr>
              <w:t>Independence, conflicts, version control.</w:t>
            </w:r>
          </w:p>
        </w:tc>
      </w:tr>
    </w:tbl>
    <w:p/>
    <w:p>
      <w:pPr>
        <w:pStyle w:val="Heading1"/>
      </w:pPr>
      <w:r>
        <w:t>Part IX - Operations and SOPs</w:t>
      </w:r>
    </w:p>
    <w:p>
      <w:pPr>
        <w:pStyle w:val="Heading2"/>
      </w:pPr>
      <w:r>
        <w:t>Article OPS-001 - Operating Discipline</w:t>
      </w:r>
    </w:p>
    <w:p>
      <w:pPr>
        <w:spacing w:after="120" w:line="259" w:lineRule="auto"/>
      </w:pPr>
      <w:r>
        <w:t>Daily operations shall implement constitutional principles through repeatable procedures. Every SOP shall define purpose, scope, owner, triggers, inputs, steps, outputs, controls, escalation, evidence and review cycle. SOPs shall be version-controlled and auditable.</w:t>
      </w:r>
    </w:p>
    <w:p>
      <w:r>
        <w:rPr>
          <w:b/>
          <w:color w:val="AD8633"/>
        </w:rPr>
        <w:t>Table OPS-T01 - SOP Library Index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SOP ID</w:t>
            </w:r>
          </w:p>
        </w:tc>
        <w:tc>
          <w:tcPr>
            <w:tcW w:type="dxa" w:w="3408"/>
            <w:vAlign w:val="top"/>
            <w:shd w:fill="0C383F"/>
          </w:tcPr>
          <w:p>
            <w:pPr>
              <w:spacing w:after="0"/>
            </w:pPr>
            <w:r/>
            <w:r>
              <w:rPr>
                <w:b/>
                <w:color w:val="FFFFFF"/>
              </w:rPr>
              <w:t>SOP Name</w:t>
            </w:r>
          </w:p>
        </w:tc>
        <w:tc>
          <w:tcPr>
            <w:tcW w:type="dxa" w:w="3408"/>
            <w:vAlign w:val="top"/>
            <w:shd w:fill="0C383F"/>
          </w:tcPr>
          <w:p>
            <w:pPr>
              <w:spacing w:after="0"/>
            </w:pPr>
            <w:r/>
            <w:r>
              <w:rPr>
                <w:b/>
                <w:color w:val="FFFFFF"/>
              </w:rPr>
              <w:t>Owner</w:t>
            </w:r>
          </w:p>
        </w:tc>
      </w:tr>
      <w:tr>
        <w:tc>
          <w:tcPr>
            <w:tcW w:type="dxa" w:w="3408"/>
            <w:vAlign w:val="top"/>
          </w:tcPr>
          <w:p>
            <w:pPr>
              <w:spacing w:after="0"/>
            </w:pPr>
            <w:r/>
            <w:r>
              <w:rPr>
                <w:b w:val="0"/>
              </w:rPr>
              <w:t>OPS-SOP-001</w:t>
            </w:r>
          </w:p>
        </w:tc>
        <w:tc>
          <w:tcPr>
            <w:tcW w:type="dxa" w:w="3408"/>
            <w:vAlign w:val="top"/>
          </w:tcPr>
          <w:p>
            <w:pPr>
              <w:spacing w:after="0"/>
            </w:pPr>
            <w:r/>
            <w:r>
              <w:rPr>
                <w:b w:val="0"/>
              </w:rPr>
              <w:t>Constitutional Review SOP</w:t>
            </w:r>
          </w:p>
        </w:tc>
        <w:tc>
          <w:tcPr>
            <w:tcW w:type="dxa" w:w="3408"/>
            <w:vAlign w:val="top"/>
          </w:tcPr>
          <w:p>
            <w:pPr>
              <w:spacing w:after="0"/>
            </w:pPr>
            <w:r/>
            <w:r>
              <w:rPr>
                <w:b w:val="0"/>
              </w:rPr>
              <w:t>Constitutional Office</w:t>
            </w:r>
          </w:p>
        </w:tc>
      </w:tr>
      <w:tr>
        <w:tc>
          <w:tcPr>
            <w:tcW w:type="dxa" w:w="3408"/>
            <w:vAlign w:val="top"/>
          </w:tcPr>
          <w:p>
            <w:pPr>
              <w:spacing w:after="0"/>
            </w:pPr>
            <w:r/>
            <w:r>
              <w:rPr>
                <w:b w:val="0"/>
              </w:rPr>
              <w:t>OPS-SOP-002</w:t>
            </w:r>
          </w:p>
        </w:tc>
        <w:tc>
          <w:tcPr>
            <w:tcW w:type="dxa" w:w="3408"/>
            <w:vAlign w:val="top"/>
          </w:tcPr>
          <w:p>
            <w:pPr>
              <w:spacing w:after="0"/>
            </w:pPr>
            <w:r/>
            <w:r>
              <w:rPr>
                <w:b w:val="0"/>
              </w:rPr>
              <w:t>Product Approval SOP</w:t>
            </w:r>
          </w:p>
        </w:tc>
        <w:tc>
          <w:tcPr>
            <w:tcW w:type="dxa" w:w="3408"/>
            <w:vAlign w:val="top"/>
          </w:tcPr>
          <w:p>
            <w:pPr>
              <w:spacing w:after="0"/>
            </w:pPr>
            <w:r/>
            <w:r>
              <w:rPr>
                <w:b w:val="0"/>
              </w:rPr>
              <w:t>Product</w:t>
            </w:r>
          </w:p>
        </w:tc>
      </w:tr>
      <w:tr>
        <w:tc>
          <w:tcPr>
            <w:tcW w:type="dxa" w:w="3408"/>
            <w:vAlign w:val="top"/>
          </w:tcPr>
          <w:p>
            <w:pPr>
              <w:spacing w:after="0"/>
            </w:pPr>
            <w:r/>
            <w:r>
              <w:rPr>
                <w:b w:val="0"/>
              </w:rPr>
              <w:t>OPS-SOP-003</w:t>
            </w:r>
          </w:p>
        </w:tc>
        <w:tc>
          <w:tcPr>
            <w:tcW w:type="dxa" w:w="3408"/>
            <w:vAlign w:val="top"/>
          </w:tcPr>
          <w:p>
            <w:pPr>
              <w:spacing w:after="0"/>
            </w:pPr>
            <w:r/>
            <w:r>
              <w:rPr>
                <w:b w:val="0"/>
              </w:rPr>
              <w:t>Shariah Review SOP</w:t>
            </w:r>
          </w:p>
        </w:tc>
        <w:tc>
          <w:tcPr>
            <w:tcW w:type="dxa" w:w="3408"/>
            <w:vAlign w:val="top"/>
          </w:tcPr>
          <w:p>
            <w:pPr>
              <w:spacing w:after="0"/>
            </w:pPr>
            <w:r/>
            <w:r>
              <w:rPr>
                <w:b w:val="0"/>
              </w:rPr>
              <w:t>SAB Secretariat</w:t>
            </w:r>
          </w:p>
        </w:tc>
      </w:tr>
      <w:tr>
        <w:tc>
          <w:tcPr>
            <w:tcW w:type="dxa" w:w="3408"/>
            <w:vAlign w:val="top"/>
          </w:tcPr>
          <w:p>
            <w:pPr>
              <w:spacing w:after="0"/>
            </w:pPr>
            <w:r/>
            <w:r>
              <w:rPr>
                <w:b w:val="0"/>
              </w:rPr>
              <w:t>OPS-SOP-004</w:t>
            </w:r>
          </w:p>
        </w:tc>
        <w:tc>
          <w:tcPr>
            <w:tcW w:type="dxa" w:w="3408"/>
            <w:vAlign w:val="top"/>
          </w:tcPr>
          <w:p>
            <w:pPr>
              <w:spacing w:after="0"/>
            </w:pPr>
            <w:r/>
            <w:r>
              <w:rPr>
                <w:b w:val="0"/>
              </w:rPr>
              <w:t>AI Release SOP</w:t>
            </w:r>
          </w:p>
        </w:tc>
        <w:tc>
          <w:tcPr>
            <w:tcW w:type="dxa" w:w="3408"/>
            <w:vAlign w:val="top"/>
          </w:tcPr>
          <w:p>
            <w:pPr>
              <w:spacing w:after="0"/>
            </w:pPr>
            <w:r/>
            <w:r>
              <w:rPr>
                <w:b w:val="0"/>
              </w:rPr>
              <w:t>Chief AI Officer</w:t>
            </w:r>
          </w:p>
        </w:tc>
      </w:tr>
      <w:tr>
        <w:tc>
          <w:tcPr>
            <w:tcW w:type="dxa" w:w="3408"/>
            <w:vAlign w:val="top"/>
          </w:tcPr>
          <w:p>
            <w:pPr>
              <w:spacing w:after="0"/>
            </w:pPr>
            <w:r/>
            <w:r>
              <w:rPr>
                <w:b w:val="0"/>
              </w:rPr>
              <w:t>OPS-SOP-005</w:t>
            </w:r>
          </w:p>
        </w:tc>
        <w:tc>
          <w:tcPr>
            <w:tcW w:type="dxa" w:w="3408"/>
            <w:vAlign w:val="top"/>
          </w:tcPr>
          <w:p>
            <w:pPr>
              <w:spacing w:after="0"/>
            </w:pPr>
            <w:r/>
            <w:r>
              <w:rPr>
                <w:b w:val="0"/>
              </w:rPr>
              <w:t>Security Incident SOP</w:t>
            </w:r>
          </w:p>
        </w:tc>
        <w:tc>
          <w:tcPr>
            <w:tcW w:type="dxa" w:w="3408"/>
            <w:vAlign w:val="top"/>
          </w:tcPr>
          <w:p>
            <w:pPr>
              <w:spacing w:after="0"/>
            </w:pPr>
            <w:r/>
            <w:r>
              <w:rPr>
                <w:b w:val="0"/>
              </w:rPr>
              <w:t>CISO</w:t>
            </w:r>
          </w:p>
        </w:tc>
      </w:tr>
      <w:tr>
        <w:tc>
          <w:tcPr>
            <w:tcW w:type="dxa" w:w="3408"/>
            <w:vAlign w:val="top"/>
          </w:tcPr>
          <w:p>
            <w:pPr>
              <w:spacing w:after="0"/>
            </w:pPr>
            <w:r/>
            <w:r>
              <w:rPr>
                <w:b w:val="0"/>
              </w:rPr>
              <w:t>OPS-SOP-006</w:t>
            </w:r>
          </w:p>
        </w:tc>
        <w:tc>
          <w:tcPr>
            <w:tcW w:type="dxa" w:w="3408"/>
            <w:vAlign w:val="top"/>
          </w:tcPr>
          <w:p>
            <w:pPr>
              <w:spacing w:after="0"/>
            </w:pPr>
            <w:r/>
            <w:r>
              <w:rPr>
                <w:b w:val="0"/>
              </w:rPr>
              <w:t>Privacy Rights Request SOP</w:t>
            </w:r>
          </w:p>
        </w:tc>
        <w:tc>
          <w:tcPr>
            <w:tcW w:type="dxa" w:w="3408"/>
            <w:vAlign w:val="top"/>
          </w:tcPr>
          <w:p>
            <w:pPr>
              <w:spacing w:after="0"/>
            </w:pPr>
            <w:r/>
            <w:r>
              <w:rPr>
                <w:b w:val="0"/>
              </w:rPr>
              <w:t>Data Protection Lead</w:t>
            </w:r>
          </w:p>
        </w:tc>
      </w:tr>
      <w:tr>
        <w:tc>
          <w:tcPr>
            <w:tcW w:type="dxa" w:w="3408"/>
            <w:vAlign w:val="top"/>
          </w:tcPr>
          <w:p>
            <w:pPr>
              <w:spacing w:after="0"/>
            </w:pPr>
            <w:r/>
            <w:r>
              <w:rPr>
                <w:b w:val="0"/>
              </w:rPr>
              <w:t>OPS-SOP-007</w:t>
            </w:r>
          </w:p>
        </w:tc>
        <w:tc>
          <w:tcPr>
            <w:tcW w:type="dxa" w:w="3408"/>
            <w:vAlign w:val="top"/>
          </w:tcPr>
          <w:p>
            <w:pPr>
              <w:spacing w:after="0"/>
            </w:pPr>
            <w:r/>
            <w:r>
              <w:rPr>
                <w:b w:val="0"/>
              </w:rPr>
              <w:t>Vendor Due Diligence SOP</w:t>
            </w:r>
          </w:p>
        </w:tc>
        <w:tc>
          <w:tcPr>
            <w:tcW w:type="dxa" w:w="3408"/>
            <w:vAlign w:val="top"/>
          </w:tcPr>
          <w:p>
            <w:pPr>
              <w:spacing w:after="0"/>
            </w:pPr>
            <w:r/>
            <w:r>
              <w:rPr>
                <w:b w:val="0"/>
              </w:rPr>
              <w:t>Procurement / Risk</w:t>
            </w:r>
          </w:p>
        </w:tc>
      </w:tr>
      <w:tr>
        <w:tc>
          <w:tcPr>
            <w:tcW w:type="dxa" w:w="3408"/>
            <w:vAlign w:val="top"/>
          </w:tcPr>
          <w:p>
            <w:pPr>
              <w:spacing w:after="0"/>
            </w:pPr>
            <w:r/>
            <w:r>
              <w:rPr>
                <w:b w:val="0"/>
              </w:rPr>
              <w:t>OPS-SOP-008</w:t>
            </w:r>
          </w:p>
        </w:tc>
        <w:tc>
          <w:tcPr>
            <w:tcW w:type="dxa" w:w="3408"/>
            <w:vAlign w:val="top"/>
          </w:tcPr>
          <w:p>
            <w:pPr>
              <w:spacing w:after="0"/>
            </w:pPr>
            <w:r/>
            <w:r>
              <w:rPr>
                <w:b w:val="0"/>
              </w:rPr>
              <w:t>Community Safety Escalation SOP</w:t>
            </w:r>
          </w:p>
        </w:tc>
        <w:tc>
          <w:tcPr>
            <w:tcW w:type="dxa" w:w="3408"/>
            <w:vAlign w:val="top"/>
          </w:tcPr>
          <w:p>
            <w:pPr>
              <w:spacing w:after="0"/>
            </w:pPr>
            <w:r/>
            <w:r>
              <w:rPr>
                <w:b w:val="0"/>
              </w:rPr>
              <w:t>Community Ops</w:t>
            </w:r>
          </w:p>
        </w:tc>
      </w:tr>
      <w:tr>
        <w:tc>
          <w:tcPr>
            <w:tcW w:type="dxa" w:w="3408"/>
            <w:vAlign w:val="top"/>
          </w:tcPr>
          <w:p>
            <w:pPr>
              <w:spacing w:after="0"/>
            </w:pPr>
            <w:r/>
            <w:r>
              <w:rPr>
                <w:b w:val="0"/>
              </w:rPr>
              <w:t>OPS-SOP-009</w:t>
            </w:r>
          </w:p>
        </w:tc>
        <w:tc>
          <w:tcPr>
            <w:tcW w:type="dxa" w:w="3408"/>
            <w:vAlign w:val="top"/>
          </w:tcPr>
          <w:p>
            <w:pPr>
              <w:spacing w:after="0"/>
            </w:pPr>
            <w:r/>
            <w:r>
              <w:rPr>
                <w:b w:val="0"/>
              </w:rPr>
              <w:t>Content Publishing SOP</w:t>
            </w:r>
          </w:p>
        </w:tc>
        <w:tc>
          <w:tcPr>
            <w:tcW w:type="dxa" w:w="3408"/>
            <w:vAlign w:val="top"/>
          </w:tcPr>
          <w:p>
            <w:pPr>
              <w:spacing w:after="0"/>
            </w:pPr>
            <w:r/>
            <w:r>
              <w:rPr>
                <w:b w:val="0"/>
              </w:rPr>
              <w:t>Learning / Content</w:t>
            </w:r>
          </w:p>
        </w:tc>
      </w:tr>
      <w:tr>
        <w:tc>
          <w:tcPr>
            <w:tcW w:type="dxa" w:w="3408"/>
            <w:vAlign w:val="top"/>
          </w:tcPr>
          <w:p>
            <w:pPr>
              <w:spacing w:after="0"/>
            </w:pPr>
            <w:r/>
            <w:r>
              <w:rPr>
                <w:b w:val="0"/>
              </w:rPr>
              <w:t>OPS-SOP-010</w:t>
            </w:r>
          </w:p>
        </w:tc>
        <w:tc>
          <w:tcPr>
            <w:tcW w:type="dxa" w:w="3408"/>
            <w:vAlign w:val="top"/>
          </w:tcPr>
          <w:p>
            <w:pPr>
              <w:spacing w:after="0"/>
            </w:pPr>
            <w:r/>
            <w:r>
              <w:rPr>
                <w:b w:val="0"/>
              </w:rPr>
              <w:t>Business Continuity Activation SOP</w:t>
            </w:r>
          </w:p>
        </w:tc>
        <w:tc>
          <w:tcPr>
            <w:tcW w:type="dxa" w:w="3408"/>
            <w:vAlign w:val="top"/>
          </w:tcPr>
          <w:p>
            <w:pPr>
              <w:spacing w:after="0"/>
            </w:pPr>
            <w:r/>
            <w:r>
              <w:rPr>
                <w:b w:val="0"/>
              </w:rPr>
              <w:t>COO / CRO</w:t>
            </w:r>
          </w:p>
        </w:tc>
      </w:tr>
    </w:tbl>
    <w:p/>
    <w:p>
      <w:pPr>
        <w:pStyle w:val="Heading1"/>
      </w:pPr>
      <w:r>
        <w:t>Part X - Risk, Internal Audit and Assurance</w:t>
      </w:r>
    </w:p>
    <w:p>
      <w:pPr>
        <w:pStyle w:val="Heading2"/>
      </w:pPr>
      <w:r>
        <w:t>Article RISK-001 - Enterprise Risk Taxonomy</w:t>
      </w:r>
    </w:p>
    <w:p>
      <w:r>
        <w:rPr>
          <w:b/>
          <w:color w:val="AD8633"/>
        </w:rPr>
        <w:t>Table RISK-T01 - Enterprise Risk Register v0.1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Risk ID</w:t>
            </w:r>
          </w:p>
        </w:tc>
        <w:tc>
          <w:tcPr>
            <w:tcW w:type="dxa" w:w="2556"/>
            <w:vAlign w:val="top"/>
            <w:shd w:fill="0C383F"/>
          </w:tcPr>
          <w:p>
            <w:pPr>
              <w:spacing w:after="0"/>
            </w:pPr>
            <w:r/>
            <w:r>
              <w:rPr>
                <w:b/>
                <w:color w:val="FFFFFF"/>
              </w:rPr>
              <w:t>Risk</w:t>
            </w:r>
          </w:p>
        </w:tc>
        <w:tc>
          <w:tcPr>
            <w:tcW w:type="dxa" w:w="2556"/>
            <w:vAlign w:val="top"/>
            <w:shd w:fill="0C383F"/>
          </w:tcPr>
          <w:p>
            <w:pPr>
              <w:spacing w:after="0"/>
            </w:pPr>
            <w:r/>
            <w:r>
              <w:rPr>
                <w:b/>
                <w:color w:val="FFFFFF"/>
              </w:rPr>
              <w:t>Impact</w:t>
            </w:r>
          </w:p>
        </w:tc>
        <w:tc>
          <w:tcPr>
            <w:tcW w:type="dxa" w:w="2556"/>
            <w:vAlign w:val="top"/>
            <w:shd w:fill="0C383F"/>
          </w:tcPr>
          <w:p>
            <w:pPr>
              <w:spacing w:after="0"/>
            </w:pPr>
            <w:r/>
            <w:r>
              <w:rPr>
                <w:b/>
                <w:color w:val="FFFFFF"/>
              </w:rPr>
              <w:t>Core Mitigation</w:t>
            </w:r>
          </w:p>
        </w:tc>
      </w:tr>
      <w:tr>
        <w:tc>
          <w:tcPr>
            <w:tcW w:type="dxa" w:w="2556"/>
            <w:vAlign w:val="top"/>
          </w:tcPr>
          <w:p>
            <w:pPr>
              <w:spacing w:after="0"/>
            </w:pPr>
            <w:r/>
            <w:r>
              <w:rPr>
                <w:b w:val="0"/>
              </w:rPr>
              <w:t>R-001</w:t>
            </w:r>
          </w:p>
        </w:tc>
        <w:tc>
          <w:tcPr>
            <w:tcW w:type="dxa" w:w="2556"/>
            <w:vAlign w:val="top"/>
          </w:tcPr>
          <w:p>
            <w:pPr>
              <w:spacing w:after="0"/>
            </w:pPr>
            <w:r/>
            <w:r>
              <w:rPr>
                <w:b w:val="0"/>
              </w:rPr>
              <w:t>Regulated financial activity boundary crossed unintentionally.</w:t>
            </w:r>
          </w:p>
        </w:tc>
        <w:tc>
          <w:tcPr>
            <w:tcW w:type="dxa" w:w="2556"/>
            <w:vAlign w:val="top"/>
          </w:tcPr>
          <w:p>
            <w:pPr>
              <w:spacing w:after="0"/>
            </w:pPr>
            <w:r/>
            <w:r>
              <w:rPr>
                <w:b w:val="0"/>
              </w:rPr>
              <w:t>Regulatory enforcement, reputational harm.</w:t>
            </w:r>
          </w:p>
        </w:tc>
        <w:tc>
          <w:tcPr>
            <w:tcW w:type="dxa" w:w="2556"/>
            <w:vAlign w:val="top"/>
          </w:tcPr>
          <w:p>
            <w:pPr>
              <w:spacing w:after="0"/>
            </w:pPr>
            <w:r/>
            <w:r>
              <w:rPr>
                <w:b w:val="0"/>
              </w:rPr>
              <w:t>Legal perimeter review, licensed partner model, product gating.</w:t>
            </w:r>
          </w:p>
        </w:tc>
      </w:tr>
      <w:tr>
        <w:tc>
          <w:tcPr>
            <w:tcW w:type="dxa" w:w="2556"/>
            <w:vAlign w:val="top"/>
          </w:tcPr>
          <w:p>
            <w:pPr>
              <w:spacing w:after="0"/>
            </w:pPr>
            <w:r/>
            <w:r>
              <w:rPr>
                <w:b w:val="0"/>
              </w:rPr>
              <w:t>R-002</w:t>
            </w:r>
          </w:p>
        </w:tc>
        <w:tc>
          <w:tcPr>
            <w:tcW w:type="dxa" w:w="2556"/>
            <w:vAlign w:val="top"/>
          </w:tcPr>
          <w:p>
            <w:pPr>
              <w:spacing w:after="0"/>
            </w:pPr>
            <w:r/>
            <w:r>
              <w:rPr>
                <w:b w:val="0"/>
              </w:rPr>
              <w:t>AI hallucination in faith, finance or wellbeing context.</w:t>
            </w:r>
          </w:p>
        </w:tc>
        <w:tc>
          <w:tcPr>
            <w:tcW w:type="dxa" w:w="2556"/>
            <w:vAlign w:val="top"/>
          </w:tcPr>
          <w:p>
            <w:pPr>
              <w:spacing w:after="0"/>
            </w:pPr>
            <w:r/>
            <w:r>
              <w:rPr>
                <w:b w:val="0"/>
              </w:rPr>
              <w:t>User harm, loss of trust.</w:t>
            </w:r>
          </w:p>
        </w:tc>
        <w:tc>
          <w:tcPr>
            <w:tcW w:type="dxa" w:w="2556"/>
            <w:vAlign w:val="top"/>
          </w:tcPr>
          <w:p>
            <w:pPr>
              <w:spacing w:after="0"/>
            </w:pPr>
            <w:r/>
            <w:r>
              <w:rPr>
                <w:b w:val="0"/>
              </w:rPr>
              <w:t>RAG constraints, disclaimers, escalation, evaluations.</w:t>
            </w:r>
          </w:p>
        </w:tc>
      </w:tr>
      <w:tr>
        <w:tc>
          <w:tcPr>
            <w:tcW w:type="dxa" w:w="2556"/>
            <w:vAlign w:val="top"/>
          </w:tcPr>
          <w:p>
            <w:pPr>
              <w:spacing w:after="0"/>
            </w:pPr>
            <w:r/>
            <w:r>
              <w:rPr>
                <w:b w:val="0"/>
              </w:rPr>
              <w:t>R-003</w:t>
            </w:r>
          </w:p>
        </w:tc>
        <w:tc>
          <w:tcPr>
            <w:tcW w:type="dxa" w:w="2556"/>
            <w:vAlign w:val="top"/>
          </w:tcPr>
          <w:p>
            <w:pPr>
              <w:spacing w:after="0"/>
            </w:pPr>
            <w:r/>
            <w:r>
              <w:rPr>
                <w:b w:val="0"/>
              </w:rPr>
              <w:t>Privacy breach involving sensitive reflections or identity data.</w:t>
            </w:r>
          </w:p>
        </w:tc>
        <w:tc>
          <w:tcPr>
            <w:tcW w:type="dxa" w:w="2556"/>
            <w:vAlign w:val="top"/>
          </w:tcPr>
          <w:p>
            <w:pPr>
              <w:spacing w:after="0"/>
            </w:pPr>
            <w:r/>
            <w:r>
              <w:rPr>
                <w:b w:val="0"/>
              </w:rPr>
              <w:t>High user harm, legal exposure.</w:t>
            </w:r>
          </w:p>
        </w:tc>
        <w:tc>
          <w:tcPr>
            <w:tcW w:type="dxa" w:w="2556"/>
            <w:vAlign w:val="top"/>
          </w:tcPr>
          <w:p>
            <w:pPr>
              <w:spacing w:after="0"/>
            </w:pPr>
            <w:r/>
            <w:r>
              <w:rPr>
                <w:b w:val="0"/>
              </w:rPr>
              <w:t>Encryption, least privilege, DLP, incident response.</w:t>
            </w:r>
          </w:p>
        </w:tc>
      </w:tr>
      <w:tr>
        <w:tc>
          <w:tcPr>
            <w:tcW w:type="dxa" w:w="2556"/>
            <w:vAlign w:val="top"/>
          </w:tcPr>
          <w:p>
            <w:pPr>
              <w:spacing w:after="0"/>
            </w:pPr>
            <w:r/>
            <w:r>
              <w:rPr>
                <w:b w:val="0"/>
              </w:rPr>
              <w:t>R-004</w:t>
            </w:r>
          </w:p>
        </w:tc>
        <w:tc>
          <w:tcPr>
            <w:tcW w:type="dxa" w:w="2556"/>
            <w:vAlign w:val="top"/>
          </w:tcPr>
          <w:p>
            <w:pPr>
              <w:spacing w:after="0"/>
            </w:pPr>
            <w:r/>
            <w:r>
              <w:rPr>
                <w:b w:val="0"/>
              </w:rPr>
              <w:t>Shariah inconsistency in content or product claims.</w:t>
            </w:r>
          </w:p>
        </w:tc>
        <w:tc>
          <w:tcPr>
            <w:tcW w:type="dxa" w:w="2556"/>
            <w:vAlign w:val="top"/>
          </w:tcPr>
          <w:p>
            <w:pPr>
              <w:spacing w:after="0"/>
            </w:pPr>
            <w:r/>
            <w:r>
              <w:rPr>
                <w:b w:val="0"/>
              </w:rPr>
              <w:t>Trust and legitimacy harm.</w:t>
            </w:r>
          </w:p>
        </w:tc>
        <w:tc>
          <w:tcPr>
            <w:tcW w:type="dxa" w:w="2556"/>
            <w:vAlign w:val="top"/>
          </w:tcPr>
          <w:p>
            <w:pPr>
              <w:spacing w:after="0"/>
            </w:pPr>
            <w:r/>
            <w:r>
              <w:rPr>
                <w:b w:val="0"/>
              </w:rPr>
              <w:t>SAB review workflow, source versioning.</w:t>
            </w:r>
          </w:p>
        </w:tc>
      </w:tr>
      <w:tr>
        <w:tc>
          <w:tcPr>
            <w:tcW w:type="dxa" w:w="2556"/>
            <w:vAlign w:val="top"/>
          </w:tcPr>
          <w:p>
            <w:pPr>
              <w:spacing w:after="0"/>
            </w:pPr>
            <w:r/>
            <w:r>
              <w:rPr>
                <w:b w:val="0"/>
              </w:rPr>
              <w:t>R-005</w:t>
            </w:r>
          </w:p>
        </w:tc>
        <w:tc>
          <w:tcPr>
            <w:tcW w:type="dxa" w:w="2556"/>
            <w:vAlign w:val="top"/>
          </w:tcPr>
          <w:p>
            <w:pPr>
              <w:spacing w:after="0"/>
            </w:pPr>
            <w:r/>
            <w:r>
              <w:rPr>
                <w:b w:val="0"/>
              </w:rPr>
              <w:t>Community safety failure.</w:t>
            </w:r>
          </w:p>
        </w:tc>
        <w:tc>
          <w:tcPr>
            <w:tcW w:type="dxa" w:w="2556"/>
            <w:vAlign w:val="top"/>
          </w:tcPr>
          <w:p>
            <w:pPr>
              <w:spacing w:after="0"/>
            </w:pPr>
            <w:r/>
            <w:r>
              <w:rPr>
                <w:b w:val="0"/>
              </w:rPr>
              <w:t>User harm and reputational damage.</w:t>
            </w:r>
          </w:p>
        </w:tc>
        <w:tc>
          <w:tcPr>
            <w:tcW w:type="dxa" w:w="2556"/>
            <w:vAlign w:val="top"/>
          </w:tcPr>
          <w:p>
            <w:pPr>
              <w:spacing w:after="0"/>
            </w:pPr>
            <w:r/>
            <w:r>
              <w:rPr>
                <w:b w:val="0"/>
              </w:rPr>
              <w:t>Moderation, reporting, anonymity options, escalation.</w:t>
            </w:r>
          </w:p>
        </w:tc>
      </w:tr>
      <w:tr>
        <w:tc>
          <w:tcPr>
            <w:tcW w:type="dxa" w:w="2556"/>
            <w:vAlign w:val="top"/>
          </w:tcPr>
          <w:p>
            <w:pPr>
              <w:spacing w:after="0"/>
            </w:pPr>
            <w:r/>
            <w:r>
              <w:rPr>
                <w:b w:val="0"/>
              </w:rPr>
              <w:t>R-006</w:t>
            </w:r>
          </w:p>
        </w:tc>
        <w:tc>
          <w:tcPr>
            <w:tcW w:type="dxa" w:w="2556"/>
            <w:vAlign w:val="top"/>
          </w:tcPr>
          <w:p>
            <w:pPr>
              <w:spacing w:after="0"/>
            </w:pPr>
            <w:r/>
            <w:r>
              <w:rPr>
                <w:b w:val="0"/>
              </w:rPr>
              <w:t>Technical debt reduces resilience.</w:t>
            </w:r>
          </w:p>
        </w:tc>
        <w:tc>
          <w:tcPr>
            <w:tcW w:type="dxa" w:w="2556"/>
            <w:vAlign w:val="top"/>
          </w:tcPr>
          <w:p>
            <w:pPr>
              <w:spacing w:after="0"/>
            </w:pPr>
            <w:r/>
            <w:r>
              <w:rPr>
                <w:b w:val="0"/>
              </w:rPr>
              <w:t>Outages, high costs, security gaps.</w:t>
            </w:r>
          </w:p>
        </w:tc>
        <w:tc>
          <w:tcPr>
            <w:tcW w:type="dxa" w:w="2556"/>
            <w:vAlign w:val="top"/>
          </w:tcPr>
          <w:p>
            <w:pPr>
              <w:spacing w:after="0"/>
            </w:pPr>
            <w:r/>
            <w:r>
              <w:rPr>
                <w:b w:val="0"/>
              </w:rPr>
              <w:t>Architecture review, debt register, SLOs.</w:t>
            </w:r>
          </w:p>
        </w:tc>
      </w:tr>
      <w:tr>
        <w:tc>
          <w:tcPr>
            <w:tcW w:type="dxa" w:w="2556"/>
            <w:vAlign w:val="top"/>
          </w:tcPr>
          <w:p>
            <w:pPr>
              <w:spacing w:after="0"/>
            </w:pPr>
            <w:r/>
            <w:r>
              <w:rPr>
                <w:b w:val="0"/>
              </w:rPr>
              <w:t>R-007</w:t>
            </w:r>
          </w:p>
        </w:tc>
        <w:tc>
          <w:tcPr>
            <w:tcW w:type="dxa" w:w="2556"/>
            <w:vAlign w:val="top"/>
          </w:tcPr>
          <w:p>
            <w:pPr>
              <w:spacing w:after="0"/>
            </w:pPr>
            <w:r/>
            <w:r>
              <w:rPr>
                <w:b w:val="0"/>
              </w:rPr>
              <w:t>Vendor lock-in or vendor non-compliance.</w:t>
            </w:r>
          </w:p>
        </w:tc>
        <w:tc>
          <w:tcPr>
            <w:tcW w:type="dxa" w:w="2556"/>
            <w:vAlign w:val="top"/>
          </w:tcPr>
          <w:p>
            <w:pPr>
              <w:spacing w:after="0"/>
            </w:pPr>
            <w:r/>
            <w:r>
              <w:rPr>
                <w:b w:val="0"/>
              </w:rPr>
              <w:t>Operational and regulatory risk.</w:t>
            </w:r>
          </w:p>
        </w:tc>
        <w:tc>
          <w:tcPr>
            <w:tcW w:type="dxa" w:w="2556"/>
            <w:vAlign w:val="top"/>
          </w:tcPr>
          <w:p>
            <w:pPr>
              <w:spacing w:after="0"/>
            </w:pPr>
            <w:r/>
            <w:r>
              <w:rPr>
                <w:b w:val="0"/>
              </w:rPr>
              <w:t>Vendor due diligence, exit plan, DPAs.</w:t>
            </w:r>
          </w:p>
        </w:tc>
      </w:tr>
      <w:tr>
        <w:tc>
          <w:tcPr>
            <w:tcW w:type="dxa" w:w="2556"/>
            <w:vAlign w:val="top"/>
          </w:tcPr>
          <w:p>
            <w:pPr>
              <w:spacing w:after="0"/>
            </w:pPr>
            <w:r/>
            <w:r>
              <w:rPr>
                <w:b w:val="0"/>
              </w:rPr>
              <w:t>R-008</w:t>
            </w:r>
          </w:p>
        </w:tc>
        <w:tc>
          <w:tcPr>
            <w:tcW w:type="dxa" w:w="2556"/>
            <w:vAlign w:val="top"/>
          </w:tcPr>
          <w:p>
            <w:pPr>
              <w:spacing w:after="0"/>
            </w:pPr>
            <w:r/>
            <w:r>
              <w:rPr>
                <w:b w:val="0"/>
              </w:rPr>
              <w:t>Mission drift under investor pressure.</w:t>
            </w:r>
          </w:p>
        </w:tc>
        <w:tc>
          <w:tcPr>
            <w:tcW w:type="dxa" w:w="2556"/>
            <w:vAlign w:val="top"/>
          </w:tcPr>
          <w:p>
            <w:pPr>
              <w:spacing w:after="0"/>
            </w:pPr>
            <w:r/>
            <w:r>
              <w:rPr>
                <w:b w:val="0"/>
              </w:rPr>
              <w:t>Constitutional harm.</w:t>
            </w:r>
          </w:p>
        </w:tc>
        <w:tc>
          <w:tcPr>
            <w:tcW w:type="dxa" w:w="2556"/>
            <w:vAlign w:val="top"/>
          </w:tcPr>
          <w:p>
            <w:pPr>
              <w:spacing w:after="0"/>
            </w:pPr>
            <w:r/>
            <w:r>
              <w:rPr>
                <w:b w:val="0"/>
              </w:rPr>
              <w:t>Board reserved matters, constitutional review, impact KPIs.</w:t>
            </w:r>
          </w:p>
        </w:tc>
      </w:tr>
    </w:tbl>
    <w:p/>
    <w:p>
      <w:pPr>
        <w:pStyle w:val="Heading2"/>
      </w:pPr>
      <w:r>
        <w:t>Article AUD-001 - Internal Audit Model</w:t>
      </w:r>
    </w:p>
    <w:p>
      <w:pPr>
        <w:spacing w:after="120" w:line="259" w:lineRule="auto"/>
      </w:pPr>
      <w:r>
        <w:t>Internal audit shall provide independent assurance that governance, risk management and controls operate as intended. Audit plans shall include privacy, cybersecurity, AI governance, Shariah review process, financial controls, vendor governance, product governance and constitutional traceability. Findings shall be assigned, tracked and verified before closure.</w:t>
      </w:r>
    </w:p>
    <w:p>
      <w:r>
        <w:rPr>
          <w:b/>
          <w:color w:val="AD8633"/>
        </w:rPr>
        <w:t>Table AUD-T01 - Audit Evidence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C383F"/>
          </w:tcPr>
          <w:p>
            <w:pPr>
              <w:spacing w:after="0"/>
            </w:pPr>
            <w:r/>
            <w:r>
              <w:rPr>
                <w:b/>
                <w:color w:val="FFFFFF"/>
              </w:rPr>
              <w:t>Area</w:t>
            </w:r>
          </w:p>
        </w:tc>
        <w:tc>
          <w:tcPr>
            <w:tcW w:type="dxa" w:w="5112"/>
            <w:vAlign w:val="top"/>
            <w:shd w:fill="0C383F"/>
          </w:tcPr>
          <w:p>
            <w:pPr>
              <w:spacing w:after="0"/>
            </w:pPr>
            <w:r/>
            <w:r>
              <w:rPr>
                <w:b/>
                <w:color w:val="FFFFFF"/>
              </w:rPr>
              <w:t>Evidence</w:t>
            </w:r>
          </w:p>
        </w:tc>
      </w:tr>
      <w:tr>
        <w:tc>
          <w:tcPr>
            <w:tcW w:type="dxa" w:w="5112"/>
            <w:vAlign w:val="top"/>
          </w:tcPr>
          <w:p>
            <w:pPr>
              <w:spacing w:after="0"/>
            </w:pPr>
            <w:r/>
            <w:r>
              <w:rPr>
                <w:b w:val="0"/>
              </w:rPr>
              <w:t>Board Governance</w:t>
            </w:r>
          </w:p>
        </w:tc>
        <w:tc>
          <w:tcPr>
            <w:tcW w:type="dxa" w:w="5112"/>
            <w:vAlign w:val="top"/>
          </w:tcPr>
          <w:p>
            <w:pPr>
              <w:spacing w:after="0"/>
            </w:pPr>
            <w:r/>
            <w:r>
              <w:rPr>
                <w:b w:val="0"/>
              </w:rPr>
              <w:t>Minutes, reserved matters approvals, committee reports.</w:t>
            </w:r>
          </w:p>
        </w:tc>
      </w:tr>
      <w:tr>
        <w:tc>
          <w:tcPr>
            <w:tcW w:type="dxa" w:w="5112"/>
            <w:vAlign w:val="top"/>
          </w:tcPr>
          <w:p>
            <w:pPr>
              <w:spacing w:after="0"/>
            </w:pPr>
            <w:r/>
            <w:r>
              <w:rPr>
                <w:b w:val="0"/>
              </w:rPr>
              <w:t>AI Governance</w:t>
            </w:r>
          </w:p>
        </w:tc>
        <w:tc>
          <w:tcPr>
            <w:tcW w:type="dxa" w:w="5112"/>
            <w:vAlign w:val="top"/>
          </w:tcPr>
          <w:p>
            <w:pPr>
              <w:spacing w:after="0"/>
            </w:pPr>
            <w:r/>
            <w:r>
              <w:rPr>
                <w:b w:val="0"/>
              </w:rPr>
              <w:t>Model registry, agent cards, evaluation reports, incident logs.</w:t>
            </w:r>
          </w:p>
        </w:tc>
      </w:tr>
      <w:tr>
        <w:tc>
          <w:tcPr>
            <w:tcW w:type="dxa" w:w="5112"/>
            <w:vAlign w:val="top"/>
          </w:tcPr>
          <w:p>
            <w:pPr>
              <w:spacing w:after="0"/>
            </w:pPr>
            <w:r/>
            <w:r>
              <w:rPr>
                <w:b w:val="0"/>
              </w:rPr>
              <w:t>Privacy</w:t>
            </w:r>
          </w:p>
        </w:tc>
        <w:tc>
          <w:tcPr>
            <w:tcW w:type="dxa" w:w="5112"/>
            <w:vAlign w:val="top"/>
          </w:tcPr>
          <w:p>
            <w:pPr>
              <w:spacing w:after="0"/>
            </w:pPr>
            <w:r/>
            <w:r>
              <w:rPr>
                <w:b w:val="0"/>
              </w:rPr>
              <w:t>DPIAs, consent records, rights request logs, retention records.</w:t>
            </w:r>
          </w:p>
        </w:tc>
      </w:tr>
      <w:tr>
        <w:tc>
          <w:tcPr>
            <w:tcW w:type="dxa" w:w="5112"/>
            <w:vAlign w:val="top"/>
          </w:tcPr>
          <w:p>
            <w:pPr>
              <w:spacing w:after="0"/>
            </w:pPr>
            <w:r/>
            <w:r>
              <w:rPr>
                <w:b w:val="0"/>
              </w:rPr>
              <w:t>Security</w:t>
            </w:r>
          </w:p>
        </w:tc>
        <w:tc>
          <w:tcPr>
            <w:tcW w:type="dxa" w:w="5112"/>
            <w:vAlign w:val="top"/>
          </w:tcPr>
          <w:p>
            <w:pPr>
              <w:spacing w:after="0"/>
            </w:pPr>
            <w:r/>
            <w:r>
              <w:rPr>
                <w:b w:val="0"/>
              </w:rPr>
              <w:t>Vulnerability scans, access reviews, incident reports, backups.</w:t>
            </w:r>
          </w:p>
        </w:tc>
      </w:tr>
      <w:tr>
        <w:tc>
          <w:tcPr>
            <w:tcW w:type="dxa" w:w="5112"/>
            <w:vAlign w:val="top"/>
          </w:tcPr>
          <w:p>
            <w:pPr>
              <w:spacing w:after="0"/>
            </w:pPr>
            <w:r/>
            <w:r>
              <w:rPr>
                <w:b w:val="0"/>
              </w:rPr>
              <w:t>Shariah Governance</w:t>
            </w:r>
          </w:p>
        </w:tc>
        <w:tc>
          <w:tcPr>
            <w:tcW w:type="dxa" w:w="5112"/>
            <w:vAlign w:val="top"/>
          </w:tcPr>
          <w:p>
            <w:pPr>
              <w:spacing w:after="0"/>
            </w:pPr>
            <w:r/>
            <w:r>
              <w:rPr>
                <w:b w:val="0"/>
              </w:rPr>
              <w:t>SAB submissions, opinions, conditions and re-review logs.</w:t>
            </w:r>
          </w:p>
        </w:tc>
      </w:tr>
      <w:tr>
        <w:tc>
          <w:tcPr>
            <w:tcW w:type="dxa" w:w="5112"/>
            <w:vAlign w:val="top"/>
          </w:tcPr>
          <w:p>
            <w:pPr>
              <w:spacing w:after="0"/>
            </w:pPr>
            <w:r/>
            <w:r>
              <w:rPr>
                <w:b w:val="0"/>
              </w:rPr>
              <w:t>Engineering</w:t>
            </w:r>
          </w:p>
        </w:tc>
        <w:tc>
          <w:tcPr>
            <w:tcW w:type="dxa" w:w="5112"/>
            <w:vAlign w:val="top"/>
          </w:tcPr>
          <w:p>
            <w:pPr>
              <w:spacing w:after="0"/>
            </w:pPr>
            <w:r/>
            <w:r>
              <w:rPr>
                <w:b w:val="0"/>
              </w:rPr>
              <w:t>PR reviews, CI/CD logs, test reports, ADRs, release notes.</w:t>
            </w:r>
          </w:p>
        </w:tc>
      </w:tr>
      <w:tr>
        <w:tc>
          <w:tcPr>
            <w:tcW w:type="dxa" w:w="5112"/>
            <w:vAlign w:val="top"/>
          </w:tcPr>
          <w:p>
            <w:pPr>
              <w:spacing w:after="0"/>
            </w:pPr>
            <w:r/>
            <w:r>
              <w:rPr>
                <w:b w:val="0"/>
              </w:rPr>
              <w:t>Operations</w:t>
            </w:r>
          </w:p>
        </w:tc>
        <w:tc>
          <w:tcPr>
            <w:tcW w:type="dxa" w:w="5112"/>
            <w:vAlign w:val="top"/>
          </w:tcPr>
          <w:p>
            <w:pPr>
              <w:spacing w:after="0"/>
            </w:pPr>
            <w:r/>
            <w:r>
              <w:rPr>
                <w:b w:val="0"/>
              </w:rPr>
              <w:t>SOP logs, training records, vendor assessments.</w:t>
            </w:r>
          </w:p>
        </w:tc>
      </w:tr>
    </w:tbl>
    <w:p/>
    <w:p>
      <w:pPr>
        <w:pStyle w:val="Heading1"/>
      </w:pPr>
      <w:r>
        <w:t>Part XI - Implementation Roadmap</w:t>
      </w:r>
    </w:p>
    <w:p>
      <w:r>
        <w:rPr>
          <w:b/>
          <w:color w:val="AD8633"/>
        </w:rPr>
        <w:t>Table ROAD-T01 - Phased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C383F"/>
          </w:tcPr>
          <w:p>
            <w:pPr>
              <w:spacing w:after="0"/>
            </w:pPr>
            <w:r/>
            <w:r>
              <w:rPr>
                <w:b/>
                <w:color w:val="FFFFFF"/>
              </w:rPr>
              <w:t>Phase</w:t>
            </w:r>
          </w:p>
        </w:tc>
        <w:tc>
          <w:tcPr>
            <w:tcW w:type="dxa" w:w="2556"/>
            <w:vAlign w:val="top"/>
            <w:shd w:fill="0C383F"/>
          </w:tcPr>
          <w:p>
            <w:pPr>
              <w:spacing w:after="0"/>
            </w:pPr>
            <w:r/>
            <w:r>
              <w:rPr>
                <w:b/>
                <w:color w:val="FFFFFF"/>
              </w:rPr>
              <w:t>Timeline</w:t>
            </w:r>
          </w:p>
        </w:tc>
        <w:tc>
          <w:tcPr>
            <w:tcW w:type="dxa" w:w="2556"/>
            <w:vAlign w:val="top"/>
            <w:shd w:fill="0C383F"/>
          </w:tcPr>
          <w:p>
            <w:pPr>
              <w:spacing w:after="0"/>
            </w:pPr>
            <w:r/>
            <w:r>
              <w:rPr>
                <w:b/>
                <w:color w:val="FFFFFF"/>
              </w:rPr>
              <w:t>Institutional Outcome</w:t>
            </w:r>
          </w:p>
        </w:tc>
        <w:tc>
          <w:tcPr>
            <w:tcW w:type="dxa" w:w="2556"/>
            <w:vAlign w:val="top"/>
            <w:shd w:fill="0C383F"/>
          </w:tcPr>
          <w:p>
            <w:pPr>
              <w:spacing w:after="0"/>
            </w:pPr>
            <w:r/>
            <w:r>
              <w:rPr>
                <w:b/>
                <w:color w:val="FFFFFF"/>
              </w:rPr>
              <w:t>Deliverables</w:t>
            </w:r>
          </w:p>
        </w:tc>
      </w:tr>
      <w:tr>
        <w:tc>
          <w:tcPr>
            <w:tcW w:type="dxa" w:w="2556"/>
            <w:vAlign w:val="top"/>
          </w:tcPr>
          <w:p>
            <w:pPr>
              <w:spacing w:after="0"/>
            </w:pPr>
            <w:r/>
            <w:r>
              <w:rPr>
                <w:b w:val="0"/>
              </w:rPr>
              <w:t>Phase 0</w:t>
            </w:r>
          </w:p>
        </w:tc>
        <w:tc>
          <w:tcPr>
            <w:tcW w:type="dxa" w:w="2556"/>
            <w:vAlign w:val="top"/>
          </w:tcPr>
          <w:p>
            <w:pPr>
              <w:spacing w:after="0"/>
            </w:pPr>
            <w:r/>
            <w:r>
              <w:rPr>
                <w:b w:val="0"/>
              </w:rPr>
              <w:t>0-90 days</w:t>
            </w:r>
          </w:p>
        </w:tc>
        <w:tc>
          <w:tcPr>
            <w:tcW w:type="dxa" w:w="2556"/>
            <w:vAlign w:val="top"/>
          </w:tcPr>
          <w:p>
            <w:pPr>
              <w:spacing w:after="0"/>
            </w:pPr>
            <w:r/>
            <w:r>
              <w:rPr>
                <w:b w:val="0"/>
              </w:rPr>
              <w:t>Constitution and architecture foundation.</w:t>
            </w:r>
          </w:p>
        </w:tc>
        <w:tc>
          <w:tcPr>
            <w:tcW w:type="dxa" w:w="2556"/>
            <w:vAlign w:val="top"/>
          </w:tcPr>
          <w:p>
            <w:pPr>
              <w:spacing w:after="0"/>
            </w:pPr>
            <w:r/>
            <w:r>
              <w:rPr>
                <w:b w:val="0"/>
              </w:rPr>
              <w:t>Board charter draft, SAB charter, risk taxonomy, tech architecture, MVP PRD.</w:t>
            </w:r>
          </w:p>
        </w:tc>
      </w:tr>
      <w:tr>
        <w:tc>
          <w:tcPr>
            <w:tcW w:type="dxa" w:w="2556"/>
            <w:vAlign w:val="top"/>
          </w:tcPr>
          <w:p>
            <w:pPr>
              <w:spacing w:after="0"/>
            </w:pPr>
            <w:r/>
            <w:r>
              <w:rPr>
                <w:b w:val="0"/>
              </w:rPr>
              <w:t>Phase 1</w:t>
            </w:r>
          </w:p>
        </w:tc>
        <w:tc>
          <w:tcPr>
            <w:tcW w:type="dxa" w:w="2556"/>
            <w:vAlign w:val="top"/>
          </w:tcPr>
          <w:p>
            <w:pPr>
              <w:spacing w:after="0"/>
            </w:pPr>
            <w:r/>
            <w:r>
              <w:rPr>
                <w:b w:val="0"/>
              </w:rPr>
              <w:t>3-9 months</w:t>
            </w:r>
          </w:p>
        </w:tc>
        <w:tc>
          <w:tcPr>
            <w:tcW w:type="dxa" w:w="2556"/>
            <w:vAlign w:val="top"/>
          </w:tcPr>
          <w:p>
            <w:pPr>
              <w:spacing w:after="0"/>
            </w:pPr>
            <w:r/>
            <w:r>
              <w:rPr>
                <w:b w:val="0"/>
              </w:rPr>
              <w:t>MVP companion and learning system.</w:t>
            </w:r>
          </w:p>
        </w:tc>
        <w:tc>
          <w:tcPr>
            <w:tcW w:type="dxa" w:w="2556"/>
            <w:vAlign w:val="top"/>
          </w:tcPr>
          <w:p>
            <w:pPr>
              <w:spacing w:after="0"/>
            </w:pPr>
            <w:r/>
            <w:r>
              <w:rPr>
                <w:b w:val="0"/>
              </w:rPr>
              <w:t>Identity, consent, learning, AI companion, admin console, analytics baseline.</w:t>
            </w:r>
          </w:p>
        </w:tc>
      </w:tr>
      <w:tr>
        <w:tc>
          <w:tcPr>
            <w:tcW w:type="dxa" w:w="2556"/>
            <w:vAlign w:val="top"/>
          </w:tcPr>
          <w:p>
            <w:pPr>
              <w:spacing w:after="0"/>
            </w:pPr>
            <w:r/>
            <w:r>
              <w:rPr>
                <w:b w:val="0"/>
              </w:rPr>
              <w:t>Phase 2</w:t>
            </w:r>
          </w:p>
        </w:tc>
        <w:tc>
          <w:tcPr>
            <w:tcW w:type="dxa" w:w="2556"/>
            <w:vAlign w:val="top"/>
          </w:tcPr>
          <w:p>
            <w:pPr>
              <w:spacing w:after="0"/>
            </w:pPr>
            <w:r/>
            <w:r>
              <w:rPr>
                <w:b w:val="0"/>
              </w:rPr>
              <w:t>9-18 months</w:t>
            </w:r>
          </w:p>
        </w:tc>
        <w:tc>
          <w:tcPr>
            <w:tcW w:type="dxa" w:w="2556"/>
            <w:vAlign w:val="top"/>
          </w:tcPr>
          <w:p>
            <w:pPr>
              <w:spacing w:after="0"/>
            </w:pPr>
            <w:r/>
            <w:r>
              <w:rPr>
                <w:b w:val="0"/>
              </w:rPr>
              <w:t>Trust platform and community.</w:t>
            </w:r>
          </w:p>
        </w:tc>
        <w:tc>
          <w:tcPr>
            <w:tcW w:type="dxa" w:w="2556"/>
            <w:vAlign w:val="top"/>
          </w:tcPr>
          <w:p>
            <w:pPr>
              <w:spacing w:after="0"/>
            </w:pPr>
            <w:r/>
            <w:r>
              <w:rPr>
                <w:b w:val="0"/>
              </w:rPr>
              <w:t>Sister Circles, moderation, privacy rights workflow, AI evaluations, partner onboarding.</w:t>
            </w:r>
          </w:p>
        </w:tc>
      </w:tr>
      <w:tr>
        <w:tc>
          <w:tcPr>
            <w:tcW w:type="dxa" w:w="2556"/>
            <w:vAlign w:val="top"/>
          </w:tcPr>
          <w:p>
            <w:pPr>
              <w:spacing w:after="0"/>
            </w:pPr>
            <w:r/>
            <w:r>
              <w:rPr>
                <w:b w:val="0"/>
              </w:rPr>
              <w:t>Phase 3</w:t>
            </w:r>
          </w:p>
        </w:tc>
        <w:tc>
          <w:tcPr>
            <w:tcW w:type="dxa" w:w="2556"/>
            <w:vAlign w:val="top"/>
          </w:tcPr>
          <w:p>
            <w:pPr>
              <w:spacing w:after="0"/>
            </w:pPr>
            <w:r/>
            <w:r>
              <w:rPr>
                <w:b w:val="0"/>
              </w:rPr>
              <w:t>18-30 months</w:t>
            </w:r>
          </w:p>
        </w:tc>
        <w:tc>
          <w:tcPr>
            <w:tcW w:type="dxa" w:w="2556"/>
            <w:vAlign w:val="top"/>
          </w:tcPr>
          <w:p>
            <w:pPr>
              <w:spacing w:after="0"/>
            </w:pPr>
            <w:r/>
            <w:r>
              <w:rPr>
                <w:b w:val="0"/>
              </w:rPr>
              <w:t>Financial capability and marketplace.</w:t>
            </w:r>
          </w:p>
        </w:tc>
        <w:tc>
          <w:tcPr>
            <w:tcW w:type="dxa" w:w="2556"/>
            <w:vAlign w:val="top"/>
          </w:tcPr>
          <w:p>
            <w:pPr>
              <w:spacing w:after="0"/>
            </w:pPr>
            <w:r/>
            <w:r>
              <w:rPr>
                <w:b w:val="0"/>
              </w:rPr>
              <w:t>Budgeting education, zakat tools, merchant onboarding, due diligence controls.</w:t>
            </w:r>
          </w:p>
        </w:tc>
      </w:tr>
      <w:tr>
        <w:tc>
          <w:tcPr>
            <w:tcW w:type="dxa" w:w="2556"/>
            <w:vAlign w:val="top"/>
          </w:tcPr>
          <w:p>
            <w:pPr>
              <w:spacing w:after="0"/>
            </w:pPr>
            <w:r/>
            <w:r>
              <w:rPr>
                <w:b w:val="0"/>
              </w:rPr>
              <w:t>Phase 4</w:t>
            </w:r>
          </w:p>
        </w:tc>
        <w:tc>
          <w:tcPr>
            <w:tcW w:type="dxa" w:w="2556"/>
            <w:vAlign w:val="top"/>
          </w:tcPr>
          <w:p>
            <w:pPr>
              <w:spacing w:after="0"/>
            </w:pPr>
            <w:r/>
            <w:r>
              <w:rPr>
                <w:b w:val="0"/>
              </w:rPr>
              <w:t>30-48 months</w:t>
            </w:r>
          </w:p>
        </w:tc>
        <w:tc>
          <w:tcPr>
            <w:tcW w:type="dxa" w:w="2556"/>
            <w:vAlign w:val="top"/>
          </w:tcPr>
          <w:p>
            <w:pPr>
              <w:spacing w:after="0"/>
            </w:pPr>
            <w:r/>
            <w:r>
              <w:rPr>
                <w:b w:val="0"/>
              </w:rPr>
              <w:t>Scale and governance maturity.</w:t>
            </w:r>
          </w:p>
        </w:tc>
        <w:tc>
          <w:tcPr>
            <w:tcW w:type="dxa" w:w="2556"/>
            <w:vAlign w:val="top"/>
          </w:tcPr>
          <w:p>
            <w:pPr>
              <w:spacing w:after="0"/>
            </w:pPr>
            <w:r/>
            <w:r>
              <w:rPr>
                <w:b w:val="0"/>
              </w:rPr>
              <w:t>Internal audit, AI management system, ISMS roadmap, multi-country compliance.</w:t>
            </w:r>
          </w:p>
        </w:tc>
      </w:tr>
      <w:tr>
        <w:tc>
          <w:tcPr>
            <w:tcW w:type="dxa" w:w="2556"/>
            <w:vAlign w:val="top"/>
          </w:tcPr>
          <w:p>
            <w:pPr>
              <w:spacing w:after="0"/>
            </w:pPr>
            <w:r/>
            <w:r>
              <w:rPr>
                <w:b w:val="0"/>
              </w:rPr>
              <w:t>Phase 5</w:t>
            </w:r>
          </w:p>
        </w:tc>
        <w:tc>
          <w:tcPr>
            <w:tcW w:type="dxa" w:w="2556"/>
            <w:vAlign w:val="top"/>
          </w:tcPr>
          <w:p>
            <w:pPr>
              <w:spacing w:after="0"/>
            </w:pPr>
            <w:r/>
            <w:r>
              <w:rPr>
                <w:b w:val="0"/>
              </w:rPr>
              <w:t>48+ months</w:t>
            </w:r>
          </w:p>
        </w:tc>
        <w:tc>
          <w:tcPr>
            <w:tcW w:type="dxa" w:w="2556"/>
            <w:vAlign w:val="top"/>
          </w:tcPr>
          <w:p>
            <w:pPr>
              <w:spacing w:after="0"/>
            </w:pPr>
            <w:r/>
            <w:r>
              <w:rPr>
                <w:b w:val="0"/>
              </w:rPr>
              <w:t>Institutional platform.</w:t>
            </w:r>
          </w:p>
        </w:tc>
        <w:tc>
          <w:tcPr>
            <w:tcW w:type="dxa" w:w="2556"/>
            <w:vAlign w:val="top"/>
          </w:tcPr>
          <w:p>
            <w:pPr>
              <w:spacing w:after="0"/>
            </w:pPr>
            <w:r/>
            <w:r>
              <w:rPr>
                <w:b w:val="0"/>
              </w:rPr>
              <w:t>Partner APIs, scholar portal, research institute, impact reporting, advanced AI council.</w:t>
            </w:r>
          </w:p>
        </w:tc>
      </w:tr>
    </w:tbl>
    <w:p/>
    <w:p>
      <w:pPr>
        <w:pStyle w:val="Heading1"/>
      </w:pPr>
      <w:r>
        <w:t>Appendix A - Islamic Source Anchors</w:t>
      </w:r>
    </w:p>
    <w:p>
      <w:r>
        <w:rPr>
          <w:b/>
          <w:color w:val="AD8633"/>
        </w:rPr>
        <w:t>Table APP-A01 - Qur'anic and Prophetic Source Anchors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Theme</w:t>
            </w:r>
          </w:p>
        </w:tc>
        <w:tc>
          <w:tcPr>
            <w:tcW w:type="dxa" w:w="3408"/>
            <w:vAlign w:val="top"/>
            <w:shd w:fill="0C383F"/>
          </w:tcPr>
          <w:p>
            <w:pPr>
              <w:spacing w:after="0"/>
            </w:pPr>
            <w:r/>
            <w:r>
              <w:rPr>
                <w:b/>
                <w:color w:val="FFFFFF"/>
              </w:rPr>
              <w:t>Source Anchor</w:t>
            </w:r>
          </w:p>
        </w:tc>
        <w:tc>
          <w:tcPr>
            <w:tcW w:type="dxa" w:w="3408"/>
            <w:vAlign w:val="top"/>
            <w:shd w:fill="0C383F"/>
          </w:tcPr>
          <w:p>
            <w:pPr>
              <w:spacing w:after="0"/>
            </w:pPr>
            <w:r/>
            <w:r>
              <w:rPr>
                <w:b/>
                <w:color w:val="FFFFFF"/>
              </w:rPr>
              <w:t>Afiyah Governance Use</w:t>
            </w:r>
          </w:p>
        </w:tc>
      </w:tr>
      <w:tr>
        <w:tc>
          <w:tcPr>
            <w:tcW w:type="dxa" w:w="3408"/>
            <w:vAlign w:val="top"/>
          </w:tcPr>
          <w:p>
            <w:pPr>
              <w:spacing w:after="0"/>
            </w:pPr>
            <w:r/>
            <w:r>
              <w:rPr>
                <w:b w:val="0"/>
              </w:rPr>
              <w:t>Justice and Excellence</w:t>
            </w:r>
          </w:p>
        </w:tc>
        <w:tc>
          <w:tcPr>
            <w:tcW w:type="dxa" w:w="3408"/>
            <w:vAlign w:val="top"/>
          </w:tcPr>
          <w:p>
            <w:pPr>
              <w:spacing w:after="0"/>
            </w:pPr>
            <w:r/>
            <w:r>
              <w:rPr>
                <w:b w:val="0"/>
              </w:rPr>
              <w:t>Qur'an 16:90</w:t>
            </w:r>
          </w:p>
        </w:tc>
        <w:tc>
          <w:tcPr>
            <w:tcW w:type="dxa" w:w="3408"/>
            <w:vAlign w:val="top"/>
          </w:tcPr>
          <w:p>
            <w:pPr>
              <w:spacing w:after="0"/>
            </w:pPr>
            <w:r/>
            <w:r>
              <w:rPr>
                <w:b w:val="0"/>
              </w:rPr>
              <w:t>Adl and Ihsan as board and product standards.</w:t>
            </w:r>
          </w:p>
        </w:tc>
      </w:tr>
      <w:tr>
        <w:tc>
          <w:tcPr>
            <w:tcW w:type="dxa" w:w="3408"/>
            <w:vAlign w:val="top"/>
          </w:tcPr>
          <w:p>
            <w:pPr>
              <w:spacing w:after="0"/>
            </w:pPr>
            <w:r/>
            <w:r>
              <w:rPr>
                <w:b w:val="0"/>
              </w:rPr>
              <w:t>Trusts and Justice</w:t>
            </w:r>
          </w:p>
        </w:tc>
        <w:tc>
          <w:tcPr>
            <w:tcW w:type="dxa" w:w="3408"/>
            <w:vAlign w:val="top"/>
          </w:tcPr>
          <w:p>
            <w:pPr>
              <w:spacing w:after="0"/>
            </w:pPr>
            <w:r/>
            <w:r>
              <w:rPr>
                <w:b w:val="0"/>
              </w:rPr>
              <w:t>Qur'an 4:58</w:t>
            </w:r>
          </w:p>
        </w:tc>
        <w:tc>
          <w:tcPr>
            <w:tcW w:type="dxa" w:w="3408"/>
            <w:vAlign w:val="top"/>
          </w:tcPr>
          <w:p>
            <w:pPr>
              <w:spacing w:after="0"/>
            </w:pPr>
            <w:r/>
            <w:r>
              <w:rPr>
                <w:b w:val="0"/>
              </w:rPr>
              <w:t>Amanah, data stewardship, governance and leadership.</w:t>
            </w:r>
          </w:p>
        </w:tc>
      </w:tr>
      <w:tr>
        <w:tc>
          <w:tcPr>
            <w:tcW w:type="dxa" w:w="3408"/>
            <w:vAlign w:val="top"/>
          </w:tcPr>
          <w:p>
            <w:pPr>
              <w:spacing w:after="0"/>
            </w:pPr>
            <w:r/>
            <w:r>
              <w:rPr>
                <w:b w:val="0"/>
              </w:rPr>
              <w:t>Fulfil Covenants</w:t>
            </w:r>
          </w:p>
        </w:tc>
        <w:tc>
          <w:tcPr>
            <w:tcW w:type="dxa" w:w="3408"/>
            <w:vAlign w:val="top"/>
          </w:tcPr>
          <w:p>
            <w:pPr>
              <w:spacing w:after="0"/>
            </w:pPr>
            <w:r/>
            <w:r>
              <w:rPr>
                <w:b w:val="0"/>
              </w:rPr>
              <w:t>Qur'an 17:34</w:t>
            </w:r>
          </w:p>
        </w:tc>
        <w:tc>
          <w:tcPr>
            <w:tcW w:type="dxa" w:w="3408"/>
            <w:vAlign w:val="top"/>
          </w:tcPr>
          <w:p>
            <w:pPr>
              <w:spacing w:after="0"/>
            </w:pPr>
            <w:r/>
            <w:r>
              <w:rPr>
                <w:b w:val="0"/>
              </w:rPr>
              <w:t>Contracts, policies, promises and partner obligations.</w:t>
            </w:r>
          </w:p>
        </w:tc>
      </w:tr>
      <w:tr>
        <w:tc>
          <w:tcPr>
            <w:tcW w:type="dxa" w:w="3408"/>
            <w:vAlign w:val="top"/>
          </w:tcPr>
          <w:p>
            <w:pPr>
              <w:spacing w:after="0"/>
            </w:pPr>
            <w:r/>
            <w:r>
              <w:rPr>
                <w:b w:val="0"/>
              </w:rPr>
              <w:t>Justice Despite Conflict</w:t>
            </w:r>
          </w:p>
        </w:tc>
        <w:tc>
          <w:tcPr>
            <w:tcW w:type="dxa" w:w="3408"/>
            <w:vAlign w:val="top"/>
          </w:tcPr>
          <w:p>
            <w:pPr>
              <w:spacing w:after="0"/>
            </w:pPr>
            <w:r/>
            <w:r>
              <w:rPr>
                <w:b w:val="0"/>
              </w:rPr>
              <w:t>Qur'an 5:8</w:t>
            </w:r>
          </w:p>
        </w:tc>
        <w:tc>
          <w:tcPr>
            <w:tcW w:type="dxa" w:w="3408"/>
            <w:vAlign w:val="top"/>
          </w:tcPr>
          <w:p>
            <w:pPr>
              <w:spacing w:after="0"/>
            </w:pPr>
            <w:r/>
            <w:r>
              <w:rPr>
                <w:b w:val="0"/>
              </w:rPr>
              <w:t>Fairness in audit, moderation, complaints and employment.</w:t>
            </w:r>
          </w:p>
        </w:tc>
      </w:tr>
      <w:tr>
        <w:tc>
          <w:tcPr>
            <w:tcW w:type="dxa" w:w="3408"/>
            <w:vAlign w:val="top"/>
          </w:tcPr>
          <w:p>
            <w:pPr>
              <w:spacing w:after="0"/>
            </w:pPr>
            <w:r/>
            <w:r>
              <w:rPr>
                <w:b w:val="0"/>
              </w:rPr>
              <w:t>Cooperation in Good</w:t>
            </w:r>
          </w:p>
        </w:tc>
        <w:tc>
          <w:tcPr>
            <w:tcW w:type="dxa" w:w="3408"/>
            <w:vAlign w:val="top"/>
          </w:tcPr>
          <w:p>
            <w:pPr>
              <w:spacing w:after="0"/>
            </w:pPr>
            <w:r/>
            <w:r>
              <w:rPr>
                <w:b w:val="0"/>
              </w:rPr>
              <w:t>Qur'an 5:2</w:t>
            </w:r>
          </w:p>
        </w:tc>
        <w:tc>
          <w:tcPr>
            <w:tcW w:type="dxa" w:w="3408"/>
            <w:vAlign w:val="top"/>
          </w:tcPr>
          <w:p>
            <w:pPr>
              <w:spacing w:after="0"/>
            </w:pPr>
            <w:r/>
            <w:r>
              <w:rPr>
                <w:b w:val="0"/>
              </w:rPr>
              <w:t>Partnership principles and ecosystem strategy.</w:t>
            </w:r>
          </w:p>
        </w:tc>
      </w:tr>
      <w:tr>
        <w:tc>
          <w:tcPr>
            <w:tcW w:type="dxa" w:w="3408"/>
            <w:vAlign w:val="top"/>
          </w:tcPr>
          <w:p>
            <w:pPr>
              <w:spacing w:after="0"/>
            </w:pPr>
            <w:r/>
            <w:r>
              <w:rPr>
                <w:b w:val="0"/>
              </w:rPr>
              <w:t>Intentions</w:t>
            </w:r>
          </w:p>
        </w:tc>
        <w:tc>
          <w:tcPr>
            <w:tcW w:type="dxa" w:w="3408"/>
            <w:vAlign w:val="top"/>
          </w:tcPr>
          <w:p>
            <w:pPr>
              <w:spacing w:after="0"/>
            </w:pPr>
            <w:r/>
            <w:r>
              <w:rPr>
                <w:b w:val="0"/>
              </w:rPr>
              <w:t>Hadith: actions judged by intentions</w:t>
            </w:r>
          </w:p>
        </w:tc>
        <w:tc>
          <w:tcPr>
            <w:tcW w:type="dxa" w:w="3408"/>
            <w:vAlign w:val="top"/>
          </w:tcPr>
          <w:p>
            <w:pPr>
              <w:spacing w:after="0"/>
            </w:pPr>
            <w:r/>
            <w:r>
              <w:rPr>
                <w:b w:val="0"/>
              </w:rPr>
              <w:t>Statement of Niyyah for every major initiative.</w:t>
            </w:r>
          </w:p>
        </w:tc>
      </w:tr>
      <w:tr>
        <w:tc>
          <w:tcPr>
            <w:tcW w:type="dxa" w:w="3408"/>
            <w:vAlign w:val="top"/>
          </w:tcPr>
          <w:p>
            <w:pPr>
              <w:spacing w:after="0"/>
            </w:pPr>
            <w:r/>
            <w:r>
              <w:rPr>
                <w:b w:val="0"/>
              </w:rPr>
              <w:t>No Harm</w:t>
            </w:r>
          </w:p>
        </w:tc>
        <w:tc>
          <w:tcPr>
            <w:tcW w:type="dxa" w:w="3408"/>
            <w:vAlign w:val="top"/>
          </w:tcPr>
          <w:p>
            <w:pPr>
              <w:spacing w:after="0"/>
            </w:pPr>
            <w:r/>
            <w:r>
              <w:rPr>
                <w:b w:val="0"/>
              </w:rPr>
              <w:t>Hadith: no harm and no reciprocating harm</w:t>
            </w:r>
          </w:p>
        </w:tc>
        <w:tc>
          <w:tcPr>
            <w:tcW w:type="dxa" w:w="3408"/>
            <w:vAlign w:val="top"/>
          </w:tcPr>
          <w:p>
            <w:pPr>
              <w:spacing w:after="0"/>
            </w:pPr>
            <w:r/>
            <w:r>
              <w:rPr>
                <w:b w:val="0"/>
              </w:rPr>
              <w:t>Product safety, AI safety and risk mitigation.</w:t>
            </w:r>
          </w:p>
        </w:tc>
      </w:tr>
      <w:tr>
        <w:tc>
          <w:tcPr>
            <w:tcW w:type="dxa" w:w="3408"/>
            <w:vAlign w:val="top"/>
          </w:tcPr>
          <w:p>
            <w:pPr>
              <w:spacing w:after="0"/>
            </w:pPr>
            <w:r/>
            <w:r>
              <w:rPr>
                <w:b w:val="0"/>
              </w:rPr>
              <w:t>Truthful Trade</w:t>
            </w:r>
          </w:p>
        </w:tc>
        <w:tc>
          <w:tcPr>
            <w:tcW w:type="dxa" w:w="3408"/>
            <w:vAlign w:val="top"/>
          </w:tcPr>
          <w:p>
            <w:pPr>
              <w:spacing w:after="0"/>
            </w:pPr>
            <w:r/>
            <w:r>
              <w:rPr>
                <w:b w:val="0"/>
              </w:rPr>
              <w:t>Hadith on truthful and trustworthy merchant</w:t>
            </w:r>
          </w:p>
        </w:tc>
        <w:tc>
          <w:tcPr>
            <w:tcW w:type="dxa" w:w="3408"/>
            <w:vAlign w:val="top"/>
          </w:tcPr>
          <w:p>
            <w:pPr>
              <w:spacing w:after="0"/>
            </w:pPr>
            <w:r/>
            <w:r>
              <w:rPr>
                <w:b w:val="0"/>
              </w:rPr>
              <w:t>Marketplace ethics and commercial disclosure.</w:t>
            </w:r>
          </w:p>
        </w:tc>
      </w:tr>
    </w:tbl>
    <w:p/>
    <w:p>
      <w:pPr>
        <w:pStyle w:val="Heading1"/>
      </w:pPr>
      <w:r>
        <w:t>Appendix B - Reference Bibliography</w:t>
      </w:r>
    </w:p>
    <w:p>
      <w:r>
        <w:rPr>
          <w:b/>
          <w:color w:val="AD8633"/>
        </w:rPr>
        <w:t>Table APP-B01 - Bibliography and Standards Register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C383F"/>
          </w:tcPr>
          <w:p>
            <w:pPr>
              <w:spacing w:after="0"/>
            </w:pPr>
            <w:r/>
            <w:r>
              <w:rPr>
                <w:b/>
                <w:color w:val="FFFFFF"/>
              </w:rPr>
              <w:t>Ref</w:t>
            </w:r>
          </w:p>
        </w:tc>
        <w:tc>
          <w:tcPr>
            <w:tcW w:type="dxa" w:w="5112"/>
            <w:vAlign w:val="top"/>
            <w:shd w:fill="0C383F"/>
          </w:tcPr>
          <w:p>
            <w:pPr>
              <w:spacing w:after="0"/>
            </w:pPr>
            <w:r/>
            <w:r>
              <w:rPr>
                <w:b/>
                <w:color w:val="FFFFFF"/>
              </w:rPr>
              <w:t>Source</w:t>
            </w:r>
          </w:p>
        </w:tc>
      </w:tr>
      <w:tr>
        <w:tc>
          <w:tcPr>
            <w:tcW w:type="dxa" w:w="5112"/>
            <w:vAlign w:val="top"/>
          </w:tcPr>
          <w:p>
            <w:pPr>
              <w:spacing w:after="0"/>
            </w:pPr>
            <w:r/>
            <w:r>
              <w:rPr>
                <w:b w:val="0"/>
              </w:rPr>
              <w:t>DIFC-DPL-2020</w:t>
            </w:r>
          </w:p>
        </w:tc>
        <w:tc>
          <w:tcPr>
            <w:tcW w:type="dxa" w:w="5112"/>
            <w:vAlign w:val="top"/>
          </w:tcPr>
          <w:p>
            <w:pPr>
              <w:spacing w:after="0"/>
            </w:pPr>
            <w:r/>
            <w:r>
              <w:rPr>
                <w:b w:val="0"/>
              </w:rPr>
              <w:t>Dubai International Financial Centre, Data Protection Law DIFC Law No. 5 of 2020 legal database page.</w:t>
            </w:r>
          </w:p>
        </w:tc>
      </w:tr>
      <w:tr>
        <w:tc>
          <w:tcPr>
            <w:tcW w:type="dxa" w:w="5112"/>
            <w:vAlign w:val="top"/>
          </w:tcPr>
          <w:p>
            <w:pPr>
              <w:spacing w:after="0"/>
            </w:pPr>
            <w:r/>
            <w:r>
              <w:rPr>
                <w:b w:val="0"/>
              </w:rPr>
              <w:t>DIFC-REG-10</w:t>
            </w:r>
          </w:p>
        </w:tc>
        <w:tc>
          <w:tcPr>
            <w:tcW w:type="dxa" w:w="5112"/>
            <w:vAlign w:val="top"/>
          </w:tcPr>
          <w:p>
            <w:pPr>
              <w:spacing w:after="0"/>
            </w:pPr>
            <w:r/>
            <w:r>
              <w:rPr>
                <w:b w:val="0"/>
              </w:rPr>
              <w:t>DIFC Commissioner of Data Protection, Regulation 10 page on autonomous and semi-autonomous systems.</w:t>
            </w:r>
          </w:p>
        </w:tc>
      </w:tr>
      <w:tr>
        <w:tc>
          <w:tcPr>
            <w:tcW w:type="dxa" w:w="5112"/>
            <w:vAlign w:val="top"/>
          </w:tcPr>
          <w:p>
            <w:pPr>
              <w:spacing w:after="0"/>
            </w:pPr>
            <w:r/>
            <w:r>
              <w:rPr>
                <w:b w:val="0"/>
              </w:rPr>
              <w:t>UAE-PDPL-2021</w:t>
            </w:r>
          </w:p>
        </w:tc>
        <w:tc>
          <w:tcPr>
            <w:tcW w:type="dxa" w:w="5112"/>
            <w:vAlign w:val="top"/>
          </w:tcPr>
          <w:p>
            <w:pPr>
              <w:spacing w:after="0"/>
            </w:pPr>
            <w:r/>
            <w:r>
              <w:rPr>
                <w:b w:val="0"/>
              </w:rPr>
              <w:t>United Arab Emirates Legislation Portal, Federal Decree-Law No. 45 of 2021 concerning Personal Data Protection.</w:t>
            </w:r>
          </w:p>
        </w:tc>
      </w:tr>
      <w:tr>
        <w:tc>
          <w:tcPr>
            <w:tcW w:type="dxa" w:w="5112"/>
            <w:vAlign w:val="top"/>
          </w:tcPr>
          <w:p>
            <w:pPr>
              <w:spacing w:after="0"/>
            </w:pPr>
            <w:r/>
            <w:r>
              <w:rPr>
                <w:b w:val="0"/>
              </w:rPr>
              <w:t>ISO-42001-2023</w:t>
            </w:r>
          </w:p>
        </w:tc>
        <w:tc>
          <w:tcPr>
            <w:tcW w:type="dxa" w:w="5112"/>
            <w:vAlign w:val="top"/>
          </w:tcPr>
          <w:p>
            <w:pPr>
              <w:spacing w:after="0"/>
            </w:pPr>
            <w:r/>
            <w:r>
              <w:rPr>
                <w:b w:val="0"/>
              </w:rPr>
              <w:t>ISO/IEC 42001:2023, Information technology - Artificial intelligence - Management system.</w:t>
            </w:r>
          </w:p>
        </w:tc>
      </w:tr>
      <w:tr>
        <w:tc>
          <w:tcPr>
            <w:tcW w:type="dxa" w:w="5112"/>
            <w:vAlign w:val="top"/>
          </w:tcPr>
          <w:p>
            <w:pPr>
              <w:spacing w:after="0"/>
            </w:pPr>
            <w:r/>
            <w:r>
              <w:rPr>
                <w:b w:val="0"/>
              </w:rPr>
              <w:t>ISO-27001-2022</w:t>
            </w:r>
          </w:p>
        </w:tc>
        <w:tc>
          <w:tcPr>
            <w:tcW w:type="dxa" w:w="5112"/>
            <w:vAlign w:val="top"/>
          </w:tcPr>
          <w:p>
            <w:pPr>
              <w:spacing w:after="0"/>
            </w:pPr>
            <w:r/>
            <w:r>
              <w:rPr>
                <w:b w:val="0"/>
              </w:rPr>
              <w:t>ISO/IEC 27001:2022, Information security, cybersecurity and privacy protection - ISMS requirements.</w:t>
            </w:r>
          </w:p>
        </w:tc>
      </w:tr>
      <w:tr>
        <w:tc>
          <w:tcPr>
            <w:tcW w:type="dxa" w:w="5112"/>
            <w:vAlign w:val="top"/>
          </w:tcPr>
          <w:p>
            <w:pPr>
              <w:spacing w:after="0"/>
            </w:pPr>
            <w:r/>
            <w:r>
              <w:rPr>
                <w:b w:val="0"/>
              </w:rPr>
              <w:t>NIST-AI-RMF</w:t>
            </w:r>
          </w:p>
        </w:tc>
        <w:tc>
          <w:tcPr>
            <w:tcW w:type="dxa" w:w="5112"/>
            <w:vAlign w:val="top"/>
          </w:tcPr>
          <w:p>
            <w:pPr>
              <w:spacing w:after="0"/>
            </w:pPr>
            <w:r/>
            <w:r>
              <w:rPr>
                <w:b w:val="0"/>
              </w:rPr>
              <w:t>National Institute of Standards and Technology, AI Risk Management Framework.</w:t>
            </w:r>
          </w:p>
        </w:tc>
      </w:tr>
      <w:tr>
        <w:tc>
          <w:tcPr>
            <w:tcW w:type="dxa" w:w="5112"/>
            <w:vAlign w:val="top"/>
          </w:tcPr>
          <w:p>
            <w:pPr>
              <w:spacing w:after="0"/>
            </w:pPr>
            <w:r/>
            <w:r>
              <w:rPr>
                <w:b w:val="0"/>
              </w:rPr>
              <w:t>OECD-AI</w:t>
            </w:r>
          </w:p>
        </w:tc>
        <w:tc>
          <w:tcPr>
            <w:tcW w:type="dxa" w:w="5112"/>
            <w:vAlign w:val="top"/>
          </w:tcPr>
          <w:p>
            <w:pPr>
              <w:spacing w:after="0"/>
            </w:pPr>
            <w:r/>
            <w:r>
              <w:rPr>
                <w:b w:val="0"/>
              </w:rPr>
              <w:t>OECD AI Principles.</w:t>
            </w:r>
          </w:p>
        </w:tc>
      </w:tr>
      <w:tr>
        <w:tc>
          <w:tcPr>
            <w:tcW w:type="dxa" w:w="5112"/>
            <w:vAlign w:val="top"/>
          </w:tcPr>
          <w:p>
            <w:pPr>
              <w:spacing w:after="0"/>
            </w:pPr>
            <w:r/>
            <w:r>
              <w:rPr>
                <w:b w:val="0"/>
              </w:rPr>
              <w:t>DUBAI-AI-SEAL</w:t>
            </w:r>
          </w:p>
        </w:tc>
        <w:tc>
          <w:tcPr>
            <w:tcW w:type="dxa" w:w="5112"/>
            <w:vAlign w:val="top"/>
          </w:tcPr>
          <w:p>
            <w:pPr>
              <w:spacing w:after="0"/>
            </w:pPr>
            <w:r/>
            <w:r>
              <w:rPr>
                <w:b w:val="0"/>
              </w:rPr>
              <w:t>Dubai Centre for Artificial Intelligence, Dubai AI Seal.</w:t>
            </w:r>
          </w:p>
        </w:tc>
      </w:tr>
      <w:tr>
        <w:tc>
          <w:tcPr>
            <w:tcW w:type="dxa" w:w="5112"/>
            <w:vAlign w:val="top"/>
          </w:tcPr>
          <w:p>
            <w:pPr>
              <w:spacing w:after="0"/>
            </w:pPr>
            <w:r/>
            <w:r>
              <w:rPr>
                <w:b w:val="0"/>
              </w:rPr>
              <w:t>AAOIFI</w:t>
            </w:r>
          </w:p>
        </w:tc>
        <w:tc>
          <w:tcPr>
            <w:tcW w:type="dxa" w:w="5112"/>
            <w:vAlign w:val="top"/>
          </w:tcPr>
          <w:p>
            <w:pPr>
              <w:spacing w:after="0"/>
            </w:pPr>
            <w:r/>
            <w:r>
              <w:rPr>
                <w:b w:val="0"/>
              </w:rPr>
              <w:t>AAOIFI Shariah standards and governance references, for later SAB adoption where relevant.</w:t>
            </w:r>
          </w:p>
        </w:tc>
      </w:tr>
      <w:tr>
        <w:tc>
          <w:tcPr>
            <w:tcW w:type="dxa" w:w="5112"/>
            <w:vAlign w:val="top"/>
          </w:tcPr>
          <w:p>
            <w:pPr>
              <w:spacing w:after="0"/>
            </w:pPr>
            <w:r/>
            <w:r>
              <w:rPr>
                <w:b w:val="0"/>
              </w:rPr>
              <w:t>IFSB</w:t>
            </w:r>
          </w:p>
        </w:tc>
        <w:tc>
          <w:tcPr>
            <w:tcW w:type="dxa" w:w="5112"/>
            <w:vAlign w:val="top"/>
          </w:tcPr>
          <w:p>
            <w:pPr>
              <w:spacing w:after="0"/>
            </w:pPr>
            <w:r/>
            <w:r>
              <w:rPr>
                <w:b w:val="0"/>
              </w:rPr>
              <w:t>Islamic Financial Services Board governance and Shariah governance guidance, for later regulated/partner financial context.</w:t>
            </w:r>
          </w:p>
        </w:tc>
      </w:tr>
    </w:tbl>
    <w:p/>
    <w:p>
      <w:pPr>
        <w:pStyle w:val="Heading1"/>
      </w:pPr>
      <w:r>
        <w:t>Appendix C - Controlled Vocabulary</w:t>
      </w:r>
    </w:p>
    <w:p>
      <w:r>
        <w:rPr>
          <w:b/>
          <w:color w:val="AD8633"/>
        </w:rPr>
        <w:t>Table APP-C01 - Afiyah Language Standard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C383F"/>
          </w:tcPr>
          <w:p>
            <w:pPr>
              <w:spacing w:after="0"/>
            </w:pPr>
            <w:r/>
            <w:r>
              <w:rPr>
                <w:b/>
                <w:color w:val="FFFFFF"/>
              </w:rPr>
              <w:t>Do Not Say</w:t>
            </w:r>
          </w:p>
        </w:tc>
        <w:tc>
          <w:tcPr>
            <w:tcW w:type="dxa" w:w="3408"/>
            <w:vAlign w:val="top"/>
            <w:shd w:fill="0C383F"/>
          </w:tcPr>
          <w:p>
            <w:pPr>
              <w:spacing w:after="0"/>
            </w:pPr>
            <w:r/>
            <w:r>
              <w:rPr>
                <w:b/>
                <w:color w:val="FFFFFF"/>
              </w:rPr>
              <w:t>Say Instead</w:t>
            </w:r>
          </w:p>
        </w:tc>
        <w:tc>
          <w:tcPr>
            <w:tcW w:type="dxa" w:w="3408"/>
            <w:vAlign w:val="top"/>
            <w:shd w:fill="0C383F"/>
          </w:tcPr>
          <w:p>
            <w:pPr>
              <w:spacing w:after="0"/>
            </w:pPr>
            <w:r/>
            <w:r>
              <w:rPr>
                <w:b/>
                <w:color w:val="FFFFFF"/>
              </w:rPr>
              <w:t>Reason</w:t>
            </w:r>
          </w:p>
        </w:tc>
      </w:tr>
      <w:tr>
        <w:tc>
          <w:tcPr>
            <w:tcW w:type="dxa" w:w="3408"/>
            <w:vAlign w:val="top"/>
          </w:tcPr>
          <w:p>
            <w:pPr>
              <w:spacing w:after="0"/>
            </w:pPr>
            <w:r/>
            <w:r>
              <w:rPr>
                <w:b w:val="0"/>
              </w:rPr>
              <w:t>Users are captured</w:t>
            </w:r>
          </w:p>
        </w:tc>
        <w:tc>
          <w:tcPr>
            <w:tcW w:type="dxa" w:w="3408"/>
            <w:vAlign w:val="top"/>
          </w:tcPr>
          <w:p>
            <w:pPr>
              <w:spacing w:after="0"/>
            </w:pPr>
            <w:r/>
            <w:r>
              <w:rPr>
                <w:b w:val="0"/>
              </w:rPr>
              <w:t>Members are welcomed</w:t>
            </w:r>
          </w:p>
        </w:tc>
        <w:tc>
          <w:tcPr>
            <w:tcW w:type="dxa" w:w="3408"/>
            <w:vAlign w:val="top"/>
          </w:tcPr>
          <w:p>
            <w:pPr>
              <w:spacing w:after="0"/>
            </w:pPr>
            <w:r/>
            <w:r>
              <w:rPr>
                <w:b w:val="0"/>
              </w:rPr>
              <w:t>Human dignity over extraction.</w:t>
            </w:r>
          </w:p>
        </w:tc>
      </w:tr>
      <w:tr>
        <w:tc>
          <w:tcPr>
            <w:tcW w:type="dxa" w:w="3408"/>
            <w:vAlign w:val="top"/>
          </w:tcPr>
          <w:p>
            <w:pPr>
              <w:spacing w:after="0"/>
            </w:pPr>
            <w:r/>
            <w:r>
              <w:rPr>
                <w:b w:val="0"/>
              </w:rPr>
              <w:t>Attention is monetised</w:t>
            </w:r>
          </w:p>
        </w:tc>
        <w:tc>
          <w:tcPr>
            <w:tcW w:type="dxa" w:w="3408"/>
            <w:vAlign w:val="top"/>
          </w:tcPr>
          <w:p>
            <w:pPr>
              <w:spacing w:after="0"/>
            </w:pPr>
            <w:r/>
            <w:r>
              <w:rPr>
                <w:b w:val="0"/>
              </w:rPr>
              <w:t>Attention is honoured</w:t>
            </w:r>
          </w:p>
        </w:tc>
        <w:tc>
          <w:tcPr>
            <w:tcW w:type="dxa" w:w="3408"/>
            <w:vAlign w:val="top"/>
          </w:tcPr>
          <w:p>
            <w:pPr>
              <w:spacing w:after="0"/>
            </w:pPr>
            <w:r/>
            <w:r>
              <w:rPr>
                <w:b w:val="0"/>
              </w:rPr>
              <w:t>Attention is an Amanah.</w:t>
            </w:r>
          </w:p>
        </w:tc>
      </w:tr>
      <w:tr>
        <w:tc>
          <w:tcPr>
            <w:tcW w:type="dxa" w:w="3408"/>
            <w:vAlign w:val="top"/>
          </w:tcPr>
          <w:p>
            <w:pPr>
              <w:spacing w:after="0"/>
            </w:pPr>
            <w:r/>
            <w:r>
              <w:rPr>
                <w:b w:val="0"/>
              </w:rPr>
              <w:t>Engagement at all costs</w:t>
            </w:r>
          </w:p>
        </w:tc>
        <w:tc>
          <w:tcPr>
            <w:tcW w:type="dxa" w:w="3408"/>
            <w:vAlign w:val="top"/>
          </w:tcPr>
          <w:p>
            <w:pPr>
              <w:spacing w:after="0"/>
            </w:pPr>
            <w:r/>
            <w:r>
              <w:rPr>
                <w:b w:val="0"/>
              </w:rPr>
              <w:t>Beneficial engagement</w:t>
            </w:r>
          </w:p>
        </w:tc>
        <w:tc>
          <w:tcPr>
            <w:tcW w:type="dxa" w:w="3408"/>
            <w:vAlign w:val="top"/>
          </w:tcPr>
          <w:p>
            <w:pPr>
              <w:spacing w:after="0"/>
            </w:pPr>
            <w:r/>
            <w:r>
              <w:rPr>
                <w:b w:val="0"/>
              </w:rPr>
              <w:t>Wellbeing over addiction.</w:t>
            </w:r>
          </w:p>
        </w:tc>
      </w:tr>
      <w:tr>
        <w:tc>
          <w:tcPr>
            <w:tcW w:type="dxa" w:w="3408"/>
            <w:vAlign w:val="top"/>
          </w:tcPr>
          <w:p>
            <w:pPr>
              <w:spacing w:after="0"/>
            </w:pPr>
            <w:r/>
            <w:r>
              <w:rPr>
                <w:b w:val="0"/>
              </w:rPr>
              <w:t>AI decides</w:t>
            </w:r>
          </w:p>
        </w:tc>
        <w:tc>
          <w:tcPr>
            <w:tcW w:type="dxa" w:w="3408"/>
            <w:vAlign w:val="top"/>
          </w:tcPr>
          <w:p>
            <w:pPr>
              <w:spacing w:after="0"/>
            </w:pPr>
            <w:r/>
            <w:r>
              <w:rPr>
                <w:b w:val="0"/>
              </w:rPr>
              <w:t>AI assists</w:t>
            </w:r>
          </w:p>
        </w:tc>
        <w:tc>
          <w:tcPr>
            <w:tcW w:type="dxa" w:w="3408"/>
            <w:vAlign w:val="top"/>
          </w:tcPr>
          <w:p>
            <w:pPr>
              <w:spacing w:after="0"/>
            </w:pPr>
            <w:r/>
            <w:r>
              <w:rPr>
                <w:b w:val="0"/>
              </w:rPr>
              <w:t>Human accountability remains.</w:t>
            </w:r>
          </w:p>
        </w:tc>
      </w:tr>
      <w:tr>
        <w:tc>
          <w:tcPr>
            <w:tcW w:type="dxa" w:w="3408"/>
            <w:vAlign w:val="top"/>
          </w:tcPr>
          <w:p>
            <w:pPr>
              <w:spacing w:after="0"/>
            </w:pPr>
            <w:r/>
            <w:r>
              <w:rPr>
                <w:b w:val="0"/>
              </w:rPr>
              <w:t>Data is an asset</w:t>
            </w:r>
          </w:p>
        </w:tc>
        <w:tc>
          <w:tcPr>
            <w:tcW w:type="dxa" w:w="3408"/>
            <w:vAlign w:val="top"/>
          </w:tcPr>
          <w:p>
            <w:pPr>
              <w:spacing w:after="0"/>
            </w:pPr>
            <w:r/>
            <w:r>
              <w:rPr>
                <w:b w:val="0"/>
              </w:rPr>
              <w:t>Data is a trust</w:t>
            </w:r>
          </w:p>
        </w:tc>
        <w:tc>
          <w:tcPr>
            <w:tcW w:type="dxa" w:w="3408"/>
            <w:vAlign w:val="top"/>
          </w:tcPr>
          <w:p>
            <w:pPr>
              <w:spacing w:after="0"/>
            </w:pPr>
            <w:r/>
            <w:r>
              <w:rPr>
                <w:b w:val="0"/>
              </w:rPr>
              <w:t>Amanah and privacy posture.</w:t>
            </w:r>
          </w:p>
        </w:tc>
      </w:tr>
      <w:tr>
        <w:tc>
          <w:tcPr>
            <w:tcW w:type="dxa" w:w="3408"/>
            <w:vAlign w:val="top"/>
          </w:tcPr>
          <w:p>
            <w:pPr>
              <w:spacing w:after="0"/>
            </w:pPr>
            <w:r/>
            <w:r>
              <w:rPr>
                <w:b w:val="0"/>
              </w:rPr>
              <w:t>Fatwa chatbot</w:t>
            </w:r>
          </w:p>
        </w:tc>
        <w:tc>
          <w:tcPr>
            <w:tcW w:type="dxa" w:w="3408"/>
            <w:vAlign w:val="top"/>
          </w:tcPr>
          <w:p>
            <w:pPr>
              <w:spacing w:after="0"/>
            </w:pPr>
            <w:r/>
            <w:r>
              <w:rPr>
                <w:b w:val="0"/>
              </w:rPr>
              <w:t>Shariah-reviewed educational guidance</w:t>
            </w:r>
          </w:p>
        </w:tc>
        <w:tc>
          <w:tcPr>
            <w:tcW w:type="dxa" w:w="3408"/>
            <w:vAlign w:val="top"/>
          </w:tcPr>
          <w:p>
            <w:pPr>
              <w:spacing w:after="0"/>
            </w:pPr>
            <w:r/>
            <w:r>
              <w:rPr>
                <w:b w:val="0"/>
              </w:rPr>
              <w:t>AI cannot replace scholars.</w:t>
            </w:r>
          </w:p>
        </w:tc>
      </w:tr>
      <w:tr>
        <w:tc>
          <w:tcPr>
            <w:tcW w:type="dxa" w:w="3408"/>
            <w:vAlign w:val="top"/>
          </w:tcPr>
          <w:p>
            <w:pPr>
              <w:spacing w:after="0"/>
            </w:pPr>
            <w:r/>
            <w:r>
              <w:rPr>
                <w:b w:val="0"/>
              </w:rPr>
              <w:t>Financial advice</w:t>
            </w:r>
          </w:p>
        </w:tc>
        <w:tc>
          <w:tcPr>
            <w:tcW w:type="dxa" w:w="3408"/>
            <w:vAlign w:val="top"/>
          </w:tcPr>
          <w:p>
            <w:pPr>
              <w:spacing w:after="0"/>
            </w:pPr>
            <w:r/>
            <w:r>
              <w:rPr>
                <w:b w:val="0"/>
              </w:rPr>
              <w:t>Financial education / licensed partner service</w:t>
            </w:r>
          </w:p>
        </w:tc>
        <w:tc>
          <w:tcPr>
            <w:tcW w:type="dxa" w:w="3408"/>
            <w:vAlign w:val="top"/>
          </w:tcPr>
          <w:p>
            <w:pPr>
              <w:spacing w:after="0"/>
            </w:pPr>
            <w:r/>
            <w:r>
              <w:rPr>
                <w:b w:val="0"/>
              </w:rPr>
              <w:t>Regulatory boundary discipline.</w:t>
            </w:r>
          </w:p>
        </w:tc>
      </w:tr>
    </w:tbl>
    <w:p/>
    <w:sectPr w:rsidR="00FC693F" w:rsidRPr="0006063C" w:rsidSect="00034616">
      <w:footerReference w:type="default" r:id="rId9"/>
      <w:head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The Book of Afiyah | Confidential Founder Edition | Page </w:t>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0C383F"/>
        <w:sz w:val="16"/>
      </w:rPr>
      <w:t>AFIYAH INSTITUTIONAL OPERATING SYSTEM | RESEARCHED BLUEPRINT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C38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AD86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817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C38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