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9478" w14:textId="4749CCC9" w:rsidR="00850F7B" w:rsidRDefault="00491905" w:rsidP="00865E1A">
      <w:pPr>
        <w:keepNext/>
        <w:keepLines/>
        <w:spacing w:before="240" w:after="0" w:line="240" w:lineRule="auto"/>
        <w:ind w:left="426" w:hanging="426"/>
        <w:jc w:val="center"/>
        <w:outlineLvl w:val="0"/>
        <w:rPr>
          <w:rFonts w:cstheme="minorHAnsi"/>
          <w:b/>
          <w:bCs/>
          <w:sz w:val="32"/>
          <w:szCs w:val="32"/>
          <w:u w:val="single"/>
        </w:rPr>
      </w:pPr>
      <w:bookmarkStart w:id="0" w:name="_Toc70510972"/>
      <w:r>
        <w:rPr>
          <w:rFonts w:cstheme="minorHAnsi"/>
          <w:b/>
          <w:bCs/>
          <w:sz w:val="32"/>
          <w:szCs w:val="32"/>
          <w:u w:val="single"/>
        </w:rPr>
        <w:t>High Level Taskforce (</w:t>
      </w:r>
      <w:r w:rsidR="00865E1A" w:rsidRPr="00865E1A">
        <w:rPr>
          <w:rFonts w:cstheme="minorHAnsi"/>
          <w:b/>
          <w:bCs/>
          <w:sz w:val="32"/>
          <w:szCs w:val="32"/>
          <w:u w:val="single"/>
        </w:rPr>
        <w:t>HLTF</w:t>
      </w:r>
      <w:r w:rsidR="00A93829">
        <w:rPr>
          <w:rFonts w:cstheme="minorHAnsi"/>
          <w:b/>
          <w:bCs/>
          <w:sz w:val="32"/>
          <w:szCs w:val="32"/>
          <w:u w:val="single"/>
        </w:rPr>
        <w:t>)</w:t>
      </w:r>
      <w:r w:rsidR="00865E1A" w:rsidRPr="00865E1A">
        <w:rPr>
          <w:rFonts w:cstheme="minorHAnsi"/>
          <w:b/>
          <w:bCs/>
          <w:sz w:val="32"/>
          <w:szCs w:val="32"/>
          <w:u w:val="single"/>
        </w:rPr>
        <w:t xml:space="preserve"> </w:t>
      </w:r>
    </w:p>
    <w:p w14:paraId="660B4B1E" w14:textId="4A696B90" w:rsidR="00AE65EE" w:rsidRDefault="00850F7B" w:rsidP="00865E1A">
      <w:pPr>
        <w:keepNext/>
        <w:keepLines/>
        <w:spacing w:before="240" w:after="0" w:line="240" w:lineRule="auto"/>
        <w:ind w:left="426" w:hanging="426"/>
        <w:jc w:val="center"/>
        <w:outlineLvl w:val="0"/>
        <w:rPr>
          <w:rFonts w:cstheme="minorHAnsi"/>
          <w:b/>
          <w:bCs/>
          <w:sz w:val="32"/>
          <w:szCs w:val="32"/>
          <w:u w:val="single"/>
        </w:rPr>
      </w:pPr>
      <w:r>
        <w:rPr>
          <w:rFonts w:cstheme="minorHAnsi"/>
          <w:b/>
          <w:bCs/>
          <w:sz w:val="32"/>
          <w:szCs w:val="32"/>
          <w:u w:val="single"/>
        </w:rPr>
        <w:t xml:space="preserve">DOH </w:t>
      </w:r>
      <w:r w:rsidR="00865E1A" w:rsidRPr="00865E1A">
        <w:rPr>
          <w:rFonts w:cstheme="minorHAnsi"/>
          <w:b/>
          <w:bCs/>
          <w:sz w:val="32"/>
          <w:szCs w:val="32"/>
          <w:u w:val="single"/>
        </w:rPr>
        <w:t>Background Note</w:t>
      </w:r>
      <w:r w:rsidR="00865E1A">
        <w:rPr>
          <w:rFonts w:cstheme="minorHAnsi"/>
          <w:b/>
          <w:bCs/>
          <w:sz w:val="32"/>
          <w:szCs w:val="32"/>
          <w:u w:val="single"/>
        </w:rPr>
        <w:t xml:space="preserve"> on Mental Health</w:t>
      </w:r>
      <w:r w:rsidR="00865E1A" w:rsidRPr="00865E1A">
        <w:rPr>
          <w:rFonts w:cstheme="minorHAnsi"/>
          <w:b/>
          <w:bCs/>
          <w:sz w:val="32"/>
          <w:szCs w:val="32"/>
          <w:u w:val="single"/>
        </w:rPr>
        <w:t xml:space="preserve"> </w:t>
      </w:r>
    </w:p>
    <w:p w14:paraId="44E267A3" w14:textId="2A1AED38" w:rsidR="00906336" w:rsidRPr="00865E1A" w:rsidRDefault="00865E1A" w:rsidP="00865E1A">
      <w:pPr>
        <w:keepNext/>
        <w:keepLines/>
        <w:spacing w:before="240" w:after="0" w:line="240" w:lineRule="auto"/>
        <w:ind w:left="426" w:hanging="426"/>
        <w:jc w:val="center"/>
        <w:outlineLvl w:val="0"/>
        <w:rPr>
          <w:rFonts w:cstheme="minorHAnsi"/>
          <w:b/>
          <w:bCs/>
          <w:sz w:val="32"/>
          <w:szCs w:val="32"/>
          <w:u w:val="single"/>
        </w:rPr>
      </w:pPr>
      <w:r w:rsidRPr="00865E1A">
        <w:rPr>
          <w:rFonts w:cstheme="minorHAnsi"/>
          <w:b/>
          <w:bCs/>
          <w:sz w:val="32"/>
          <w:szCs w:val="32"/>
          <w:u w:val="single"/>
        </w:rPr>
        <w:t>for m</w:t>
      </w:r>
      <w:r>
        <w:rPr>
          <w:rFonts w:cstheme="minorHAnsi"/>
          <w:b/>
          <w:bCs/>
          <w:sz w:val="32"/>
          <w:szCs w:val="32"/>
          <w:u w:val="single"/>
        </w:rPr>
        <w:t>e</w:t>
      </w:r>
      <w:r w:rsidRPr="00865E1A">
        <w:rPr>
          <w:rFonts w:cstheme="minorHAnsi"/>
          <w:b/>
          <w:bCs/>
          <w:sz w:val="32"/>
          <w:szCs w:val="32"/>
          <w:u w:val="single"/>
        </w:rPr>
        <w:t>eting on 12 May 2021.</w:t>
      </w:r>
    </w:p>
    <w:p w14:paraId="6BE66DA8" w14:textId="77777777" w:rsidR="00865E1A" w:rsidRDefault="00865E1A" w:rsidP="002B5BE5">
      <w:pPr>
        <w:keepNext/>
        <w:keepLines/>
        <w:spacing w:before="240" w:after="0" w:line="240" w:lineRule="auto"/>
        <w:outlineLvl w:val="0"/>
        <w:rPr>
          <w:rFonts w:eastAsia="Times New Roman" w:cstheme="minorHAnsi"/>
          <w:b/>
          <w:bCs/>
          <w:sz w:val="28"/>
          <w:szCs w:val="28"/>
        </w:rPr>
      </w:pPr>
    </w:p>
    <w:p w14:paraId="0B51B449" w14:textId="49A30F2D" w:rsidR="00906336" w:rsidRPr="00A82076" w:rsidRDefault="00AB17F5" w:rsidP="00F10DCA">
      <w:pPr>
        <w:keepNext/>
        <w:keepLines/>
        <w:spacing w:before="240" w:after="0" w:line="240" w:lineRule="auto"/>
        <w:outlineLvl w:val="0"/>
        <w:rPr>
          <w:rFonts w:eastAsia="Times New Roman" w:cstheme="minorHAnsi"/>
          <w:b/>
          <w:bCs/>
          <w:sz w:val="32"/>
          <w:szCs w:val="32"/>
        </w:rPr>
      </w:pPr>
      <w:r w:rsidRPr="00A82076">
        <w:rPr>
          <w:rFonts w:eastAsia="Times New Roman" w:cstheme="minorHAnsi"/>
          <w:b/>
          <w:bCs/>
          <w:sz w:val="32"/>
          <w:szCs w:val="32"/>
        </w:rPr>
        <w:t>1.</w:t>
      </w:r>
      <w:r w:rsidRPr="00A82076">
        <w:rPr>
          <w:rFonts w:eastAsia="Times New Roman" w:cstheme="minorHAnsi"/>
          <w:b/>
          <w:bCs/>
          <w:sz w:val="32"/>
          <w:szCs w:val="32"/>
        </w:rPr>
        <w:tab/>
      </w:r>
      <w:r w:rsidR="00906336" w:rsidRPr="00A82076">
        <w:rPr>
          <w:rFonts w:eastAsia="Times New Roman" w:cstheme="minorHAnsi"/>
          <w:b/>
          <w:bCs/>
          <w:sz w:val="32"/>
          <w:szCs w:val="32"/>
          <w:u w:val="single"/>
        </w:rPr>
        <w:t>Overview</w:t>
      </w:r>
    </w:p>
    <w:p w14:paraId="3D3780FB" w14:textId="469C30C4" w:rsidR="00906336" w:rsidRPr="00F10DCA" w:rsidRDefault="00906336" w:rsidP="00F10DCA">
      <w:pPr>
        <w:pStyle w:val="ListParagraph"/>
        <w:numPr>
          <w:ilvl w:val="0"/>
          <w:numId w:val="17"/>
        </w:numPr>
        <w:spacing w:before="240" w:after="0" w:line="240" w:lineRule="auto"/>
        <w:ind w:left="360"/>
        <w:rPr>
          <w:rFonts w:cstheme="minorHAnsi"/>
          <w:sz w:val="28"/>
          <w:szCs w:val="28"/>
          <w:lang w:val="en-US"/>
        </w:rPr>
      </w:pPr>
      <w:r w:rsidRPr="00F10DCA">
        <w:rPr>
          <w:rFonts w:eastAsia="Times New Roman" w:cstheme="minorHAnsi"/>
          <w:sz w:val="28"/>
          <w:szCs w:val="28"/>
          <w:lang w:eastAsia="en-IE"/>
        </w:rPr>
        <w:t xml:space="preserve">The outcomes arising from the Taskforce </w:t>
      </w:r>
      <w:r w:rsidR="00356A81">
        <w:rPr>
          <w:rFonts w:eastAsia="Times New Roman" w:cstheme="minorHAnsi"/>
          <w:sz w:val="28"/>
          <w:szCs w:val="28"/>
          <w:lang w:eastAsia="en-IE"/>
        </w:rPr>
        <w:t>should</w:t>
      </w:r>
      <w:r w:rsidRPr="00F10DCA">
        <w:rPr>
          <w:rFonts w:eastAsia="Times New Roman" w:cstheme="minorHAnsi"/>
          <w:sz w:val="28"/>
          <w:szCs w:val="28"/>
          <w:lang w:eastAsia="en-IE"/>
        </w:rPr>
        <w:t xml:space="preserve"> be viewed in the context of evolving demands and resources overall for </w:t>
      </w:r>
      <w:r w:rsidR="004D54F8" w:rsidRPr="00F10DCA">
        <w:rPr>
          <w:rFonts w:eastAsia="Times New Roman" w:cstheme="minorHAnsi"/>
          <w:sz w:val="28"/>
          <w:szCs w:val="28"/>
          <w:lang w:eastAsia="en-IE"/>
        </w:rPr>
        <w:t>DOH</w:t>
      </w:r>
      <w:r w:rsidRPr="00F10DCA">
        <w:rPr>
          <w:rFonts w:eastAsia="Times New Roman" w:cstheme="minorHAnsi"/>
          <w:sz w:val="28"/>
          <w:szCs w:val="28"/>
          <w:lang w:eastAsia="en-IE"/>
        </w:rPr>
        <w:t xml:space="preserve"> and the HSE. New service developments </w:t>
      </w:r>
      <w:r w:rsidR="00356A81">
        <w:rPr>
          <w:rFonts w:eastAsia="Times New Roman" w:cstheme="minorHAnsi"/>
          <w:sz w:val="28"/>
          <w:szCs w:val="28"/>
          <w:lang w:eastAsia="en-IE"/>
        </w:rPr>
        <w:t xml:space="preserve">should </w:t>
      </w:r>
      <w:r w:rsidRPr="00F10DCA">
        <w:rPr>
          <w:rFonts w:eastAsia="Times New Roman" w:cstheme="minorHAnsi"/>
          <w:sz w:val="28"/>
          <w:szCs w:val="28"/>
          <w:lang w:eastAsia="en-IE"/>
        </w:rPr>
        <w:t>also align with the objectives and resources of HSE Service Plans.</w:t>
      </w:r>
      <w:r w:rsidRPr="00F10DCA">
        <w:rPr>
          <w:rFonts w:cstheme="minorHAnsi"/>
          <w:sz w:val="28"/>
          <w:szCs w:val="28"/>
        </w:rPr>
        <w:t xml:space="preserve"> </w:t>
      </w:r>
    </w:p>
    <w:p w14:paraId="656CD7DF" w14:textId="77777777" w:rsidR="002B5BE5" w:rsidRPr="00F10DCA" w:rsidRDefault="002B5BE5" w:rsidP="00F10DCA">
      <w:pPr>
        <w:pStyle w:val="ListParagraph"/>
        <w:spacing w:before="240" w:after="0" w:line="240" w:lineRule="auto"/>
        <w:ind w:left="360"/>
        <w:rPr>
          <w:rFonts w:cstheme="minorHAnsi"/>
          <w:sz w:val="28"/>
          <w:szCs w:val="28"/>
          <w:lang w:val="en-US"/>
        </w:rPr>
      </w:pPr>
    </w:p>
    <w:p w14:paraId="0E9CA5E4" w14:textId="2A4EF018" w:rsidR="00F57157" w:rsidRPr="00F10DCA" w:rsidRDefault="0080445B" w:rsidP="00F10DCA">
      <w:pPr>
        <w:pStyle w:val="ListParagraph"/>
        <w:numPr>
          <w:ilvl w:val="0"/>
          <w:numId w:val="17"/>
        </w:numPr>
        <w:spacing w:before="240" w:after="0" w:line="240" w:lineRule="auto"/>
        <w:ind w:left="360"/>
        <w:rPr>
          <w:rFonts w:cstheme="minorHAnsi"/>
          <w:sz w:val="28"/>
          <w:szCs w:val="28"/>
        </w:rPr>
      </w:pPr>
      <w:r w:rsidRPr="00F10DCA">
        <w:rPr>
          <w:rFonts w:cstheme="minorHAnsi"/>
          <w:sz w:val="28"/>
          <w:szCs w:val="28"/>
        </w:rPr>
        <w:t>As reflected in evolving legislation and policies, the promotion of a more human rights and less paternalistic approach to providing mental health care</w:t>
      </w:r>
      <w:r w:rsidR="00B25315" w:rsidRPr="00F10DCA">
        <w:rPr>
          <w:rFonts w:cstheme="minorHAnsi"/>
          <w:sz w:val="28"/>
          <w:szCs w:val="28"/>
        </w:rPr>
        <w:t xml:space="preserve"> is</w:t>
      </w:r>
      <w:r w:rsidR="00C02C3A" w:rsidRPr="00F10DCA">
        <w:rPr>
          <w:rFonts w:cstheme="minorHAnsi"/>
          <w:sz w:val="28"/>
          <w:szCs w:val="28"/>
        </w:rPr>
        <w:t xml:space="preserve"> a key objective.</w:t>
      </w:r>
      <w:r w:rsidR="00F57157" w:rsidRPr="00F10DCA">
        <w:rPr>
          <w:rFonts w:cstheme="minorHAnsi"/>
          <w:sz w:val="28"/>
          <w:szCs w:val="28"/>
        </w:rPr>
        <w:t xml:space="preserve"> In addition, the concepts of Capacity and Consent for individuals are increasingly to the fore, both nationally and internationally. </w:t>
      </w:r>
    </w:p>
    <w:p w14:paraId="2390F32F" w14:textId="2A94D227" w:rsidR="00C02C3A" w:rsidRPr="00F10DCA" w:rsidRDefault="00C02C3A" w:rsidP="00F10DCA">
      <w:pPr>
        <w:pStyle w:val="ListParagraph"/>
        <w:spacing w:before="240" w:after="0" w:line="240" w:lineRule="auto"/>
        <w:ind w:left="360"/>
        <w:rPr>
          <w:rFonts w:cstheme="minorHAnsi"/>
          <w:bCs/>
          <w:sz w:val="28"/>
          <w:szCs w:val="28"/>
        </w:rPr>
      </w:pPr>
    </w:p>
    <w:p w14:paraId="4A7EB709" w14:textId="6B1F1C63" w:rsidR="00C02C3A" w:rsidRPr="00F10DCA" w:rsidRDefault="00B25315" w:rsidP="00F10DCA">
      <w:pPr>
        <w:pStyle w:val="ListParagraph"/>
        <w:numPr>
          <w:ilvl w:val="0"/>
          <w:numId w:val="17"/>
        </w:numPr>
        <w:spacing w:before="240" w:after="0" w:line="240" w:lineRule="auto"/>
        <w:ind w:left="360"/>
        <w:rPr>
          <w:rFonts w:cstheme="minorHAnsi"/>
          <w:bCs/>
          <w:sz w:val="28"/>
          <w:szCs w:val="28"/>
        </w:rPr>
      </w:pPr>
      <w:r w:rsidRPr="00F10DCA">
        <w:rPr>
          <w:rFonts w:cstheme="minorHAnsi"/>
          <w:sz w:val="28"/>
          <w:szCs w:val="28"/>
        </w:rPr>
        <w:t xml:space="preserve"> </w:t>
      </w:r>
      <w:r w:rsidR="00C02C3A" w:rsidRPr="00F10DCA">
        <w:rPr>
          <w:rFonts w:cstheme="minorHAnsi"/>
          <w:sz w:val="28"/>
          <w:szCs w:val="28"/>
          <w:lang w:val="en-US"/>
        </w:rPr>
        <w:t>The principles of Equity and Access, based on professional assessment and prioritised need - applies equally to people who have or are in prison as to any other person.</w:t>
      </w:r>
    </w:p>
    <w:p w14:paraId="7608732D" w14:textId="77777777" w:rsidR="00906336" w:rsidRPr="00F10DCA" w:rsidRDefault="00906336" w:rsidP="00F10DCA">
      <w:pPr>
        <w:keepNext/>
        <w:keepLines/>
        <w:spacing w:before="240" w:after="0" w:line="240" w:lineRule="auto"/>
        <w:ind w:left="426"/>
        <w:outlineLvl w:val="0"/>
        <w:rPr>
          <w:rFonts w:eastAsia="Times New Roman" w:cstheme="minorHAnsi"/>
          <w:b/>
          <w:bCs/>
          <w:sz w:val="28"/>
          <w:szCs w:val="28"/>
        </w:rPr>
      </w:pPr>
    </w:p>
    <w:p w14:paraId="69EE2D57" w14:textId="20CF80EC" w:rsidR="009929CA" w:rsidRPr="00A82076" w:rsidRDefault="00AB17F5" w:rsidP="00F10DCA">
      <w:pPr>
        <w:keepNext/>
        <w:keepLines/>
        <w:spacing w:before="240" w:after="0" w:line="240" w:lineRule="auto"/>
        <w:outlineLvl w:val="0"/>
        <w:rPr>
          <w:rFonts w:eastAsia="Times New Roman" w:cstheme="minorHAnsi"/>
          <w:b/>
          <w:bCs/>
          <w:sz w:val="32"/>
          <w:szCs w:val="32"/>
        </w:rPr>
      </w:pPr>
      <w:r w:rsidRPr="00A82076">
        <w:rPr>
          <w:rFonts w:eastAsia="Times New Roman" w:cstheme="minorHAnsi"/>
          <w:b/>
          <w:bCs/>
          <w:sz w:val="32"/>
          <w:szCs w:val="32"/>
        </w:rPr>
        <w:t>2.</w:t>
      </w:r>
      <w:r w:rsidRPr="00A82076">
        <w:rPr>
          <w:rFonts w:eastAsia="Times New Roman" w:cstheme="minorHAnsi"/>
          <w:b/>
          <w:bCs/>
          <w:sz w:val="32"/>
          <w:szCs w:val="32"/>
        </w:rPr>
        <w:tab/>
      </w:r>
      <w:r w:rsidR="009929CA" w:rsidRPr="00A82076">
        <w:rPr>
          <w:rFonts w:eastAsia="Times New Roman" w:cstheme="minorHAnsi"/>
          <w:b/>
          <w:bCs/>
          <w:sz w:val="32"/>
          <w:szCs w:val="32"/>
          <w:u w:val="single"/>
        </w:rPr>
        <w:t>Mental Health Act</w:t>
      </w:r>
      <w:bookmarkEnd w:id="0"/>
      <w:r w:rsidR="009929CA" w:rsidRPr="00A82076">
        <w:rPr>
          <w:rFonts w:eastAsia="Times New Roman" w:cstheme="minorHAnsi"/>
          <w:b/>
          <w:bCs/>
          <w:sz w:val="32"/>
          <w:szCs w:val="32"/>
        </w:rPr>
        <w:t xml:space="preserve"> </w:t>
      </w:r>
    </w:p>
    <w:p w14:paraId="714E541F" w14:textId="77777777" w:rsidR="009929CA" w:rsidRPr="00F10DCA" w:rsidRDefault="009929CA" w:rsidP="00F10DCA">
      <w:pPr>
        <w:spacing w:after="0" w:line="240" w:lineRule="auto"/>
        <w:rPr>
          <w:rFonts w:cstheme="minorHAnsi"/>
          <w:sz w:val="28"/>
          <w:szCs w:val="28"/>
        </w:rPr>
      </w:pPr>
    </w:p>
    <w:p w14:paraId="64FE0A38" w14:textId="0CEFAEE8" w:rsidR="009929CA" w:rsidRPr="00F10DCA" w:rsidRDefault="009929CA"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The Mental Health Act 2001 provides for the care of people with mental illness, including involuntary detention, an Inspector of Mental Health Services, patient safeguards and Mental Health Commission (MHC) tribunals. A 2015 Government decision called for draft heads to amend the Act, in line with </w:t>
      </w:r>
      <w:r w:rsidR="00506987">
        <w:rPr>
          <w:rFonts w:cstheme="minorHAnsi"/>
          <w:sz w:val="28"/>
          <w:szCs w:val="28"/>
        </w:rPr>
        <w:t xml:space="preserve">the </w:t>
      </w:r>
      <w:r w:rsidRPr="00F10DCA">
        <w:rPr>
          <w:rFonts w:cstheme="minorHAnsi"/>
          <w:sz w:val="28"/>
          <w:szCs w:val="28"/>
        </w:rPr>
        <w:t>Expert Group Review (EGR) recommendations.</w:t>
      </w:r>
    </w:p>
    <w:p w14:paraId="00DAE1FC" w14:textId="77777777" w:rsidR="009929CA" w:rsidRPr="00F10DCA" w:rsidRDefault="009929CA" w:rsidP="00F10DCA">
      <w:pPr>
        <w:spacing w:after="0" w:line="240" w:lineRule="auto"/>
        <w:ind w:left="426"/>
        <w:rPr>
          <w:rFonts w:cstheme="minorHAnsi"/>
          <w:sz w:val="28"/>
          <w:szCs w:val="28"/>
        </w:rPr>
      </w:pPr>
    </w:p>
    <w:p w14:paraId="681C39A4" w14:textId="38CE837E" w:rsidR="009929CA" w:rsidRPr="00F10DCA" w:rsidRDefault="009929CA" w:rsidP="00F10DCA">
      <w:pPr>
        <w:numPr>
          <w:ilvl w:val="0"/>
          <w:numId w:val="1"/>
        </w:numPr>
        <w:autoSpaceDE w:val="0"/>
        <w:autoSpaceDN w:val="0"/>
        <w:spacing w:after="0" w:line="240" w:lineRule="auto"/>
        <w:ind w:left="425" w:hanging="357"/>
        <w:contextualSpacing/>
        <w:rPr>
          <w:rFonts w:cstheme="minorHAnsi"/>
          <w:b/>
          <w:bCs/>
          <w:sz w:val="28"/>
          <w:szCs w:val="28"/>
        </w:rPr>
      </w:pPr>
      <w:r w:rsidRPr="00F10DCA">
        <w:rPr>
          <w:rFonts w:cstheme="minorHAnsi"/>
          <w:sz w:val="28"/>
          <w:szCs w:val="28"/>
        </w:rPr>
        <w:t xml:space="preserve">EGR </w:t>
      </w:r>
      <w:r w:rsidR="001E3D4A" w:rsidRPr="00F10DCA">
        <w:rPr>
          <w:rFonts w:cstheme="minorHAnsi"/>
          <w:sz w:val="28"/>
          <w:szCs w:val="28"/>
        </w:rPr>
        <w:t xml:space="preserve">recommendations </w:t>
      </w:r>
      <w:r w:rsidRPr="00F10DCA">
        <w:rPr>
          <w:rFonts w:cstheme="minorHAnsi"/>
          <w:sz w:val="28"/>
          <w:szCs w:val="28"/>
        </w:rPr>
        <w:t>include revised detention criteria,</w:t>
      </w:r>
      <w:r w:rsidR="001E3D4A" w:rsidRPr="00F10DCA">
        <w:rPr>
          <w:rFonts w:cstheme="minorHAnsi"/>
          <w:sz w:val="28"/>
          <w:szCs w:val="28"/>
        </w:rPr>
        <w:t xml:space="preserve"> new</w:t>
      </w:r>
      <w:r w:rsidRPr="00F10DCA">
        <w:rPr>
          <w:rFonts w:cstheme="minorHAnsi"/>
          <w:sz w:val="28"/>
          <w:szCs w:val="28"/>
        </w:rPr>
        <w:t xml:space="preserve"> definitions of mental illness and voluntary and involuntary patients, </w:t>
      </w:r>
      <w:r w:rsidR="001E3D4A" w:rsidRPr="00F10DCA">
        <w:rPr>
          <w:rFonts w:cstheme="minorHAnsi"/>
          <w:sz w:val="28"/>
          <w:szCs w:val="28"/>
        </w:rPr>
        <w:t xml:space="preserve">the introduction of </w:t>
      </w:r>
      <w:r w:rsidRPr="00F10DCA">
        <w:rPr>
          <w:rFonts w:cstheme="minorHAnsi"/>
          <w:sz w:val="28"/>
          <w:szCs w:val="28"/>
        </w:rPr>
        <w:t xml:space="preserve">guiding principles, statutory individual care plans, a greater role for Authorised Officers in involuntary admissions, improved patient safeguards and shorter intervals for tribunals. EGR also </w:t>
      </w:r>
      <w:r w:rsidR="001E3D4A" w:rsidRPr="00F10DCA">
        <w:rPr>
          <w:rFonts w:cstheme="minorHAnsi"/>
          <w:sz w:val="28"/>
          <w:szCs w:val="28"/>
        </w:rPr>
        <w:t xml:space="preserve">recommended </w:t>
      </w:r>
      <w:r w:rsidRPr="00F10DCA">
        <w:rPr>
          <w:rFonts w:cstheme="minorHAnsi"/>
          <w:sz w:val="28"/>
          <w:szCs w:val="28"/>
        </w:rPr>
        <w:t xml:space="preserve">the presumption </w:t>
      </w:r>
      <w:r w:rsidR="001E3D4A" w:rsidRPr="00F10DCA">
        <w:rPr>
          <w:rFonts w:cstheme="minorHAnsi"/>
          <w:sz w:val="28"/>
          <w:szCs w:val="28"/>
        </w:rPr>
        <w:t xml:space="preserve">of capacity to consent to admission and treatment for all </w:t>
      </w:r>
      <w:r w:rsidRPr="00F10DCA">
        <w:rPr>
          <w:rFonts w:cstheme="minorHAnsi"/>
          <w:sz w:val="28"/>
          <w:szCs w:val="28"/>
        </w:rPr>
        <w:lastRenderedPageBreak/>
        <w:t xml:space="preserve">children over  and </w:t>
      </w:r>
      <w:r w:rsidR="001E3D4A" w:rsidRPr="00F10DCA">
        <w:rPr>
          <w:rFonts w:cstheme="minorHAnsi"/>
          <w:sz w:val="28"/>
          <w:szCs w:val="28"/>
        </w:rPr>
        <w:t xml:space="preserve">the introduction of </w:t>
      </w:r>
      <w:r w:rsidRPr="00F10DCA">
        <w:rPr>
          <w:rFonts w:cstheme="minorHAnsi"/>
          <w:sz w:val="28"/>
          <w:szCs w:val="28"/>
        </w:rPr>
        <w:t>guiding principles for the care of children.</w:t>
      </w:r>
    </w:p>
    <w:p w14:paraId="1DDC3228" w14:textId="77777777" w:rsidR="009929CA" w:rsidRPr="00F10DCA" w:rsidRDefault="009929CA" w:rsidP="00F10DCA">
      <w:pPr>
        <w:autoSpaceDE w:val="0"/>
        <w:autoSpaceDN w:val="0"/>
        <w:adjustRightInd w:val="0"/>
        <w:spacing w:after="0" w:line="240" w:lineRule="auto"/>
        <w:ind w:left="426"/>
        <w:rPr>
          <w:rFonts w:cstheme="minorHAnsi"/>
          <w:b/>
          <w:bCs/>
          <w:sz w:val="28"/>
          <w:szCs w:val="28"/>
        </w:rPr>
      </w:pPr>
    </w:p>
    <w:p w14:paraId="237CE4DA" w14:textId="6215A91C" w:rsidR="009929CA" w:rsidRPr="00F10DCA" w:rsidRDefault="009929CA" w:rsidP="00F10DCA">
      <w:pPr>
        <w:numPr>
          <w:ilvl w:val="0"/>
          <w:numId w:val="1"/>
        </w:numPr>
        <w:autoSpaceDE w:val="0"/>
        <w:autoSpaceDN w:val="0"/>
        <w:spacing w:after="0" w:line="240" w:lineRule="auto"/>
        <w:ind w:left="426"/>
        <w:contextualSpacing/>
        <w:rPr>
          <w:rFonts w:cstheme="minorHAnsi"/>
          <w:sz w:val="28"/>
          <w:szCs w:val="28"/>
        </w:rPr>
      </w:pPr>
      <w:r w:rsidRPr="00F10DCA">
        <w:rPr>
          <w:rFonts w:eastAsia="Times New Roman" w:cstheme="minorHAnsi"/>
          <w:sz w:val="28"/>
          <w:szCs w:val="28"/>
          <w:lang w:eastAsia="en-IE"/>
        </w:rPr>
        <w:t xml:space="preserve">The Mental Health (Amendment) Act 2018 </w:t>
      </w:r>
      <w:r w:rsidR="001E3D4A" w:rsidRPr="00F10DCA">
        <w:rPr>
          <w:rFonts w:eastAsia="Times New Roman" w:cstheme="minorHAnsi"/>
          <w:sz w:val="28"/>
          <w:szCs w:val="28"/>
          <w:lang w:eastAsia="en-IE"/>
        </w:rPr>
        <w:t xml:space="preserve">amended </w:t>
      </w:r>
      <w:r w:rsidRPr="00F10DCA">
        <w:rPr>
          <w:rFonts w:eastAsia="Times New Roman" w:cstheme="minorHAnsi"/>
          <w:sz w:val="28"/>
          <w:szCs w:val="28"/>
          <w:lang w:eastAsia="en-IE"/>
        </w:rPr>
        <w:t xml:space="preserve">the </w:t>
      </w:r>
      <w:r w:rsidR="001E3D4A" w:rsidRPr="00F10DCA">
        <w:rPr>
          <w:rFonts w:eastAsia="Times New Roman" w:cstheme="minorHAnsi"/>
          <w:sz w:val="28"/>
          <w:szCs w:val="28"/>
          <w:lang w:eastAsia="en-IE"/>
        </w:rPr>
        <w:t xml:space="preserve">Mental Health </w:t>
      </w:r>
      <w:r w:rsidRPr="00F10DCA">
        <w:rPr>
          <w:rFonts w:eastAsia="Times New Roman" w:cstheme="minorHAnsi"/>
          <w:sz w:val="28"/>
          <w:szCs w:val="28"/>
          <w:lang w:eastAsia="en-IE"/>
        </w:rPr>
        <w:t>Act</w:t>
      </w:r>
      <w:r w:rsidR="001E3D4A" w:rsidRPr="00F10DCA">
        <w:rPr>
          <w:rFonts w:eastAsia="Times New Roman" w:cstheme="minorHAnsi"/>
          <w:sz w:val="28"/>
          <w:szCs w:val="28"/>
          <w:lang w:eastAsia="en-IE"/>
        </w:rPr>
        <w:t>, changing</w:t>
      </w:r>
      <w:r w:rsidRPr="00F10DCA">
        <w:rPr>
          <w:rFonts w:eastAsia="Times New Roman" w:cstheme="minorHAnsi"/>
          <w:sz w:val="28"/>
          <w:szCs w:val="28"/>
          <w:lang w:eastAsia="en-IE"/>
        </w:rPr>
        <w:t xml:space="preserve"> the definition of voluntary patient and the </w:t>
      </w:r>
      <w:r w:rsidR="001E3D4A" w:rsidRPr="00F10DCA">
        <w:rPr>
          <w:rFonts w:eastAsia="Times New Roman" w:cstheme="minorHAnsi"/>
          <w:sz w:val="28"/>
          <w:szCs w:val="28"/>
          <w:lang w:eastAsia="en-IE"/>
        </w:rPr>
        <w:t>‘</w:t>
      </w:r>
      <w:r w:rsidRPr="00F10DCA">
        <w:rPr>
          <w:rFonts w:eastAsia="Times New Roman" w:cstheme="minorHAnsi"/>
          <w:sz w:val="28"/>
          <w:szCs w:val="28"/>
          <w:lang w:eastAsia="en-IE"/>
        </w:rPr>
        <w:t>best interests</w:t>
      </w:r>
      <w:r w:rsidR="001E3D4A" w:rsidRPr="00F10DCA">
        <w:rPr>
          <w:rFonts w:eastAsia="Times New Roman" w:cstheme="minorHAnsi"/>
          <w:sz w:val="28"/>
          <w:szCs w:val="28"/>
          <w:lang w:eastAsia="en-IE"/>
        </w:rPr>
        <w:t>’</w:t>
      </w:r>
      <w:r w:rsidRPr="00F10DCA">
        <w:rPr>
          <w:rFonts w:eastAsia="Times New Roman" w:cstheme="minorHAnsi"/>
          <w:sz w:val="28"/>
          <w:szCs w:val="28"/>
          <w:lang w:eastAsia="en-IE"/>
        </w:rPr>
        <w:t xml:space="preserve"> principle with </w:t>
      </w:r>
      <w:r w:rsidR="001E3D4A" w:rsidRPr="00F10DCA">
        <w:rPr>
          <w:rFonts w:eastAsia="Times New Roman" w:cstheme="minorHAnsi"/>
          <w:sz w:val="28"/>
          <w:szCs w:val="28"/>
          <w:lang w:eastAsia="en-IE"/>
        </w:rPr>
        <w:t xml:space="preserve">a set of guiding </w:t>
      </w:r>
      <w:r w:rsidRPr="00F10DCA">
        <w:rPr>
          <w:rFonts w:eastAsia="Times New Roman" w:cstheme="minorHAnsi"/>
          <w:sz w:val="28"/>
          <w:szCs w:val="28"/>
          <w:lang w:eastAsia="en-IE"/>
        </w:rPr>
        <w:t>principles that support individuals to make decisions</w:t>
      </w:r>
      <w:r w:rsidR="001E3D4A" w:rsidRPr="00F10DCA">
        <w:rPr>
          <w:rFonts w:eastAsia="Times New Roman" w:cstheme="minorHAnsi"/>
          <w:sz w:val="28"/>
          <w:szCs w:val="28"/>
          <w:lang w:eastAsia="en-IE"/>
        </w:rPr>
        <w:t xml:space="preserve"> and which reference capacity in relation to the Assisted Decision-Making (Capacity) Act 2015</w:t>
      </w:r>
      <w:r w:rsidRPr="00F10DCA">
        <w:rPr>
          <w:rFonts w:eastAsia="Times New Roman" w:cstheme="minorHAnsi"/>
          <w:sz w:val="28"/>
          <w:szCs w:val="28"/>
          <w:lang w:eastAsia="en-IE"/>
        </w:rPr>
        <w:t xml:space="preserve">. It </w:t>
      </w:r>
      <w:r w:rsidR="001E3D4A" w:rsidRPr="00F10DCA">
        <w:rPr>
          <w:rFonts w:eastAsia="Times New Roman" w:cstheme="minorHAnsi"/>
          <w:sz w:val="28"/>
          <w:szCs w:val="28"/>
          <w:lang w:eastAsia="en-IE"/>
        </w:rPr>
        <w:t xml:space="preserve">also introduced </w:t>
      </w:r>
      <w:r w:rsidRPr="00F10DCA">
        <w:rPr>
          <w:rFonts w:eastAsia="Times New Roman" w:cstheme="minorHAnsi"/>
          <w:sz w:val="28"/>
          <w:szCs w:val="28"/>
          <w:lang w:eastAsia="en-IE"/>
        </w:rPr>
        <w:t xml:space="preserve">guiding principles for children. The 2018 Act cannot be commenced until further legislative changes are made and the Decision Support Service, established under the </w:t>
      </w:r>
      <w:r w:rsidR="001E3D4A" w:rsidRPr="00F10DCA">
        <w:rPr>
          <w:rFonts w:eastAsia="Times New Roman" w:cstheme="minorHAnsi"/>
          <w:sz w:val="28"/>
          <w:szCs w:val="28"/>
          <w:lang w:eastAsia="en-IE"/>
        </w:rPr>
        <w:t>Assisted Decision-Making (</w:t>
      </w:r>
      <w:r w:rsidRPr="00F10DCA">
        <w:rPr>
          <w:rFonts w:eastAsia="Times New Roman" w:cstheme="minorHAnsi"/>
          <w:sz w:val="28"/>
          <w:szCs w:val="28"/>
          <w:lang w:eastAsia="en-IE"/>
        </w:rPr>
        <w:t>Capacity</w:t>
      </w:r>
      <w:r w:rsidR="001E3D4A" w:rsidRPr="00F10DCA">
        <w:rPr>
          <w:rFonts w:eastAsia="Times New Roman" w:cstheme="minorHAnsi"/>
          <w:sz w:val="28"/>
          <w:szCs w:val="28"/>
          <w:lang w:eastAsia="en-IE"/>
        </w:rPr>
        <w:t>)</w:t>
      </w:r>
      <w:r w:rsidRPr="00F10DCA">
        <w:rPr>
          <w:rFonts w:eastAsia="Times New Roman" w:cstheme="minorHAnsi"/>
          <w:sz w:val="28"/>
          <w:szCs w:val="28"/>
          <w:lang w:eastAsia="en-IE"/>
        </w:rPr>
        <w:t xml:space="preserve"> Act, is operational. </w:t>
      </w:r>
      <w:r w:rsidR="001E3D4A" w:rsidRPr="00F10DCA">
        <w:rPr>
          <w:rFonts w:eastAsia="Times New Roman" w:cstheme="minorHAnsi"/>
          <w:sz w:val="28"/>
          <w:szCs w:val="28"/>
          <w:lang w:eastAsia="en-IE"/>
        </w:rPr>
        <w:t>The Department has taken the provisions of the 2018 Act into consideration in the review of the Mental Health Act.</w:t>
      </w:r>
    </w:p>
    <w:p w14:paraId="09643B24" w14:textId="77777777" w:rsidR="009929CA" w:rsidRPr="00F10DCA" w:rsidRDefault="009929CA" w:rsidP="00F10DCA">
      <w:pPr>
        <w:spacing w:after="0" w:line="240" w:lineRule="auto"/>
        <w:ind w:left="426"/>
        <w:contextualSpacing/>
        <w:rPr>
          <w:rFonts w:cstheme="minorHAnsi"/>
          <w:sz w:val="28"/>
          <w:szCs w:val="28"/>
        </w:rPr>
      </w:pPr>
    </w:p>
    <w:p w14:paraId="653D938A" w14:textId="0F0FDD43" w:rsidR="009929CA" w:rsidRPr="00F10DCA" w:rsidRDefault="001E3D4A"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The Department provided a first copy of the d</w:t>
      </w:r>
      <w:r w:rsidR="009929CA" w:rsidRPr="00F10DCA">
        <w:rPr>
          <w:rFonts w:cstheme="minorHAnsi"/>
          <w:sz w:val="28"/>
          <w:szCs w:val="28"/>
        </w:rPr>
        <w:t xml:space="preserve">raft heads to the MHC in </w:t>
      </w:r>
      <w:r w:rsidRPr="00F10DCA">
        <w:rPr>
          <w:rFonts w:cstheme="minorHAnsi"/>
          <w:sz w:val="28"/>
          <w:szCs w:val="28"/>
        </w:rPr>
        <w:t xml:space="preserve">July </w:t>
      </w:r>
      <w:r w:rsidR="009929CA" w:rsidRPr="00F10DCA">
        <w:rPr>
          <w:rFonts w:cstheme="minorHAnsi"/>
          <w:sz w:val="28"/>
          <w:szCs w:val="28"/>
        </w:rPr>
        <w:t>2019 and</w:t>
      </w:r>
      <w:r w:rsidRPr="00F10DCA">
        <w:rPr>
          <w:rFonts w:cstheme="minorHAnsi"/>
          <w:sz w:val="28"/>
          <w:szCs w:val="28"/>
        </w:rPr>
        <w:t xml:space="preserve"> received</w:t>
      </w:r>
      <w:r w:rsidR="009929CA" w:rsidRPr="00F10DCA">
        <w:rPr>
          <w:rFonts w:cstheme="minorHAnsi"/>
          <w:sz w:val="28"/>
          <w:szCs w:val="28"/>
        </w:rPr>
        <w:t xml:space="preserve"> its </w:t>
      </w:r>
      <w:r w:rsidRPr="00F10DCA">
        <w:rPr>
          <w:rFonts w:cstheme="minorHAnsi"/>
          <w:sz w:val="28"/>
          <w:szCs w:val="28"/>
        </w:rPr>
        <w:t xml:space="preserve">comprehensive </w:t>
      </w:r>
      <w:r w:rsidR="009929CA" w:rsidRPr="00F10DCA">
        <w:rPr>
          <w:rFonts w:cstheme="minorHAnsi"/>
          <w:sz w:val="28"/>
          <w:szCs w:val="28"/>
        </w:rPr>
        <w:t xml:space="preserve">submission in March 2020. </w:t>
      </w:r>
      <w:r w:rsidRPr="00F10DCA">
        <w:rPr>
          <w:rFonts w:cstheme="minorHAnsi"/>
          <w:sz w:val="28"/>
          <w:szCs w:val="28"/>
        </w:rPr>
        <w:t xml:space="preserve">The Department then updated the heads in light of the Commission’s submission, and then sent a copy of the new draft heads to the HSE in August 2020. The HSE returned its last submission in late February 2021. The Department has further updated the draft heads and is </w:t>
      </w:r>
      <w:r w:rsidR="00C31B3E">
        <w:rPr>
          <w:rFonts w:cstheme="minorHAnsi"/>
          <w:sz w:val="28"/>
          <w:szCs w:val="28"/>
        </w:rPr>
        <w:t>reviewing</w:t>
      </w:r>
      <w:r w:rsidRPr="00F10DCA">
        <w:rPr>
          <w:rFonts w:cstheme="minorHAnsi"/>
          <w:sz w:val="28"/>
          <w:szCs w:val="28"/>
        </w:rPr>
        <w:t xml:space="preserve"> final input from key stakeholders, including any final comments from the MHC, the HSE and from the College of Psychiatrists. The Department has received feedback from the Ombudsman for Children</w:t>
      </w:r>
      <w:r w:rsidR="009929CA" w:rsidRPr="00F10DCA">
        <w:rPr>
          <w:rFonts w:cstheme="minorHAnsi"/>
          <w:sz w:val="28"/>
          <w:szCs w:val="28"/>
        </w:rPr>
        <w:t xml:space="preserve">. </w:t>
      </w:r>
    </w:p>
    <w:p w14:paraId="06520F92" w14:textId="77777777" w:rsidR="009929CA" w:rsidRPr="00F10DCA" w:rsidRDefault="009929CA" w:rsidP="00F10DCA">
      <w:pPr>
        <w:spacing w:after="0" w:line="240" w:lineRule="auto"/>
        <w:ind w:left="720"/>
        <w:contextualSpacing/>
        <w:rPr>
          <w:rFonts w:cstheme="minorHAnsi"/>
          <w:sz w:val="28"/>
          <w:szCs w:val="28"/>
        </w:rPr>
      </w:pPr>
    </w:p>
    <w:p w14:paraId="152BFFE0" w14:textId="519AF79A" w:rsidR="009929CA" w:rsidRPr="00F10DCA" w:rsidRDefault="001E3D4A"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A public consultation was launched on 1 March 2021 on the review of the Act, and final submissions were received on 9 April 2021. This consultation was launched to complement the original public consultation that took place in the context of the Expert Group. 100 submissions were received in the recent public consultation and the Department is currently reviewing these submissions. A legal review of the draft heads is also ongoing.</w:t>
      </w:r>
    </w:p>
    <w:p w14:paraId="5403F1D1" w14:textId="77777777" w:rsidR="009929CA" w:rsidRPr="00F10DCA" w:rsidRDefault="009929CA" w:rsidP="00F10DCA">
      <w:pPr>
        <w:spacing w:after="0" w:line="240" w:lineRule="auto"/>
        <w:ind w:left="720"/>
        <w:contextualSpacing/>
        <w:rPr>
          <w:rFonts w:cstheme="minorHAnsi"/>
          <w:sz w:val="28"/>
          <w:szCs w:val="28"/>
        </w:rPr>
      </w:pPr>
    </w:p>
    <w:p w14:paraId="3660B6AB" w14:textId="19A1A734" w:rsidR="009929CA" w:rsidRPr="00F10DCA" w:rsidRDefault="001E3D4A"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The final version of the draft heads is now being drafted and takes into account the recommendations of the Expert Group, relevant legislation such as Mental Health (Amendment) Act 2018 and the Assisted Decision-Making (Capacity) Act 2015, Private Members’ Bills, the results of the public consultation, and the input of key stakeholders, including the MHC and the HSE.</w:t>
      </w:r>
    </w:p>
    <w:p w14:paraId="1346B8F6" w14:textId="6EA80EAE" w:rsidR="001E3D4A" w:rsidRDefault="001E3D4A" w:rsidP="00F10DCA">
      <w:pPr>
        <w:pStyle w:val="ListParagraph"/>
        <w:spacing w:line="240" w:lineRule="auto"/>
        <w:rPr>
          <w:rFonts w:cstheme="minorHAnsi"/>
          <w:sz w:val="28"/>
          <w:szCs w:val="28"/>
        </w:rPr>
      </w:pPr>
    </w:p>
    <w:p w14:paraId="40482405" w14:textId="77777777" w:rsidR="00C31B3E" w:rsidRPr="00F10DCA" w:rsidRDefault="00C31B3E" w:rsidP="00F10DCA">
      <w:pPr>
        <w:pStyle w:val="ListParagraph"/>
        <w:spacing w:line="240" w:lineRule="auto"/>
        <w:rPr>
          <w:rFonts w:cstheme="minorHAnsi"/>
          <w:sz w:val="28"/>
          <w:szCs w:val="28"/>
        </w:rPr>
      </w:pPr>
    </w:p>
    <w:p w14:paraId="5D6C9E74" w14:textId="33E6A96C" w:rsidR="00CC2B37" w:rsidRPr="00F10DCA" w:rsidRDefault="001E3D4A" w:rsidP="00F10DCA">
      <w:pPr>
        <w:spacing w:after="0" w:line="240" w:lineRule="auto"/>
        <w:rPr>
          <w:rFonts w:cstheme="minorHAnsi"/>
          <w:sz w:val="28"/>
          <w:szCs w:val="28"/>
        </w:rPr>
      </w:pPr>
      <w:r w:rsidRPr="00F10DCA">
        <w:rPr>
          <w:rFonts w:cstheme="minorHAnsi"/>
          <w:sz w:val="28"/>
          <w:szCs w:val="28"/>
        </w:rPr>
        <w:lastRenderedPageBreak/>
        <w:t>The Department sent a version of the draft heads to the Department of Justice and the Department of Children, Equality, Disability, Integration and Youth in March 2021 and is awaiting feedback from these Departments</w:t>
      </w:r>
      <w:r w:rsidR="00C31B3E">
        <w:rPr>
          <w:rFonts w:cstheme="minorHAnsi"/>
          <w:sz w:val="28"/>
          <w:szCs w:val="28"/>
        </w:rPr>
        <w:t>. F</w:t>
      </w:r>
      <w:r w:rsidRPr="00F10DCA">
        <w:rPr>
          <w:rFonts w:cstheme="minorHAnsi"/>
          <w:sz w:val="28"/>
          <w:szCs w:val="28"/>
        </w:rPr>
        <w:t>ollowing receipt of this feedback, as well as feedback awaited from other key stakeholders, the Department expects to seek Government approval of the draft heads before the Dáil summer recess</w:t>
      </w:r>
      <w:r w:rsidR="00024778" w:rsidRPr="00F10DCA">
        <w:rPr>
          <w:rFonts w:cstheme="minorHAnsi"/>
          <w:sz w:val="28"/>
          <w:szCs w:val="28"/>
        </w:rPr>
        <w:t>.</w:t>
      </w:r>
    </w:p>
    <w:p w14:paraId="6142304F" w14:textId="77777777" w:rsidR="00CC2B37" w:rsidRPr="00F10DCA" w:rsidRDefault="00CC2B37" w:rsidP="00F10DCA">
      <w:pPr>
        <w:spacing w:after="0" w:line="240" w:lineRule="auto"/>
        <w:rPr>
          <w:rFonts w:cstheme="minorHAnsi"/>
          <w:sz w:val="28"/>
          <w:szCs w:val="28"/>
        </w:rPr>
      </w:pPr>
    </w:p>
    <w:p w14:paraId="05B3998D" w14:textId="77777777" w:rsidR="00A82076" w:rsidRDefault="00A82076" w:rsidP="00A82076">
      <w:pPr>
        <w:spacing w:after="0" w:line="240" w:lineRule="auto"/>
        <w:rPr>
          <w:rFonts w:eastAsiaTheme="majorEastAsia" w:cstheme="minorHAnsi"/>
          <w:b/>
          <w:bCs/>
          <w:sz w:val="28"/>
          <w:szCs w:val="28"/>
        </w:rPr>
      </w:pPr>
    </w:p>
    <w:p w14:paraId="0624B435" w14:textId="00CE4ED9" w:rsidR="007F6F6B" w:rsidRPr="00F10DCA" w:rsidRDefault="008451FF"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 xml:space="preserve">Definitions </w:t>
      </w:r>
    </w:p>
    <w:p w14:paraId="31DF1525" w14:textId="77777777" w:rsidR="007F6F6B" w:rsidRPr="00F10DCA" w:rsidRDefault="007F6F6B" w:rsidP="00A82076">
      <w:pPr>
        <w:numPr>
          <w:ilvl w:val="0"/>
          <w:numId w:val="18"/>
        </w:numPr>
        <w:spacing w:after="0" w:line="240" w:lineRule="auto"/>
        <w:ind w:left="0" w:firstLine="0"/>
        <w:contextualSpacing/>
        <w:rPr>
          <w:rFonts w:eastAsia="Times New Roman" w:cstheme="minorHAnsi"/>
          <w:sz w:val="28"/>
          <w:szCs w:val="28"/>
          <w:lang w:eastAsia="en-IE"/>
        </w:rPr>
      </w:pPr>
      <w:r w:rsidRPr="00F10DCA">
        <w:rPr>
          <w:rFonts w:eastAsiaTheme="minorEastAsia" w:cstheme="minorHAnsi"/>
          <w:kern w:val="24"/>
          <w:sz w:val="28"/>
          <w:szCs w:val="28"/>
          <w:lang w:eastAsia="en-IE"/>
        </w:rPr>
        <w:t>Mental disorder to be replaced with mental illness definition:</w:t>
      </w:r>
      <w:r w:rsidRPr="00F10DCA">
        <w:rPr>
          <w:rFonts w:eastAsiaTheme="minorEastAsia" w:cstheme="minorHAnsi"/>
          <w:kern w:val="24"/>
          <w:sz w:val="28"/>
          <w:szCs w:val="28"/>
          <w:lang w:eastAsia="en-IE"/>
        </w:rPr>
        <w:br/>
        <w:t>“a condition where the state of mind of a person affects the person's thinking, perceiving, emotion or judgement and impairs the mental function of the person.”</w:t>
      </w:r>
    </w:p>
    <w:p w14:paraId="563AE9CF" w14:textId="77777777" w:rsidR="007F6F6B" w:rsidRPr="00F10DCA" w:rsidRDefault="007F6F6B" w:rsidP="00AC3559">
      <w:pPr>
        <w:numPr>
          <w:ilvl w:val="0"/>
          <w:numId w:val="18"/>
        </w:numPr>
        <w:spacing w:after="0" w:line="240" w:lineRule="auto"/>
        <w:ind w:left="1440" w:hanging="1440"/>
        <w:contextualSpacing/>
        <w:rPr>
          <w:rFonts w:eastAsia="Times New Roman" w:cstheme="minorHAnsi"/>
          <w:sz w:val="28"/>
          <w:szCs w:val="28"/>
          <w:lang w:eastAsia="en-IE"/>
        </w:rPr>
      </w:pPr>
      <w:r w:rsidRPr="00F10DCA">
        <w:rPr>
          <w:rFonts w:eastAsiaTheme="minorEastAsia" w:cstheme="minorHAnsi"/>
          <w:kern w:val="24"/>
          <w:sz w:val="28"/>
          <w:szCs w:val="28"/>
          <w:lang w:eastAsia="en-IE"/>
        </w:rPr>
        <w:t>‘Approved centres’ to be renamed ‘approved inpatient facilities.’</w:t>
      </w:r>
    </w:p>
    <w:p w14:paraId="2D287AF9" w14:textId="77777777" w:rsidR="007F6F6B" w:rsidRPr="00F10DCA" w:rsidRDefault="007F6F6B" w:rsidP="00AC3559">
      <w:pPr>
        <w:numPr>
          <w:ilvl w:val="0"/>
          <w:numId w:val="18"/>
        </w:numPr>
        <w:spacing w:after="0" w:line="240" w:lineRule="auto"/>
        <w:ind w:left="1440" w:hanging="1440"/>
        <w:contextualSpacing/>
        <w:rPr>
          <w:rFonts w:eastAsia="Times New Roman" w:cstheme="minorHAnsi"/>
          <w:sz w:val="28"/>
          <w:szCs w:val="28"/>
          <w:lang w:eastAsia="en-IE"/>
        </w:rPr>
      </w:pPr>
      <w:r w:rsidRPr="00F10DCA">
        <w:rPr>
          <w:rFonts w:eastAsiaTheme="minorEastAsia" w:cstheme="minorHAnsi"/>
          <w:kern w:val="24"/>
          <w:sz w:val="28"/>
          <w:szCs w:val="28"/>
          <w:lang w:eastAsia="en-IE"/>
        </w:rPr>
        <w:t>‘Patient’ to be replaced with ‘person.’</w:t>
      </w:r>
    </w:p>
    <w:p w14:paraId="3349CA58" w14:textId="77777777" w:rsidR="00AC3559" w:rsidRPr="00AC3559" w:rsidRDefault="007F6F6B" w:rsidP="00AC3559">
      <w:pPr>
        <w:numPr>
          <w:ilvl w:val="0"/>
          <w:numId w:val="18"/>
        </w:numPr>
        <w:spacing w:after="0" w:line="240" w:lineRule="auto"/>
        <w:ind w:left="1440" w:hanging="1440"/>
        <w:contextualSpacing/>
        <w:rPr>
          <w:rFonts w:eastAsia="Times New Roman" w:cstheme="minorHAnsi"/>
          <w:sz w:val="28"/>
          <w:szCs w:val="28"/>
          <w:lang w:eastAsia="en-IE"/>
        </w:rPr>
      </w:pPr>
      <w:r w:rsidRPr="00F10DCA">
        <w:rPr>
          <w:rFonts w:eastAsiaTheme="minorEastAsia" w:cstheme="minorHAnsi"/>
          <w:kern w:val="24"/>
          <w:sz w:val="28"/>
          <w:szCs w:val="28"/>
          <w:lang w:eastAsia="en-IE"/>
        </w:rPr>
        <w:t>‘Intermediate person’ to be defined as:</w:t>
      </w:r>
    </w:p>
    <w:p w14:paraId="050274F5" w14:textId="72F4C581" w:rsidR="007F6F6B" w:rsidRPr="00F10DCA" w:rsidRDefault="007F6F6B" w:rsidP="00AC3559">
      <w:pPr>
        <w:numPr>
          <w:ilvl w:val="0"/>
          <w:numId w:val="18"/>
        </w:numPr>
        <w:spacing w:after="0" w:line="240" w:lineRule="auto"/>
        <w:ind w:left="709" w:hanging="709"/>
        <w:contextualSpacing/>
        <w:rPr>
          <w:rFonts w:eastAsia="Times New Roman" w:cstheme="minorHAnsi"/>
          <w:sz w:val="28"/>
          <w:szCs w:val="28"/>
          <w:lang w:eastAsia="en-IE"/>
        </w:rPr>
      </w:pPr>
      <w:r w:rsidRPr="00F10DCA">
        <w:rPr>
          <w:rFonts w:eastAsiaTheme="minorEastAsia" w:cstheme="minorHAnsi"/>
          <w:kern w:val="24"/>
          <w:sz w:val="28"/>
          <w:szCs w:val="28"/>
          <w:lang w:eastAsia="en-IE"/>
        </w:rPr>
        <w:t>““intermediate person” means a person (other than a child) who lacks capacity (within the meaning of section 3 of the Act of 2015) and does not meet the criteria for involuntary detention in section 8, but requires treatment in an approved inpatient facility.”</w:t>
      </w:r>
    </w:p>
    <w:p w14:paraId="37C76159" w14:textId="77777777" w:rsidR="007F6F6B" w:rsidRPr="00F10DCA" w:rsidRDefault="007F6F6B" w:rsidP="00F10DCA">
      <w:pPr>
        <w:spacing w:after="0" w:line="240" w:lineRule="auto"/>
        <w:rPr>
          <w:rFonts w:eastAsiaTheme="majorEastAsia" w:cstheme="minorHAnsi"/>
          <w:b/>
          <w:bCs/>
          <w:sz w:val="28"/>
          <w:szCs w:val="28"/>
        </w:rPr>
      </w:pPr>
    </w:p>
    <w:p w14:paraId="465AFE42" w14:textId="4250D670" w:rsidR="008451FF" w:rsidRPr="00760539" w:rsidRDefault="008451FF" w:rsidP="00F10DCA">
      <w:pPr>
        <w:pStyle w:val="NormalWeb"/>
        <w:spacing w:before="200" w:beforeAutospacing="0" w:after="0" w:afterAutospacing="0"/>
        <w:rPr>
          <w:rFonts w:asciiTheme="minorHAnsi" w:hAnsiTheme="minorHAnsi" w:cstheme="minorHAnsi"/>
          <w:b/>
          <w:bCs/>
          <w:sz w:val="28"/>
          <w:szCs w:val="28"/>
        </w:rPr>
      </w:pPr>
      <w:r w:rsidRPr="00760539">
        <w:rPr>
          <w:rFonts w:asciiTheme="minorHAnsi" w:eastAsiaTheme="minorEastAsia" w:hAnsiTheme="minorHAnsi" w:cstheme="minorHAnsi"/>
          <w:b/>
          <w:bCs/>
          <w:kern w:val="24"/>
          <w:sz w:val="28"/>
          <w:szCs w:val="28"/>
        </w:rPr>
        <w:t xml:space="preserve">Involuntary person </w:t>
      </w:r>
    </w:p>
    <w:p w14:paraId="2BD8FD09" w14:textId="77777777" w:rsidR="008451FF" w:rsidRPr="00F10DCA" w:rsidRDefault="008451FF" w:rsidP="00F10DCA">
      <w:pPr>
        <w:pStyle w:val="NormalWeb"/>
        <w:spacing w:before="200" w:beforeAutospacing="0" w:after="0" w:afterAutospacing="0"/>
        <w:rPr>
          <w:rFonts w:asciiTheme="minorHAnsi" w:hAnsiTheme="minorHAnsi" w:cstheme="minorHAnsi"/>
          <w:sz w:val="28"/>
          <w:szCs w:val="28"/>
        </w:rPr>
      </w:pPr>
      <w:r w:rsidRPr="00F10DCA">
        <w:rPr>
          <w:rFonts w:asciiTheme="minorHAnsi" w:eastAsiaTheme="minorEastAsia" w:hAnsiTheme="minorHAnsi" w:cstheme="minorHAnsi"/>
          <w:kern w:val="24"/>
          <w:sz w:val="28"/>
          <w:szCs w:val="28"/>
        </w:rPr>
        <w:t>“”involuntary person” means, in the case of an adult, a person, including both those who do and do not have capacity (within the meaning of section 3 of the Act of 2015), who fulfils the criteria for detention in section 8 and has not provided his or her consent to admission to an approved inpatient facility, or in the case of a child, a person who fulfils the criteria for detention in section 88 and is subject to an order from the Court made under section 88(6);”</w:t>
      </w:r>
    </w:p>
    <w:p w14:paraId="1FD349CC" w14:textId="77777777" w:rsidR="004F5F88" w:rsidRDefault="004F5F88" w:rsidP="00F10DCA">
      <w:pPr>
        <w:pStyle w:val="NormalWeb"/>
        <w:spacing w:before="200" w:beforeAutospacing="0" w:after="0" w:afterAutospacing="0"/>
        <w:rPr>
          <w:rFonts w:asciiTheme="minorHAnsi" w:eastAsiaTheme="minorEastAsia" w:hAnsiTheme="minorHAnsi" w:cstheme="minorHAnsi"/>
          <w:b/>
          <w:bCs/>
          <w:kern w:val="24"/>
          <w:sz w:val="28"/>
          <w:szCs w:val="28"/>
        </w:rPr>
      </w:pPr>
    </w:p>
    <w:p w14:paraId="3E701657" w14:textId="38F811E5" w:rsidR="008451FF" w:rsidRPr="004F5F88" w:rsidRDefault="008451FF" w:rsidP="00F10DCA">
      <w:pPr>
        <w:pStyle w:val="NormalWeb"/>
        <w:spacing w:before="200" w:beforeAutospacing="0" w:after="0" w:afterAutospacing="0"/>
        <w:rPr>
          <w:rFonts w:asciiTheme="minorHAnsi" w:hAnsiTheme="minorHAnsi" w:cstheme="minorHAnsi"/>
          <w:b/>
          <w:bCs/>
          <w:sz w:val="28"/>
          <w:szCs w:val="28"/>
        </w:rPr>
      </w:pPr>
      <w:r w:rsidRPr="004F5F88">
        <w:rPr>
          <w:rFonts w:asciiTheme="minorHAnsi" w:eastAsiaTheme="minorEastAsia" w:hAnsiTheme="minorHAnsi" w:cstheme="minorHAnsi"/>
          <w:b/>
          <w:bCs/>
          <w:kern w:val="24"/>
          <w:sz w:val="28"/>
          <w:szCs w:val="28"/>
        </w:rPr>
        <w:t>Treatment</w:t>
      </w:r>
    </w:p>
    <w:p w14:paraId="6D15D9CD" w14:textId="77777777" w:rsidR="008451FF" w:rsidRPr="00F10DCA" w:rsidRDefault="008451FF" w:rsidP="00F10DCA">
      <w:pPr>
        <w:pStyle w:val="NormalWeb"/>
        <w:spacing w:before="200" w:beforeAutospacing="0" w:after="0" w:afterAutospacing="0"/>
        <w:rPr>
          <w:rFonts w:asciiTheme="minorHAnsi" w:hAnsiTheme="minorHAnsi" w:cstheme="minorHAnsi"/>
          <w:sz w:val="28"/>
          <w:szCs w:val="28"/>
        </w:rPr>
      </w:pPr>
      <w:r w:rsidRPr="00F10DCA">
        <w:rPr>
          <w:rFonts w:asciiTheme="minorHAnsi" w:eastAsiaTheme="minorEastAsia" w:hAnsiTheme="minorHAnsi" w:cstheme="minorHAnsi"/>
          <w:kern w:val="24"/>
          <w:sz w:val="28"/>
          <w:szCs w:val="28"/>
        </w:rPr>
        <w:t>““treatment” in relation to a person, includes the administration of physical, psychological and other remedies relating to the care and rehabilitation of the person under medical clinical supervision, intended for the purposes of ameliorating a mental illness and to include any relevant ancillary treatment and/or tests required for the purposes of safeguarding life or ameliorating a person’s condition;”</w:t>
      </w:r>
    </w:p>
    <w:p w14:paraId="1AF6A5AC" w14:textId="77777777" w:rsidR="007F6F6B" w:rsidRPr="00F10DCA" w:rsidRDefault="007F6F6B" w:rsidP="00F10DCA">
      <w:pPr>
        <w:spacing w:after="0" w:line="240" w:lineRule="auto"/>
        <w:rPr>
          <w:rFonts w:eastAsiaTheme="majorEastAsia" w:cstheme="minorHAnsi"/>
          <w:b/>
          <w:bCs/>
          <w:sz w:val="28"/>
          <w:szCs w:val="28"/>
        </w:rPr>
      </w:pPr>
    </w:p>
    <w:p w14:paraId="7A96F054" w14:textId="6AFA8987" w:rsidR="008451FF" w:rsidRPr="00F10DCA" w:rsidRDefault="008451FF" w:rsidP="00F10DCA">
      <w:pPr>
        <w:pStyle w:val="NormalWeb"/>
        <w:spacing w:before="200" w:beforeAutospacing="0" w:after="0" w:afterAutospacing="0"/>
        <w:rPr>
          <w:rFonts w:asciiTheme="minorHAnsi" w:hAnsiTheme="minorHAnsi" w:cstheme="minorHAnsi"/>
          <w:b/>
          <w:bCs/>
          <w:sz w:val="28"/>
          <w:szCs w:val="28"/>
        </w:rPr>
      </w:pPr>
      <w:r w:rsidRPr="00F10DCA">
        <w:rPr>
          <w:rFonts w:asciiTheme="minorHAnsi" w:eastAsiaTheme="minorEastAsia" w:hAnsiTheme="minorHAnsi" w:cstheme="minorHAnsi"/>
          <w:b/>
          <w:bCs/>
          <w:kern w:val="24"/>
          <w:sz w:val="28"/>
          <w:szCs w:val="28"/>
        </w:rPr>
        <w:t xml:space="preserve">Voluntary </w:t>
      </w:r>
      <w:r w:rsidR="004F5F88">
        <w:rPr>
          <w:rFonts w:asciiTheme="minorHAnsi" w:eastAsiaTheme="minorEastAsia" w:hAnsiTheme="minorHAnsi" w:cstheme="minorHAnsi"/>
          <w:b/>
          <w:bCs/>
          <w:kern w:val="24"/>
          <w:sz w:val="28"/>
          <w:szCs w:val="28"/>
        </w:rPr>
        <w:t>person</w:t>
      </w:r>
      <w:r w:rsidRPr="00F10DCA">
        <w:rPr>
          <w:rFonts w:asciiTheme="minorHAnsi" w:eastAsiaTheme="minorEastAsia" w:hAnsiTheme="minorHAnsi" w:cstheme="minorHAnsi"/>
          <w:b/>
          <w:bCs/>
          <w:kern w:val="24"/>
          <w:sz w:val="28"/>
          <w:szCs w:val="28"/>
        </w:rPr>
        <w:t xml:space="preserve"> </w:t>
      </w:r>
    </w:p>
    <w:p w14:paraId="0B8EBE7B" w14:textId="77777777" w:rsidR="008451FF" w:rsidRPr="00F10DCA" w:rsidRDefault="008451FF" w:rsidP="00F10DCA">
      <w:pPr>
        <w:pStyle w:val="NormalWeb"/>
        <w:spacing w:before="200" w:beforeAutospacing="0" w:after="0" w:afterAutospacing="0"/>
        <w:rPr>
          <w:rFonts w:asciiTheme="minorHAnsi" w:hAnsiTheme="minorHAnsi" w:cstheme="minorHAnsi"/>
          <w:sz w:val="28"/>
          <w:szCs w:val="28"/>
        </w:rPr>
      </w:pPr>
      <w:r w:rsidRPr="00F10DCA">
        <w:rPr>
          <w:rFonts w:asciiTheme="minorHAnsi" w:eastAsia="Calibri" w:hAnsiTheme="minorHAnsi" w:cstheme="minorHAnsi"/>
          <w:kern w:val="24"/>
          <w:sz w:val="28"/>
          <w:szCs w:val="28"/>
        </w:rPr>
        <w:t xml:space="preserve">“”voluntary person” means, in the case of an adult, a person who has capacity (within the meaning of </w:t>
      </w:r>
      <w:r w:rsidRPr="00F10DCA">
        <w:rPr>
          <w:rFonts w:asciiTheme="minorHAnsi" w:eastAsia="Calibri" w:hAnsiTheme="minorHAnsi" w:cstheme="minorHAnsi"/>
          <w:i/>
          <w:iCs/>
          <w:kern w:val="24"/>
          <w:sz w:val="28"/>
          <w:szCs w:val="28"/>
        </w:rPr>
        <w:t>section 3</w:t>
      </w:r>
      <w:r w:rsidRPr="00F10DCA">
        <w:rPr>
          <w:rFonts w:asciiTheme="minorHAnsi" w:eastAsia="Calibri" w:hAnsiTheme="minorHAnsi" w:cstheme="minorHAnsi"/>
          <w:kern w:val="24"/>
          <w:sz w:val="28"/>
          <w:szCs w:val="28"/>
        </w:rPr>
        <w:t xml:space="preserve"> of the </w:t>
      </w:r>
      <w:r w:rsidRPr="00F10DCA">
        <w:rPr>
          <w:rFonts w:asciiTheme="minorHAnsi" w:eastAsia="Calibri" w:hAnsiTheme="minorHAnsi" w:cstheme="minorHAnsi"/>
          <w:i/>
          <w:iCs/>
          <w:kern w:val="24"/>
          <w:sz w:val="28"/>
          <w:szCs w:val="28"/>
        </w:rPr>
        <w:t>Act of 2015</w:t>
      </w:r>
      <w:r w:rsidRPr="00F10DCA">
        <w:rPr>
          <w:rFonts w:asciiTheme="minorHAnsi" w:eastAsia="Calibri" w:hAnsiTheme="minorHAnsi" w:cstheme="minorHAnsi"/>
          <w:kern w:val="24"/>
          <w:sz w:val="28"/>
          <w:szCs w:val="28"/>
        </w:rPr>
        <w:t>) and has been admitted to an approved inpatient facility and has given consent to his or her admission; or in the case of a child, for a child aged 16 years or older, a person who has been admitted to an approved inpatient facility and has given consent to his or her admission, or for a child under 16 years of age or a child aged 16 years or older who lacks capacity, consent to his or her admission has been given by the parents of the child, or either of them, or person or persons acting in loco parentis”</w:t>
      </w:r>
    </w:p>
    <w:p w14:paraId="0ED35770" w14:textId="77777777" w:rsidR="007F6F6B" w:rsidRPr="00F10DCA" w:rsidRDefault="007F6F6B" w:rsidP="00F10DCA">
      <w:pPr>
        <w:spacing w:after="0" w:line="240" w:lineRule="auto"/>
        <w:rPr>
          <w:rFonts w:eastAsiaTheme="majorEastAsia" w:cstheme="minorHAnsi"/>
          <w:b/>
          <w:bCs/>
          <w:sz w:val="28"/>
          <w:szCs w:val="28"/>
        </w:rPr>
      </w:pPr>
    </w:p>
    <w:p w14:paraId="04F80817" w14:textId="0CA0BDDE" w:rsidR="000124D3" w:rsidRPr="00F10DCA" w:rsidRDefault="000124D3" w:rsidP="00F10DCA">
      <w:pPr>
        <w:pStyle w:val="NormalWeb"/>
        <w:spacing w:before="200" w:beforeAutospacing="0" w:after="0" w:afterAutospacing="0"/>
        <w:rPr>
          <w:rFonts w:asciiTheme="minorHAnsi" w:hAnsiTheme="minorHAnsi" w:cstheme="minorHAnsi"/>
          <w:sz w:val="28"/>
          <w:szCs w:val="28"/>
        </w:rPr>
      </w:pPr>
    </w:p>
    <w:p w14:paraId="67BDA18E" w14:textId="0DA0AF4A" w:rsidR="007F6F6B" w:rsidRDefault="001C48AB"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Guiding principles for adults</w:t>
      </w:r>
    </w:p>
    <w:p w14:paraId="687161DA" w14:textId="77777777" w:rsidR="004F5F88" w:rsidRPr="00F10DCA" w:rsidRDefault="004F5F88" w:rsidP="004F5F88">
      <w:pPr>
        <w:spacing w:after="0" w:line="240" w:lineRule="auto"/>
        <w:rPr>
          <w:rFonts w:eastAsiaTheme="majorEastAsia" w:cstheme="minorHAnsi"/>
          <w:b/>
          <w:bCs/>
          <w:sz w:val="28"/>
          <w:szCs w:val="28"/>
        </w:rPr>
      </w:pPr>
    </w:p>
    <w:p w14:paraId="6301914A" w14:textId="77777777" w:rsidR="00CC2B37" w:rsidRPr="00F10DCA" w:rsidRDefault="00CC2B37" w:rsidP="00F10DCA">
      <w:pPr>
        <w:numPr>
          <w:ilvl w:val="0"/>
          <w:numId w:val="19"/>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 xml:space="preserve">Every person will be presumed to have capacity. If not, the principles of the Assisted Decision-Making (Capacity) Act 2015 will be followed. </w:t>
      </w:r>
    </w:p>
    <w:p w14:paraId="4E2FBEB1" w14:textId="77777777" w:rsidR="00CC2B37" w:rsidRPr="00F10DCA" w:rsidRDefault="00CC2B37" w:rsidP="00F10DCA">
      <w:pPr>
        <w:numPr>
          <w:ilvl w:val="0"/>
          <w:numId w:val="19"/>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 xml:space="preserve">When a decision is being made in respect of a person, following guiding principles to apply: </w:t>
      </w:r>
      <w:r w:rsidRPr="00F10DCA">
        <w:rPr>
          <w:rFonts w:eastAsiaTheme="minorEastAsia" w:cstheme="minorHAnsi"/>
          <w:kern w:val="24"/>
          <w:sz w:val="28"/>
          <w:szCs w:val="28"/>
          <w:lang w:eastAsia="en-IE"/>
        </w:rPr>
        <w:br/>
      </w:r>
      <w:r w:rsidRPr="00F10DCA">
        <w:rPr>
          <w:rFonts w:eastAsiaTheme="minorEastAsia" w:cstheme="minorHAnsi"/>
          <w:kern w:val="24"/>
          <w:sz w:val="28"/>
          <w:szCs w:val="28"/>
          <w:lang w:eastAsia="en-IE"/>
        </w:rPr>
        <w:br/>
        <w:t>“</w:t>
      </w:r>
      <w:r w:rsidRPr="00F10DCA">
        <w:rPr>
          <w:rFonts w:eastAsia="Calibri" w:cstheme="minorHAnsi"/>
          <w:kern w:val="24"/>
          <w:sz w:val="28"/>
          <w:szCs w:val="28"/>
          <w:lang w:eastAsia="en-IE"/>
        </w:rPr>
        <w:t>A decision made in respect of a person shall—</w:t>
      </w:r>
    </w:p>
    <w:p w14:paraId="18B35AFA" w14:textId="77777777" w:rsidR="00CC2B37" w:rsidRPr="00F10DCA" w:rsidRDefault="00CC2B37" w:rsidP="00F10DCA">
      <w:pPr>
        <w:tabs>
          <w:tab w:val="left" w:pos="1418"/>
          <w:tab w:val="left" w:pos="1843"/>
        </w:tabs>
        <w:spacing w:before="200" w:after="0" w:line="240" w:lineRule="auto"/>
        <w:ind w:left="720"/>
        <w:rPr>
          <w:rFonts w:eastAsia="Times New Roman" w:cstheme="minorHAnsi"/>
          <w:sz w:val="28"/>
          <w:szCs w:val="28"/>
          <w:lang w:eastAsia="en-IE"/>
        </w:rPr>
      </w:pPr>
      <w:r w:rsidRPr="00F10DCA">
        <w:rPr>
          <w:rFonts w:eastAsia="Calibri" w:cstheme="minorHAnsi"/>
          <w:kern w:val="24"/>
          <w:sz w:val="28"/>
          <w:szCs w:val="28"/>
          <w:lang w:eastAsia="en-IE"/>
        </w:rPr>
        <w:t>(a)  be made in a manner that minimises the restriction of the person’s rights and freedoms,</w:t>
      </w:r>
    </w:p>
    <w:p w14:paraId="33B5F805" w14:textId="77777777" w:rsidR="00CC2B37" w:rsidRPr="00F10DCA" w:rsidRDefault="00CC2B37" w:rsidP="00F10DCA">
      <w:pPr>
        <w:numPr>
          <w:ilvl w:val="0"/>
          <w:numId w:val="20"/>
        </w:numPr>
        <w:tabs>
          <w:tab w:val="left" w:pos="1418"/>
          <w:tab w:val="left" w:pos="1843"/>
        </w:tabs>
        <w:spacing w:after="0" w:line="240" w:lineRule="auto"/>
        <w:ind w:left="1987"/>
        <w:contextualSpacing/>
        <w:rPr>
          <w:rFonts w:eastAsia="Times New Roman" w:cstheme="minorHAnsi"/>
          <w:sz w:val="28"/>
          <w:szCs w:val="28"/>
          <w:lang w:eastAsia="en-IE"/>
        </w:rPr>
      </w:pPr>
      <w:r w:rsidRPr="00F10DCA">
        <w:rPr>
          <w:rFonts w:eastAsia="Calibri" w:cstheme="minorHAnsi"/>
          <w:kern w:val="24"/>
          <w:sz w:val="28"/>
          <w:szCs w:val="28"/>
          <w:lang w:eastAsia="en-IE"/>
        </w:rPr>
        <w:t xml:space="preserve"> respect the right of the person to dignity, bodily integrity, privacy and autonomy, </w:t>
      </w:r>
    </w:p>
    <w:p w14:paraId="66F8B16E" w14:textId="77777777" w:rsidR="00CC2B37" w:rsidRPr="00F10DCA" w:rsidRDefault="00CC2B37" w:rsidP="00F10DCA">
      <w:pPr>
        <w:numPr>
          <w:ilvl w:val="0"/>
          <w:numId w:val="21"/>
        </w:numPr>
        <w:tabs>
          <w:tab w:val="left" w:pos="1418"/>
          <w:tab w:val="left" w:pos="1843"/>
        </w:tabs>
        <w:spacing w:after="0" w:line="240" w:lineRule="auto"/>
        <w:ind w:left="1987"/>
        <w:contextualSpacing/>
        <w:rPr>
          <w:rFonts w:eastAsia="Times New Roman" w:cstheme="minorHAnsi"/>
          <w:sz w:val="28"/>
          <w:szCs w:val="28"/>
          <w:lang w:eastAsia="en-IE"/>
        </w:rPr>
      </w:pPr>
      <w:r w:rsidRPr="00F10DCA">
        <w:rPr>
          <w:rFonts w:eastAsia="Calibri" w:cstheme="minorHAnsi"/>
          <w:kern w:val="24"/>
          <w:sz w:val="28"/>
          <w:szCs w:val="28"/>
          <w:lang w:eastAsia="en-IE"/>
        </w:rPr>
        <w:t xml:space="preserve"> be proportionate to the significance and urgency of the matter the subject of the decision, </w:t>
      </w:r>
    </w:p>
    <w:p w14:paraId="6DBBAC17" w14:textId="77777777" w:rsidR="00CC2B37" w:rsidRPr="00F10DCA" w:rsidRDefault="00CC2B37" w:rsidP="00F10DCA">
      <w:pPr>
        <w:tabs>
          <w:tab w:val="left" w:pos="1418"/>
          <w:tab w:val="left" w:pos="1843"/>
        </w:tabs>
        <w:spacing w:before="200" w:after="0" w:line="240" w:lineRule="auto"/>
        <w:ind w:left="720"/>
        <w:rPr>
          <w:rFonts w:eastAsia="Times New Roman" w:cstheme="minorHAnsi"/>
          <w:sz w:val="28"/>
          <w:szCs w:val="28"/>
          <w:lang w:eastAsia="en-IE"/>
        </w:rPr>
      </w:pPr>
      <w:r w:rsidRPr="00F10DCA">
        <w:rPr>
          <w:rFonts w:eastAsia="Calibri" w:cstheme="minorHAnsi"/>
          <w:kern w:val="24"/>
          <w:sz w:val="28"/>
          <w:szCs w:val="28"/>
          <w:lang w:eastAsia="en-IE"/>
        </w:rPr>
        <w:t>(d)   be limited in duration, in so far as is practicable, after taking into account the particular circumstances of the matter the subject of the decision, and</w:t>
      </w:r>
    </w:p>
    <w:p w14:paraId="53C5D41B" w14:textId="77777777" w:rsidR="00CC2B37" w:rsidRPr="00F10DCA" w:rsidRDefault="00CC2B37" w:rsidP="00F10DCA">
      <w:pPr>
        <w:tabs>
          <w:tab w:val="left" w:pos="1418"/>
          <w:tab w:val="left" w:pos="1843"/>
        </w:tabs>
        <w:spacing w:before="200" w:after="0" w:line="240" w:lineRule="auto"/>
        <w:ind w:left="720"/>
        <w:rPr>
          <w:rFonts w:eastAsia="Times New Roman" w:cstheme="minorHAnsi"/>
          <w:sz w:val="28"/>
          <w:szCs w:val="28"/>
          <w:lang w:eastAsia="en-IE"/>
        </w:rPr>
      </w:pPr>
      <w:r w:rsidRPr="00F10DCA">
        <w:rPr>
          <w:rFonts w:eastAsia="Calibri" w:cstheme="minorHAnsi"/>
          <w:kern w:val="24"/>
          <w:sz w:val="28"/>
          <w:szCs w:val="28"/>
          <w:lang w:eastAsia="en-IE"/>
        </w:rPr>
        <w:t>(e)   be made in a manner that promotes the highest attainable standard of mental health.”</w:t>
      </w:r>
    </w:p>
    <w:p w14:paraId="1B6E5EA9" w14:textId="25551935" w:rsidR="007F6F6B" w:rsidRPr="00F10DCA" w:rsidRDefault="007F6F6B" w:rsidP="00F10DCA">
      <w:pPr>
        <w:spacing w:after="0" w:line="240" w:lineRule="auto"/>
        <w:rPr>
          <w:rFonts w:eastAsiaTheme="majorEastAsia" w:cstheme="minorHAnsi"/>
          <w:b/>
          <w:bCs/>
          <w:sz w:val="28"/>
          <w:szCs w:val="28"/>
        </w:rPr>
      </w:pPr>
    </w:p>
    <w:p w14:paraId="54E8978C" w14:textId="77777777" w:rsidR="004F5F88" w:rsidRDefault="004F5F88" w:rsidP="004F5F88">
      <w:pPr>
        <w:spacing w:after="0" w:line="240" w:lineRule="auto"/>
        <w:rPr>
          <w:rFonts w:eastAsiaTheme="majorEastAsia" w:cstheme="minorHAnsi"/>
          <w:b/>
          <w:bCs/>
          <w:sz w:val="28"/>
          <w:szCs w:val="28"/>
        </w:rPr>
      </w:pPr>
    </w:p>
    <w:p w14:paraId="08A404F3" w14:textId="77777777" w:rsidR="004F5F88" w:rsidRDefault="004F5F88" w:rsidP="004F5F88">
      <w:pPr>
        <w:spacing w:after="0" w:line="240" w:lineRule="auto"/>
        <w:rPr>
          <w:rFonts w:eastAsiaTheme="majorEastAsia" w:cstheme="minorHAnsi"/>
          <w:b/>
          <w:bCs/>
          <w:sz w:val="28"/>
          <w:szCs w:val="28"/>
        </w:rPr>
      </w:pPr>
    </w:p>
    <w:p w14:paraId="246BCF5F" w14:textId="77777777" w:rsidR="004F5F88" w:rsidRDefault="004F5F88" w:rsidP="004F5F88">
      <w:pPr>
        <w:spacing w:after="0" w:line="240" w:lineRule="auto"/>
        <w:rPr>
          <w:rFonts w:eastAsiaTheme="majorEastAsia" w:cstheme="minorHAnsi"/>
          <w:b/>
          <w:bCs/>
          <w:sz w:val="28"/>
          <w:szCs w:val="28"/>
        </w:rPr>
      </w:pPr>
    </w:p>
    <w:p w14:paraId="162A475C" w14:textId="77777777" w:rsidR="004F5F88" w:rsidRDefault="004F5F88" w:rsidP="004F5F88">
      <w:pPr>
        <w:spacing w:after="0" w:line="240" w:lineRule="auto"/>
        <w:rPr>
          <w:rFonts w:eastAsiaTheme="majorEastAsia" w:cstheme="minorHAnsi"/>
          <w:b/>
          <w:bCs/>
          <w:sz w:val="28"/>
          <w:szCs w:val="28"/>
        </w:rPr>
      </w:pPr>
    </w:p>
    <w:p w14:paraId="79D008D8" w14:textId="77777777" w:rsidR="004F5F88" w:rsidRDefault="004F5F88" w:rsidP="004F5F88">
      <w:pPr>
        <w:spacing w:after="0" w:line="240" w:lineRule="auto"/>
        <w:rPr>
          <w:rFonts w:eastAsiaTheme="majorEastAsia" w:cstheme="minorHAnsi"/>
          <w:b/>
          <w:bCs/>
          <w:sz w:val="28"/>
          <w:szCs w:val="28"/>
        </w:rPr>
      </w:pPr>
    </w:p>
    <w:p w14:paraId="4CB4BDDA" w14:textId="6F004E7D" w:rsidR="00413F8F" w:rsidRPr="00F10DCA" w:rsidRDefault="00413F8F"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Criteria for detention</w:t>
      </w:r>
    </w:p>
    <w:p w14:paraId="30B39F4F" w14:textId="77777777" w:rsidR="00413F8F" w:rsidRPr="00F10DCA" w:rsidRDefault="00413F8F" w:rsidP="00F10DCA">
      <w:pPr>
        <w:spacing w:before="200" w:line="240" w:lineRule="auto"/>
        <w:rPr>
          <w:rFonts w:eastAsia="Times New Roman" w:cstheme="minorHAnsi"/>
          <w:sz w:val="28"/>
          <w:szCs w:val="28"/>
          <w:lang w:eastAsia="en-IE"/>
        </w:rPr>
      </w:pPr>
      <w:r w:rsidRPr="00F10DCA">
        <w:rPr>
          <w:rFonts w:eastAsia="Times New Roman" w:cstheme="minorHAnsi"/>
          <w:kern w:val="24"/>
          <w:sz w:val="28"/>
          <w:szCs w:val="28"/>
          <w:lang w:val="en-GB" w:eastAsia="en-IE"/>
        </w:rPr>
        <w:t>A person has to meet the following criteria to be admitted as an involuntary person:</w:t>
      </w:r>
      <w:r w:rsidRPr="00F10DCA">
        <w:rPr>
          <w:rFonts w:eastAsia="Times New Roman" w:cstheme="minorHAnsi"/>
          <w:kern w:val="24"/>
          <w:sz w:val="28"/>
          <w:szCs w:val="28"/>
          <w:lang w:val="en-GB" w:eastAsia="en-IE"/>
        </w:rPr>
        <w:br/>
        <w:t xml:space="preserve">“(a) </w:t>
      </w:r>
      <w:r w:rsidRPr="00F10DCA">
        <w:rPr>
          <w:rFonts w:eastAsia="Calibri" w:cstheme="minorHAnsi"/>
          <w:kern w:val="24"/>
          <w:sz w:val="28"/>
          <w:szCs w:val="28"/>
          <w:lang w:eastAsia="en-IE"/>
        </w:rPr>
        <w:t xml:space="preserve">the person is suffering from a mental illness of a nature or degree of severity which makes it necessary for him or her to be involuntarily detained in an approved inpatient facility to receive treatment which cannot be given other than in an approved inpatient facility, and </w:t>
      </w:r>
      <w:r w:rsidRPr="00F10DCA">
        <w:rPr>
          <w:rFonts w:eastAsia="Calibri" w:cstheme="minorHAnsi"/>
          <w:kern w:val="24"/>
          <w:sz w:val="28"/>
          <w:szCs w:val="28"/>
          <w:lang w:eastAsia="en-IE"/>
        </w:rPr>
        <w:br/>
        <w:t xml:space="preserve">(b) </w:t>
      </w:r>
      <w:r w:rsidRPr="00F10DCA">
        <w:rPr>
          <w:rFonts w:eastAsia="Times New Roman" w:cstheme="minorHAnsi"/>
          <w:kern w:val="24"/>
          <w:sz w:val="28"/>
          <w:szCs w:val="28"/>
          <w:lang w:val="en-GB" w:eastAsia="en-IE"/>
        </w:rPr>
        <w:t>where such treatment is necessary to protect the life or health of the person from the threat of immediate and serious harm, or for the protection of other persons from the threat of immediate and serious harm, and</w:t>
      </w:r>
      <w:r w:rsidRPr="00F10DCA">
        <w:rPr>
          <w:rFonts w:eastAsia="Times New Roman" w:cstheme="minorHAnsi"/>
          <w:kern w:val="24"/>
          <w:sz w:val="28"/>
          <w:szCs w:val="28"/>
          <w:lang w:eastAsia="en-IE"/>
        </w:rPr>
        <w:br/>
        <w:t xml:space="preserve">(c) </w:t>
      </w:r>
      <w:r w:rsidRPr="00F10DCA">
        <w:rPr>
          <w:rFonts w:eastAsia="Times New Roman" w:cstheme="minorHAnsi"/>
          <w:kern w:val="24"/>
          <w:sz w:val="28"/>
          <w:szCs w:val="28"/>
          <w:lang w:val="en-GB" w:eastAsia="en-IE"/>
        </w:rPr>
        <w:t>the reception, detention and treatment of the person concerned in an approved inpatient facility would be likely to ameliorate the condition of that person to a material extent.”</w:t>
      </w:r>
    </w:p>
    <w:p w14:paraId="2C16DD0A" w14:textId="77777777" w:rsidR="001003CE" w:rsidRPr="00F10DCA" w:rsidRDefault="001003CE" w:rsidP="00F10DCA">
      <w:pPr>
        <w:spacing w:after="0" w:line="240" w:lineRule="auto"/>
        <w:rPr>
          <w:rFonts w:eastAsiaTheme="majorEastAsia" w:cstheme="minorHAnsi"/>
          <w:b/>
          <w:bCs/>
          <w:sz w:val="28"/>
          <w:szCs w:val="28"/>
        </w:rPr>
      </w:pPr>
    </w:p>
    <w:p w14:paraId="4315C283" w14:textId="042AA2B3" w:rsidR="007F6F6B" w:rsidRPr="00F10DCA" w:rsidRDefault="001C48AB"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Exclusion criteria for detention</w:t>
      </w:r>
    </w:p>
    <w:p w14:paraId="7CA8561A" w14:textId="727C564F" w:rsidR="001C48AB" w:rsidRPr="00F10DCA" w:rsidRDefault="00413F8F"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E</w:t>
      </w:r>
      <w:r w:rsidR="001C48AB" w:rsidRPr="00F10DCA">
        <w:rPr>
          <w:rFonts w:eastAsiaTheme="minorEastAsia" w:cstheme="minorHAnsi"/>
          <w:kern w:val="24"/>
          <w:sz w:val="28"/>
          <w:szCs w:val="28"/>
          <w:lang w:eastAsia="en-IE"/>
        </w:rPr>
        <w:t>xclusion criteria mean a person cannot be solely admitted for the following:</w:t>
      </w:r>
    </w:p>
    <w:p w14:paraId="60FC2C56"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“(a) is suffering from a mental illness which does not meet the criteria for detention, or</w:t>
      </w:r>
    </w:p>
    <w:p w14:paraId="453DDA0D"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(b) has an intellectual disability, or</w:t>
      </w:r>
    </w:p>
    <w:p w14:paraId="70E2F365"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(c) is suffering from a personality disorder, or</w:t>
      </w:r>
    </w:p>
    <w:p w14:paraId="4DA05F41"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(d) is socially deviant, or</w:t>
      </w:r>
    </w:p>
    <w:p w14:paraId="1C731A4E"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(e) is addicted to drugs or intoxicants, or</w:t>
      </w:r>
    </w:p>
    <w:p w14:paraId="06C4E613"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(f) behaves in such a manner, or holds views, that deviate from the prevailing culture, norms, values, or beliefs of society, or</w:t>
      </w:r>
    </w:p>
    <w:p w14:paraId="4ABB222C" w14:textId="77777777" w:rsidR="001C48AB" w:rsidRPr="00F10DCA" w:rsidRDefault="001C48AB" w:rsidP="004F5F88">
      <w:pPr>
        <w:spacing w:after="0" w:line="240" w:lineRule="auto"/>
        <w:rPr>
          <w:rFonts w:eastAsia="Times New Roman" w:cstheme="minorHAnsi"/>
          <w:sz w:val="28"/>
          <w:szCs w:val="28"/>
          <w:lang w:eastAsia="en-IE"/>
        </w:rPr>
      </w:pPr>
      <w:r w:rsidRPr="00F10DCA">
        <w:rPr>
          <w:rFonts w:eastAsiaTheme="minorEastAsia" w:cstheme="minorHAnsi"/>
          <w:kern w:val="24"/>
          <w:sz w:val="28"/>
          <w:szCs w:val="28"/>
          <w:lang w:eastAsia="en-IE"/>
        </w:rPr>
        <w:t>(g) requires to reside in a safe environment.”</w:t>
      </w:r>
    </w:p>
    <w:p w14:paraId="1DC0C8FE" w14:textId="66405B35" w:rsidR="001C48AB" w:rsidRPr="00F10DCA" w:rsidRDefault="001C48AB" w:rsidP="00F10DCA">
      <w:pPr>
        <w:spacing w:after="0" w:line="240" w:lineRule="auto"/>
        <w:rPr>
          <w:rFonts w:eastAsiaTheme="majorEastAsia" w:cstheme="minorHAnsi"/>
          <w:b/>
          <w:bCs/>
          <w:sz w:val="28"/>
          <w:szCs w:val="28"/>
        </w:rPr>
      </w:pPr>
    </w:p>
    <w:p w14:paraId="4DF7FFB5" w14:textId="3E199B78" w:rsidR="004A09B0" w:rsidRPr="00F10DCA" w:rsidRDefault="004A09B0" w:rsidP="00F10DCA">
      <w:pPr>
        <w:spacing w:after="0" w:line="240" w:lineRule="auto"/>
        <w:rPr>
          <w:rFonts w:eastAsiaTheme="majorEastAsia" w:cstheme="minorHAnsi"/>
          <w:b/>
          <w:bCs/>
          <w:sz w:val="28"/>
          <w:szCs w:val="28"/>
        </w:rPr>
      </w:pPr>
    </w:p>
    <w:p w14:paraId="776E26D4" w14:textId="0054E88F" w:rsidR="004A09B0" w:rsidRPr="00F10DCA" w:rsidRDefault="004A09B0"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Capacity</w:t>
      </w:r>
    </w:p>
    <w:p w14:paraId="29514A3A" w14:textId="77777777" w:rsidR="004A09B0" w:rsidRPr="00F10DCA" w:rsidRDefault="004A09B0" w:rsidP="00F10DCA">
      <w:pPr>
        <w:numPr>
          <w:ilvl w:val="0"/>
          <w:numId w:val="22"/>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 xml:space="preserve">Principles of the 2015 Act to be applied in cases where a person lacks capacity. </w:t>
      </w:r>
    </w:p>
    <w:p w14:paraId="2E995CE0" w14:textId="77777777" w:rsidR="004A09B0" w:rsidRPr="00F10DCA" w:rsidRDefault="004A09B0" w:rsidP="00F10DCA">
      <w:pPr>
        <w:numPr>
          <w:ilvl w:val="0"/>
          <w:numId w:val="22"/>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In terms of admission:</w:t>
      </w:r>
      <w:r w:rsidRPr="00F10DCA">
        <w:rPr>
          <w:rFonts w:eastAsiaTheme="minorEastAsia" w:cstheme="minorHAnsi"/>
          <w:color w:val="000000" w:themeColor="text1"/>
          <w:kern w:val="24"/>
          <w:sz w:val="28"/>
          <w:szCs w:val="28"/>
          <w:lang w:eastAsia="en-IE"/>
        </w:rPr>
        <w:br/>
        <w:t>1. voluntary persons must have capacity to consent to admission,</w:t>
      </w:r>
      <w:r w:rsidRPr="00F10DCA">
        <w:rPr>
          <w:rFonts w:eastAsiaTheme="minorEastAsia" w:cstheme="minorHAnsi"/>
          <w:color w:val="000000" w:themeColor="text1"/>
          <w:kern w:val="24"/>
          <w:sz w:val="28"/>
          <w:szCs w:val="28"/>
          <w:lang w:eastAsia="en-IE"/>
        </w:rPr>
        <w:br/>
        <w:t>2. involuntary persons can be admitted if they fulfil the criteria for detention, whether or not they possess necessary capacity,</w:t>
      </w:r>
      <w:r w:rsidRPr="00F10DCA">
        <w:rPr>
          <w:rFonts w:eastAsiaTheme="minorEastAsia" w:cstheme="minorHAnsi"/>
          <w:color w:val="000000" w:themeColor="text1"/>
          <w:kern w:val="24"/>
          <w:sz w:val="28"/>
          <w:szCs w:val="28"/>
          <w:lang w:eastAsia="en-IE"/>
        </w:rPr>
        <w:br/>
        <w:t>3. intermediate persons are people who lack capacity to consent to admission, but do not meet the criteria for detention (these people are generally included as voluntary patients under the current Act)</w:t>
      </w:r>
    </w:p>
    <w:p w14:paraId="4C8CD3FE" w14:textId="77777777" w:rsidR="004A09B0" w:rsidRPr="00F10DCA" w:rsidRDefault="004A09B0" w:rsidP="00F10DCA">
      <w:pPr>
        <w:numPr>
          <w:ilvl w:val="0"/>
          <w:numId w:val="22"/>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Capacity is understood as something that can fluctuate, and a person may lack capacity to make some decisions while possessing capacity to make others.</w:t>
      </w:r>
    </w:p>
    <w:p w14:paraId="51AD9036" w14:textId="77777777" w:rsidR="004A09B0" w:rsidRPr="00F10DCA" w:rsidRDefault="004A09B0" w:rsidP="00F10DCA">
      <w:pPr>
        <w:numPr>
          <w:ilvl w:val="0"/>
          <w:numId w:val="22"/>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Capacity assessments to be carried out when there are reasonable grounds to believe the person lacks capacity. Initial assessment carried out by RCP, and by a second CP not involved in the person’s care and treatment.</w:t>
      </w:r>
    </w:p>
    <w:p w14:paraId="0ED357AE" w14:textId="5CD76FFF" w:rsidR="004A09B0" w:rsidRPr="00F10DCA" w:rsidRDefault="004A09B0" w:rsidP="00F10DCA">
      <w:pPr>
        <w:spacing w:after="0" w:line="240" w:lineRule="auto"/>
        <w:rPr>
          <w:rFonts w:eastAsiaTheme="majorEastAsia" w:cstheme="minorHAnsi"/>
          <w:b/>
          <w:bCs/>
          <w:sz w:val="28"/>
          <w:szCs w:val="28"/>
        </w:rPr>
      </w:pPr>
    </w:p>
    <w:p w14:paraId="4FF075E8" w14:textId="56E8312D" w:rsidR="004A09B0" w:rsidRPr="00F10DCA" w:rsidRDefault="004A09B0" w:rsidP="00F10DCA">
      <w:pPr>
        <w:spacing w:after="0" w:line="240" w:lineRule="auto"/>
        <w:rPr>
          <w:rFonts w:eastAsiaTheme="majorEastAsia" w:cstheme="minorHAnsi"/>
          <w:b/>
          <w:bCs/>
          <w:sz w:val="28"/>
          <w:szCs w:val="28"/>
        </w:rPr>
      </w:pPr>
    </w:p>
    <w:p w14:paraId="7C58D0C3" w14:textId="77777777" w:rsidR="007F6D45" w:rsidRPr="00F10DCA" w:rsidRDefault="007F6D45" w:rsidP="00F10DCA">
      <w:pPr>
        <w:spacing w:after="0" w:line="240" w:lineRule="auto"/>
        <w:rPr>
          <w:rFonts w:eastAsiaTheme="majorEastAsia" w:cstheme="minorHAnsi"/>
          <w:b/>
          <w:bCs/>
          <w:sz w:val="28"/>
          <w:szCs w:val="28"/>
        </w:rPr>
      </w:pPr>
    </w:p>
    <w:p w14:paraId="207724B5" w14:textId="77777777" w:rsidR="007F6D45" w:rsidRPr="00F10DCA" w:rsidRDefault="007F6D45" w:rsidP="00F10DCA">
      <w:pPr>
        <w:spacing w:after="0" w:line="240" w:lineRule="auto"/>
        <w:rPr>
          <w:rFonts w:eastAsiaTheme="majorEastAsia" w:cstheme="minorHAnsi"/>
          <w:b/>
          <w:bCs/>
          <w:sz w:val="28"/>
          <w:szCs w:val="28"/>
        </w:rPr>
      </w:pPr>
    </w:p>
    <w:p w14:paraId="24B37AC5" w14:textId="764DC478" w:rsidR="004A09B0" w:rsidRPr="00F10DCA" w:rsidRDefault="005A2BED"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Consent to treatment and AHDs</w:t>
      </w:r>
    </w:p>
    <w:p w14:paraId="166A9013" w14:textId="1125EFF0" w:rsidR="004A09B0" w:rsidRPr="00F10DCA" w:rsidRDefault="004A09B0" w:rsidP="00F10DCA">
      <w:pPr>
        <w:spacing w:after="0" w:line="240" w:lineRule="auto"/>
        <w:rPr>
          <w:rFonts w:eastAsiaTheme="majorEastAsia" w:cstheme="minorHAnsi"/>
          <w:b/>
          <w:bCs/>
          <w:sz w:val="28"/>
          <w:szCs w:val="28"/>
        </w:rPr>
      </w:pPr>
    </w:p>
    <w:p w14:paraId="59CD7B63" w14:textId="77777777" w:rsidR="005A2BED" w:rsidRPr="00F10DCA" w:rsidRDefault="005A2BED" w:rsidP="00F10DCA">
      <w:pPr>
        <w:numPr>
          <w:ilvl w:val="0"/>
          <w:numId w:val="23"/>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 xml:space="preserve">Part 4 of the Act has been completely revised. </w:t>
      </w:r>
    </w:p>
    <w:p w14:paraId="3B03791B" w14:textId="77777777" w:rsidR="005A2BED" w:rsidRPr="00F10DCA" w:rsidRDefault="005A2BED" w:rsidP="00F10DCA">
      <w:pPr>
        <w:numPr>
          <w:ilvl w:val="0"/>
          <w:numId w:val="23"/>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Voluntary persons must consent to any treatment and may withdraw their consent at any time.</w:t>
      </w:r>
    </w:p>
    <w:p w14:paraId="0F49C91E" w14:textId="77777777" w:rsidR="005A2BED" w:rsidRPr="00F10DCA" w:rsidRDefault="005A2BED" w:rsidP="00F10DCA">
      <w:pPr>
        <w:numPr>
          <w:ilvl w:val="0"/>
          <w:numId w:val="23"/>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Where an RCP reasonably considers a person under their care to lack capacity to consent to treatment, capacity assessments will be carried out by the RCP and by a second CP not involved in the person’s care and treatment.</w:t>
      </w:r>
    </w:p>
    <w:p w14:paraId="33AF9F37" w14:textId="7B2BE1F5" w:rsidR="002443AC" w:rsidRPr="00666CB1" w:rsidRDefault="005A2BED" w:rsidP="00F10DCA">
      <w:pPr>
        <w:numPr>
          <w:ilvl w:val="0"/>
          <w:numId w:val="23"/>
        </w:numPr>
        <w:spacing w:after="0" w:line="240" w:lineRule="auto"/>
        <w:ind w:left="1080"/>
        <w:contextualSpacing/>
        <w:rPr>
          <w:rFonts w:eastAsia="Times New Roman" w:cstheme="minorHAnsi"/>
          <w:sz w:val="28"/>
          <w:szCs w:val="28"/>
          <w:lang w:eastAsia="en-IE"/>
        </w:rPr>
      </w:pPr>
      <w:r w:rsidRPr="00F10DCA">
        <w:rPr>
          <w:rFonts w:eastAsiaTheme="minorEastAsia" w:cstheme="minorHAnsi"/>
          <w:color w:val="000000" w:themeColor="text1"/>
          <w:kern w:val="24"/>
          <w:sz w:val="28"/>
          <w:szCs w:val="28"/>
          <w:lang w:eastAsia="en-IE"/>
        </w:rPr>
        <w:t>If both capacity assessments find the person to lack capacity, treatment may be administered if the person has a decision-making support under the 2015 Act:</w:t>
      </w:r>
      <w:r w:rsidRPr="00F10DCA">
        <w:rPr>
          <w:rFonts w:eastAsiaTheme="minorEastAsia" w:cstheme="minorHAnsi"/>
          <w:color w:val="000000" w:themeColor="text1"/>
          <w:kern w:val="24"/>
          <w:sz w:val="28"/>
          <w:szCs w:val="28"/>
          <w:lang w:eastAsia="en-IE"/>
        </w:rPr>
        <w:br/>
        <w:t>(a) an attorney, (b) a decision-making representative, or (c) a Designated Healthcare Representative under his or her AHD, empowered to make healthcare decisions,</w:t>
      </w:r>
      <w:r w:rsidRPr="00F10DCA">
        <w:rPr>
          <w:rFonts w:eastAsiaTheme="minorEastAsia" w:cstheme="minorHAnsi"/>
          <w:color w:val="000000" w:themeColor="text1"/>
          <w:kern w:val="24"/>
          <w:sz w:val="28"/>
          <w:szCs w:val="28"/>
          <w:lang w:eastAsia="en-IE"/>
        </w:rPr>
        <w:br/>
        <w:t>or (d) an AHD which includes provisions on specific treatment proposed,</w:t>
      </w:r>
      <w:r w:rsidRPr="00F10DCA">
        <w:rPr>
          <w:rFonts w:eastAsiaTheme="minorEastAsia" w:cstheme="minorHAnsi"/>
          <w:color w:val="000000" w:themeColor="text1"/>
          <w:kern w:val="24"/>
          <w:sz w:val="28"/>
          <w:szCs w:val="28"/>
          <w:lang w:eastAsia="en-IE"/>
        </w:rPr>
        <w:br/>
        <w:t>and the decision-making support consents to the treatment.</w:t>
      </w:r>
    </w:p>
    <w:p w14:paraId="42B476BD" w14:textId="77777777" w:rsidR="00BF7F2F" w:rsidRPr="00F10DCA" w:rsidRDefault="00BF7F2F" w:rsidP="00F10DCA">
      <w:pPr>
        <w:numPr>
          <w:ilvl w:val="0"/>
          <w:numId w:val="25"/>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 xml:space="preserve">Decision-making supports apply to both involuntary and intermediate persons. </w:t>
      </w:r>
    </w:p>
    <w:p w14:paraId="203BFD8A" w14:textId="77777777" w:rsidR="00BF7F2F" w:rsidRPr="00F10DCA" w:rsidRDefault="00BF7F2F" w:rsidP="00F10DCA">
      <w:pPr>
        <w:numPr>
          <w:ilvl w:val="0"/>
          <w:numId w:val="25"/>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If a person lacks a decision-making support, then an application shall be made to the District Court pursuant to Part 5 of the 2015 Act outlining the proposed treatment.</w:t>
      </w:r>
    </w:p>
    <w:p w14:paraId="387A588C" w14:textId="77777777" w:rsidR="00BF7F2F" w:rsidRPr="00F10DCA" w:rsidRDefault="00BF7F2F" w:rsidP="00F10DCA">
      <w:pPr>
        <w:numPr>
          <w:ilvl w:val="0"/>
          <w:numId w:val="25"/>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Certain circumstances where treatment can be given without consent:</w:t>
      </w:r>
      <w:r w:rsidRPr="00F10DCA">
        <w:rPr>
          <w:rFonts w:eastAsiaTheme="minorEastAsia" w:cstheme="minorHAnsi"/>
          <w:kern w:val="24"/>
          <w:sz w:val="28"/>
          <w:szCs w:val="28"/>
          <w:lang w:eastAsia="en-IE"/>
        </w:rPr>
        <w:br/>
        <w:t>1. While awaiting a decision from the District Court and it is “immediately necessary to for the protection of life of the person, for protection from a serious and imminent threat to the health of the person, or for the protection of other persons that he or she should receive such treatment and there is no safe and effective alternative available.”</w:t>
      </w:r>
    </w:p>
    <w:p w14:paraId="48A3BC4A" w14:textId="77777777" w:rsidR="00BF7F2F" w:rsidRPr="00F10DCA" w:rsidRDefault="00BF7F2F" w:rsidP="00F10DCA">
      <w:pPr>
        <w:numPr>
          <w:ilvl w:val="0"/>
          <w:numId w:val="25"/>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Section 60 has been amended to provide for the administration of medicine for 21 days following the making of an admission order.</w:t>
      </w:r>
    </w:p>
    <w:p w14:paraId="614BDF49" w14:textId="36C1CE43" w:rsidR="00BF7F2F" w:rsidRPr="00F10DCA" w:rsidRDefault="00BF7F2F" w:rsidP="00F10DCA">
      <w:pPr>
        <w:spacing w:after="0" w:line="240" w:lineRule="auto"/>
        <w:rPr>
          <w:rFonts w:eastAsiaTheme="majorEastAsia" w:cstheme="minorHAnsi"/>
          <w:b/>
          <w:bCs/>
          <w:sz w:val="28"/>
          <w:szCs w:val="28"/>
        </w:rPr>
      </w:pPr>
    </w:p>
    <w:p w14:paraId="4412A02E" w14:textId="77777777" w:rsidR="00BF7F2F" w:rsidRPr="00F10DCA" w:rsidRDefault="00BF7F2F" w:rsidP="00F10DCA">
      <w:pPr>
        <w:spacing w:after="0" w:line="240" w:lineRule="auto"/>
        <w:rPr>
          <w:rFonts w:eastAsiaTheme="majorEastAsia" w:cstheme="minorHAnsi"/>
          <w:b/>
          <w:bCs/>
          <w:sz w:val="28"/>
          <w:szCs w:val="28"/>
        </w:rPr>
      </w:pPr>
    </w:p>
    <w:p w14:paraId="428EC4F4" w14:textId="66F72E14" w:rsidR="005A2BED" w:rsidRPr="00F10DCA" w:rsidRDefault="00C67A37" w:rsidP="00F10DCA">
      <w:pPr>
        <w:spacing w:after="0" w:line="240" w:lineRule="auto"/>
        <w:rPr>
          <w:rFonts w:eastAsiaTheme="majorEastAsia" w:cstheme="minorHAnsi"/>
          <w:b/>
          <w:bCs/>
          <w:sz w:val="28"/>
          <w:szCs w:val="28"/>
        </w:rPr>
      </w:pPr>
      <w:r w:rsidRPr="00F10DCA">
        <w:rPr>
          <w:rFonts w:eastAsiaTheme="majorEastAsia" w:cstheme="minorHAnsi"/>
          <w:b/>
          <w:bCs/>
          <w:sz w:val="28"/>
          <w:szCs w:val="28"/>
        </w:rPr>
        <w:t>Information/Care Planning</w:t>
      </w:r>
    </w:p>
    <w:p w14:paraId="2FEE8E9B" w14:textId="41C2F500" w:rsidR="00C67A37" w:rsidRPr="00F10DCA" w:rsidRDefault="00C67A37" w:rsidP="00F10DCA">
      <w:pPr>
        <w:spacing w:after="0" w:line="240" w:lineRule="auto"/>
        <w:rPr>
          <w:rFonts w:eastAsiaTheme="majorEastAsia" w:cstheme="minorHAnsi"/>
          <w:b/>
          <w:bCs/>
          <w:sz w:val="28"/>
          <w:szCs w:val="28"/>
        </w:rPr>
      </w:pPr>
    </w:p>
    <w:p w14:paraId="418C2AF7" w14:textId="1ABA4F58" w:rsidR="00BF7F2F" w:rsidRPr="00F10DCA" w:rsidRDefault="00427356" w:rsidP="00F10DCA">
      <w:pPr>
        <w:numPr>
          <w:ilvl w:val="0"/>
          <w:numId w:val="26"/>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 xml:space="preserve">There will be </w:t>
      </w:r>
      <w:r w:rsidR="00BF7F2F" w:rsidRPr="00F10DCA">
        <w:rPr>
          <w:rFonts w:eastAsiaTheme="minorEastAsia" w:cstheme="minorHAnsi"/>
          <w:kern w:val="24"/>
          <w:sz w:val="28"/>
          <w:szCs w:val="28"/>
          <w:lang w:eastAsia="en-IE"/>
        </w:rPr>
        <w:t xml:space="preserve">a statutory requirement for individual care plans, renamed ‘recovery plans’ in line with EGR recommendation. </w:t>
      </w:r>
      <w:r w:rsidR="00BF7F2F" w:rsidRPr="00F10DCA">
        <w:rPr>
          <w:rFonts w:eastAsiaTheme="minorEastAsia" w:cstheme="minorHAnsi"/>
          <w:kern w:val="24"/>
          <w:sz w:val="28"/>
          <w:szCs w:val="28"/>
          <w:lang w:eastAsia="en-IE"/>
        </w:rPr>
        <w:br/>
        <w:t>“Recovery plan” is defined as a plan outlining a documented set of goals developed, regularly reviewed and updated by the person’s multi-disciplinary team, so far as practicable in consultation with each person, and which shall provide for related matters relevant to the care and treatment of each person.  The recovery plan shall be recorded in the one composite set of documentation.</w:t>
      </w:r>
    </w:p>
    <w:p w14:paraId="3959226B" w14:textId="77777777" w:rsidR="00BF7F2F" w:rsidRPr="00F10DCA" w:rsidRDefault="00BF7F2F" w:rsidP="00F10DCA">
      <w:pPr>
        <w:numPr>
          <w:ilvl w:val="0"/>
          <w:numId w:val="26"/>
        </w:numPr>
        <w:spacing w:after="0" w:line="240" w:lineRule="auto"/>
        <w:ind w:left="1080"/>
        <w:contextualSpacing/>
        <w:rPr>
          <w:rFonts w:eastAsia="Times New Roman" w:cstheme="minorHAnsi"/>
          <w:sz w:val="28"/>
          <w:szCs w:val="28"/>
          <w:lang w:eastAsia="en-IE"/>
        </w:rPr>
      </w:pPr>
      <w:r w:rsidRPr="00F10DCA">
        <w:rPr>
          <w:rFonts w:eastAsiaTheme="minorEastAsia" w:cstheme="minorHAnsi"/>
          <w:kern w:val="24"/>
          <w:sz w:val="28"/>
          <w:szCs w:val="28"/>
          <w:lang w:eastAsia="en-IE"/>
        </w:rPr>
        <w:t xml:space="preserve">We are including a statutory requirement to provide information to voluntary and intermediate persons, and for children (similar to existing section 16 for involuntary). These sections will include a provision that a person may engage an advocate. </w:t>
      </w:r>
    </w:p>
    <w:p w14:paraId="6F3DDC09" w14:textId="77777777" w:rsidR="00BF7F2F" w:rsidRPr="00F10DCA" w:rsidRDefault="00BF7F2F" w:rsidP="00F10DCA">
      <w:pPr>
        <w:spacing w:after="0" w:line="240" w:lineRule="auto"/>
        <w:rPr>
          <w:rFonts w:eastAsiaTheme="majorEastAsia" w:cstheme="minorHAnsi"/>
          <w:b/>
          <w:bCs/>
          <w:sz w:val="28"/>
          <w:szCs w:val="28"/>
        </w:rPr>
      </w:pPr>
    </w:p>
    <w:p w14:paraId="173F90A1" w14:textId="07455378" w:rsidR="005A2BED" w:rsidRPr="00F10DCA" w:rsidRDefault="005A2BED" w:rsidP="00F10DCA">
      <w:pPr>
        <w:spacing w:after="0" w:line="240" w:lineRule="auto"/>
        <w:rPr>
          <w:rFonts w:eastAsiaTheme="majorEastAsia" w:cstheme="minorHAnsi"/>
          <w:b/>
          <w:bCs/>
          <w:sz w:val="28"/>
          <w:szCs w:val="28"/>
        </w:rPr>
      </w:pPr>
    </w:p>
    <w:p w14:paraId="099FC79D" w14:textId="77777777" w:rsidR="005A2BED" w:rsidRPr="00F10DCA" w:rsidRDefault="005A2BED" w:rsidP="00F10DCA">
      <w:pPr>
        <w:spacing w:after="0" w:line="240" w:lineRule="auto"/>
        <w:rPr>
          <w:rFonts w:eastAsiaTheme="majorEastAsia" w:cstheme="minorHAnsi"/>
          <w:b/>
          <w:bCs/>
          <w:sz w:val="28"/>
          <w:szCs w:val="28"/>
        </w:rPr>
      </w:pPr>
    </w:p>
    <w:p w14:paraId="0EE877B7" w14:textId="77777777" w:rsidR="005A2BED" w:rsidRPr="00F10DCA" w:rsidRDefault="005A2BED" w:rsidP="00F10DCA">
      <w:pPr>
        <w:spacing w:after="0" w:line="240" w:lineRule="auto"/>
        <w:rPr>
          <w:rFonts w:eastAsiaTheme="majorEastAsia" w:cstheme="minorHAnsi"/>
          <w:b/>
          <w:bCs/>
          <w:sz w:val="28"/>
          <w:szCs w:val="28"/>
        </w:rPr>
      </w:pPr>
    </w:p>
    <w:p w14:paraId="4CD71691" w14:textId="77777777" w:rsidR="004A09B0" w:rsidRPr="00F10DCA" w:rsidRDefault="004A09B0" w:rsidP="00F10DCA">
      <w:pPr>
        <w:spacing w:after="0" w:line="240" w:lineRule="auto"/>
        <w:rPr>
          <w:rFonts w:eastAsiaTheme="majorEastAsia" w:cstheme="minorHAnsi"/>
          <w:b/>
          <w:bCs/>
          <w:sz w:val="28"/>
          <w:szCs w:val="28"/>
        </w:rPr>
      </w:pPr>
    </w:p>
    <w:p w14:paraId="6E0FF0BB" w14:textId="77777777" w:rsidR="001C48AB" w:rsidRPr="00F10DCA" w:rsidRDefault="001C48AB" w:rsidP="00F10DCA">
      <w:pPr>
        <w:spacing w:after="0" w:line="240" w:lineRule="auto"/>
        <w:rPr>
          <w:rFonts w:eastAsiaTheme="majorEastAsia" w:cstheme="minorHAnsi"/>
          <w:b/>
          <w:bCs/>
          <w:sz w:val="28"/>
          <w:szCs w:val="28"/>
        </w:rPr>
      </w:pPr>
    </w:p>
    <w:p w14:paraId="365B50B3" w14:textId="4D48D551" w:rsidR="002C7277" w:rsidRPr="00905D73" w:rsidRDefault="00AB17F5" w:rsidP="00905D73">
      <w:pPr>
        <w:spacing w:after="0" w:line="240" w:lineRule="auto"/>
        <w:ind w:left="426" w:hanging="426"/>
        <w:rPr>
          <w:rFonts w:eastAsiaTheme="majorEastAsia" w:cstheme="minorHAnsi"/>
          <w:sz w:val="32"/>
          <w:szCs w:val="32"/>
        </w:rPr>
      </w:pPr>
      <w:r w:rsidRPr="00905D73">
        <w:rPr>
          <w:rFonts w:eastAsiaTheme="majorEastAsia" w:cstheme="minorHAnsi"/>
          <w:b/>
          <w:bCs/>
          <w:sz w:val="32"/>
          <w:szCs w:val="32"/>
        </w:rPr>
        <w:t>3.</w:t>
      </w:r>
      <w:r w:rsidRPr="00905D73">
        <w:rPr>
          <w:rFonts w:eastAsiaTheme="majorEastAsia" w:cstheme="minorHAnsi"/>
          <w:b/>
          <w:bCs/>
          <w:sz w:val="32"/>
          <w:szCs w:val="32"/>
        </w:rPr>
        <w:tab/>
      </w:r>
      <w:r w:rsidR="002C7277" w:rsidRPr="00905D73">
        <w:rPr>
          <w:rFonts w:eastAsiaTheme="majorEastAsia" w:cstheme="minorHAnsi"/>
          <w:b/>
          <w:bCs/>
          <w:sz w:val="32"/>
          <w:szCs w:val="32"/>
          <w:u w:val="single"/>
        </w:rPr>
        <w:t>Sharing the Vision/</w:t>
      </w:r>
      <w:r w:rsidR="00905D73">
        <w:rPr>
          <w:rFonts w:eastAsiaTheme="majorEastAsia" w:cstheme="minorHAnsi"/>
          <w:b/>
          <w:bCs/>
          <w:sz w:val="32"/>
          <w:szCs w:val="32"/>
          <w:u w:val="single"/>
        </w:rPr>
        <w:t>National Implementati</w:t>
      </w:r>
      <w:r w:rsidR="00DB1E29">
        <w:rPr>
          <w:rFonts w:eastAsiaTheme="majorEastAsia" w:cstheme="minorHAnsi"/>
          <w:b/>
          <w:bCs/>
          <w:sz w:val="32"/>
          <w:szCs w:val="32"/>
          <w:u w:val="single"/>
        </w:rPr>
        <w:t>o</w:t>
      </w:r>
      <w:r w:rsidR="00905D73">
        <w:rPr>
          <w:rFonts w:eastAsiaTheme="majorEastAsia" w:cstheme="minorHAnsi"/>
          <w:b/>
          <w:bCs/>
          <w:sz w:val="32"/>
          <w:szCs w:val="32"/>
          <w:u w:val="single"/>
        </w:rPr>
        <w:t>n</w:t>
      </w:r>
      <w:r w:rsidR="00DB1E29">
        <w:rPr>
          <w:rFonts w:eastAsiaTheme="majorEastAsia" w:cstheme="minorHAnsi"/>
          <w:b/>
          <w:bCs/>
          <w:sz w:val="32"/>
          <w:szCs w:val="32"/>
          <w:u w:val="single"/>
        </w:rPr>
        <w:t xml:space="preserve"> </w:t>
      </w:r>
      <w:r w:rsidR="00905D73">
        <w:rPr>
          <w:rFonts w:eastAsiaTheme="majorEastAsia" w:cstheme="minorHAnsi"/>
          <w:b/>
          <w:bCs/>
          <w:sz w:val="32"/>
          <w:szCs w:val="32"/>
          <w:u w:val="single"/>
        </w:rPr>
        <w:t>Monitoring Committee (</w:t>
      </w:r>
      <w:r w:rsidR="002C7277" w:rsidRPr="00905D73">
        <w:rPr>
          <w:rFonts w:eastAsiaTheme="majorEastAsia" w:cstheme="minorHAnsi"/>
          <w:b/>
          <w:bCs/>
          <w:sz w:val="32"/>
          <w:szCs w:val="32"/>
          <w:u w:val="single"/>
        </w:rPr>
        <w:t>NIMC</w:t>
      </w:r>
      <w:r w:rsidR="00905D73">
        <w:rPr>
          <w:rFonts w:eastAsiaTheme="majorEastAsia" w:cstheme="minorHAnsi"/>
          <w:b/>
          <w:bCs/>
          <w:sz w:val="32"/>
          <w:szCs w:val="32"/>
          <w:u w:val="single"/>
        </w:rPr>
        <w:t>).</w:t>
      </w:r>
    </w:p>
    <w:p w14:paraId="6833B931" w14:textId="77777777" w:rsidR="002C7277" w:rsidRPr="00F10DCA" w:rsidRDefault="002C7277" w:rsidP="00F10DCA">
      <w:pPr>
        <w:spacing w:after="0" w:line="240" w:lineRule="auto"/>
        <w:ind w:left="426"/>
        <w:rPr>
          <w:rFonts w:cstheme="minorHAnsi"/>
          <w:sz w:val="28"/>
          <w:szCs w:val="28"/>
        </w:rPr>
      </w:pPr>
    </w:p>
    <w:p w14:paraId="235488A9"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bookmarkStart w:id="1" w:name="_Hlk71195538"/>
      <w:r w:rsidRPr="00F10DCA">
        <w:rPr>
          <w:rFonts w:eastAsia="Calibri" w:cstheme="minorHAnsi"/>
          <w:i/>
          <w:iCs/>
          <w:sz w:val="28"/>
          <w:szCs w:val="28"/>
        </w:rPr>
        <w:t>Sharing the Vision</w:t>
      </w:r>
      <w:r w:rsidRPr="00F10DCA">
        <w:rPr>
          <w:rFonts w:eastAsia="Calibri" w:cstheme="minorHAnsi"/>
          <w:sz w:val="28"/>
          <w:szCs w:val="28"/>
        </w:rPr>
        <w:t xml:space="preserve"> aims to enhance provision of mental health services and supports across a broad continuum of services, from mental health promotion, prevention and early intervention to acute and specialist service delivery, during the period 2020-2030.</w:t>
      </w:r>
    </w:p>
    <w:p w14:paraId="7D0B7888" w14:textId="77777777" w:rsidR="002C7277" w:rsidRPr="00F10DCA" w:rsidRDefault="002C7277" w:rsidP="00F10DCA">
      <w:pPr>
        <w:spacing w:after="0" w:line="240" w:lineRule="auto"/>
        <w:ind w:left="426"/>
        <w:contextualSpacing/>
        <w:rPr>
          <w:rFonts w:eastAsia="Calibri" w:cstheme="minorHAnsi"/>
          <w:sz w:val="28"/>
          <w:szCs w:val="28"/>
        </w:rPr>
      </w:pPr>
    </w:p>
    <w:p w14:paraId="3C1C0200"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eastAsia="Calibri" w:cstheme="minorHAnsi"/>
          <w:sz w:val="28"/>
          <w:szCs w:val="28"/>
        </w:rPr>
        <w:t>A whole-of-government National Implementation Monitoring Committee (NIMC), with strong service user and voluntary and community sector representation, was established in December 2020 to oversee implementation and to monitor progress.</w:t>
      </w:r>
    </w:p>
    <w:p w14:paraId="198598F0" w14:textId="77777777" w:rsidR="002C7277" w:rsidRPr="00F10DCA" w:rsidRDefault="002C7277" w:rsidP="00F10DCA">
      <w:pPr>
        <w:spacing w:after="0" w:line="240" w:lineRule="auto"/>
        <w:ind w:left="426"/>
        <w:contextualSpacing/>
        <w:rPr>
          <w:rFonts w:eastAsia="Calibri" w:cstheme="minorHAnsi"/>
          <w:sz w:val="28"/>
          <w:szCs w:val="28"/>
        </w:rPr>
      </w:pPr>
    </w:p>
    <w:p w14:paraId="3548E7FC"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eastAsia="Calibri" w:cstheme="minorHAnsi"/>
          <w:sz w:val="28"/>
          <w:szCs w:val="28"/>
        </w:rPr>
        <w:t xml:space="preserve">The NIMC is made up of the NIMC Steering Committee, to be supported by a NIMC Reference Group of Service Users and Families and NIMC Specialist Groups. The Steering Committee will drive implementation of </w:t>
      </w:r>
      <w:r w:rsidRPr="00F10DCA">
        <w:rPr>
          <w:rFonts w:eastAsia="Calibri" w:cstheme="minorHAnsi"/>
          <w:i/>
          <w:iCs/>
          <w:sz w:val="28"/>
          <w:szCs w:val="28"/>
        </w:rPr>
        <w:t>Sharing the Vision</w:t>
      </w:r>
      <w:r w:rsidRPr="00F10DCA">
        <w:rPr>
          <w:rFonts w:eastAsia="Calibri" w:cstheme="minorHAnsi"/>
          <w:sz w:val="28"/>
          <w:szCs w:val="28"/>
        </w:rPr>
        <w:t xml:space="preserve"> and ensure appropriate monitoring and oversight processes are put in place. </w:t>
      </w:r>
    </w:p>
    <w:p w14:paraId="48F87C3F" w14:textId="77777777" w:rsidR="002C7277" w:rsidRPr="00F10DCA" w:rsidRDefault="002C7277" w:rsidP="00F10DCA">
      <w:pPr>
        <w:spacing w:after="0" w:line="240" w:lineRule="auto"/>
        <w:ind w:left="426"/>
        <w:contextualSpacing/>
        <w:rPr>
          <w:rFonts w:eastAsia="Calibri" w:cstheme="minorHAnsi"/>
          <w:sz w:val="28"/>
          <w:szCs w:val="28"/>
        </w:rPr>
      </w:pPr>
    </w:p>
    <w:p w14:paraId="7FC36495"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eastAsia="Calibri" w:cstheme="minorHAnsi"/>
          <w:sz w:val="28"/>
          <w:szCs w:val="28"/>
        </w:rPr>
        <w:t xml:space="preserve">The HSE has primary responsibility for implementing most of the </w:t>
      </w:r>
      <w:r w:rsidRPr="00F10DCA">
        <w:rPr>
          <w:rFonts w:eastAsia="Calibri" w:cstheme="minorHAnsi"/>
          <w:i/>
          <w:iCs/>
          <w:sz w:val="28"/>
          <w:szCs w:val="28"/>
        </w:rPr>
        <w:t>Sharing the Vision</w:t>
      </w:r>
      <w:r w:rsidRPr="00F10DCA">
        <w:rPr>
          <w:rFonts w:eastAsia="Calibri" w:cstheme="minorHAnsi"/>
          <w:sz w:val="28"/>
          <w:szCs w:val="28"/>
        </w:rPr>
        <w:t xml:space="preserve"> recommendations. It is establishing an HSE Implementation Group, reporting to the NIMC Steering Committee.</w:t>
      </w:r>
      <w:r w:rsidRPr="00F10DCA">
        <w:rPr>
          <w:rFonts w:cstheme="minorHAnsi"/>
          <w:sz w:val="28"/>
          <w:szCs w:val="28"/>
        </w:rPr>
        <w:t xml:space="preserve"> Establishing the Implementation Group is progressing as quickly as possible, given the pressures on services due to Covid-19. One of the first tasks of the Steering Committee, with the HSE Implementation Group, will be to ascertain ongoing Sharing the Vision aligned tasks and projects.</w:t>
      </w:r>
    </w:p>
    <w:p w14:paraId="64E37CC2" w14:textId="77777777" w:rsidR="002C7277" w:rsidRPr="00F10DCA" w:rsidRDefault="002C7277" w:rsidP="00F10DCA">
      <w:pPr>
        <w:spacing w:after="0" w:line="240" w:lineRule="auto"/>
        <w:contextualSpacing/>
        <w:rPr>
          <w:rFonts w:eastAsia="Calibri" w:cstheme="minorHAnsi"/>
          <w:sz w:val="28"/>
          <w:szCs w:val="28"/>
        </w:rPr>
      </w:pPr>
    </w:p>
    <w:p w14:paraId="0636129F"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eastAsia="Calibri" w:cstheme="minorHAnsi"/>
          <w:sz w:val="28"/>
          <w:szCs w:val="28"/>
        </w:rPr>
        <w:t>The Steering Committee’s work is progressing. To date, it has held four monthly business meetings. The next monthly meeting is scheduled for 14 May 2021. Meeting minutes will be available on the DH website.</w:t>
      </w:r>
    </w:p>
    <w:p w14:paraId="6374FFB4" w14:textId="77777777" w:rsidR="002C7277" w:rsidRPr="00F10DCA" w:rsidRDefault="002C7277" w:rsidP="00F10DCA">
      <w:pPr>
        <w:spacing w:after="0" w:line="240" w:lineRule="auto"/>
        <w:ind w:left="720"/>
        <w:contextualSpacing/>
        <w:rPr>
          <w:rFonts w:eastAsia="Calibri" w:cstheme="minorHAnsi"/>
          <w:sz w:val="28"/>
          <w:szCs w:val="28"/>
        </w:rPr>
      </w:pPr>
    </w:p>
    <w:p w14:paraId="1A828119" w14:textId="77777777" w:rsidR="002C7277" w:rsidRPr="00F10DCA" w:rsidRDefault="002C7277"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An implementation monitoring approach to the 17 non-HSE Sharing the Vision recommendations is currently being progressed by the NIMC Secretariat on behalf of the Steering Committee, through interdepartmental and intradepartmental engagement. The Steering Committee is seeking to set Annual Milestones for all non-HSE recommendations for 2021. </w:t>
      </w:r>
    </w:p>
    <w:p w14:paraId="1B9F545B" w14:textId="77777777" w:rsidR="002C7277" w:rsidRPr="00F10DCA" w:rsidRDefault="002C7277" w:rsidP="00F10DCA">
      <w:pPr>
        <w:pStyle w:val="ListParagraph"/>
        <w:spacing w:line="240" w:lineRule="auto"/>
        <w:rPr>
          <w:rFonts w:cstheme="minorHAnsi"/>
          <w:sz w:val="28"/>
          <w:szCs w:val="28"/>
        </w:rPr>
      </w:pPr>
    </w:p>
    <w:p w14:paraId="4A73EA58" w14:textId="77777777" w:rsidR="002C7277" w:rsidRPr="00F10DCA" w:rsidRDefault="002C7277"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These 17 non-HSE cross departmental recommendations address the following themes:</w:t>
      </w:r>
    </w:p>
    <w:p w14:paraId="5BF21027" w14:textId="77777777" w:rsidR="002C7277" w:rsidRPr="00F10DCA" w:rsidRDefault="002C7277" w:rsidP="00F10DCA">
      <w:pPr>
        <w:autoSpaceDE w:val="0"/>
        <w:autoSpaceDN w:val="0"/>
        <w:spacing w:after="0" w:line="240" w:lineRule="auto"/>
        <w:contextualSpacing/>
        <w:rPr>
          <w:rFonts w:cstheme="minorHAnsi"/>
          <w:sz w:val="28"/>
          <w:szCs w:val="28"/>
        </w:rPr>
      </w:pPr>
    </w:p>
    <w:p w14:paraId="70628E5E"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Mental Health Promotion</w:t>
      </w:r>
    </w:p>
    <w:p w14:paraId="0FFCA310"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Women's Mental Health</w:t>
      </w:r>
    </w:p>
    <w:p w14:paraId="6A085A7A"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Mental Health within Education</w:t>
      </w:r>
    </w:p>
    <w:p w14:paraId="5D83E6F7"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Older People's Mental Health</w:t>
      </w:r>
    </w:p>
    <w:p w14:paraId="28407A1B"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Housing Supports for Mental Health Service Users</w:t>
      </w:r>
    </w:p>
    <w:p w14:paraId="4C99389F"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Employment Supports for Mental Health Service Users</w:t>
      </w:r>
    </w:p>
    <w:p w14:paraId="2D1E0B4C"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Diversion from Criminal Justice System (see below)</w:t>
      </w:r>
    </w:p>
    <w:p w14:paraId="74A42CC9"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Suicide Reporting</w:t>
      </w:r>
    </w:p>
    <w:p w14:paraId="5957147A"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Mental Health Act Reform</w:t>
      </w:r>
    </w:p>
    <w:p w14:paraId="7CB97717"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Developing Mental Health Services Research Strategy</w:t>
      </w:r>
    </w:p>
    <w:p w14:paraId="721AA756"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 xml:space="preserve">Developing Sharing the Vision implementation structures. </w:t>
      </w:r>
    </w:p>
    <w:p w14:paraId="0392835C" w14:textId="77777777" w:rsidR="002C7277" w:rsidRPr="00F10DCA" w:rsidRDefault="002C7277" w:rsidP="00DB1E29">
      <w:pPr>
        <w:pStyle w:val="ListParagraph"/>
        <w:numPr>
          <w:ilvl w:val="0"/>
          <w:numId w:val="27"/>
        </w:numPr>
        <w:spacing w:after="0" w:line="240" w:lineRule="auto"/>
        <w:rPr>
          <w:rFonts w:eastAsia="Times New Roman" w:cstheme="minorHAnsi"/>
          <w:sz w:val="28"/>
          <w:szCs w:val="28"/>
        </w:rPr>
      </w:pPr>
      <w:r w:rsidRPr="00F10DCA">
        <w:rPr>
          <w:rFonts w:eastAsia="Times New Roman" w:cstheme="minorHAnsi"/>
          <w:sz w:val="28"/>
          <w:szCs w:val="28"/>
        </w:rPr>
        <w:t xml:space="preserve">Mental Health Training Programme Review </w:t>
      </w:r>
    </w:p>
    <w:p w14:paraId="26C6104E" w14:textId="77777777" w:rsidR="002C7277" w:rsidRPr="00F10DCA" w:rsidRDefault="002C7277" w:rsidP="00F10DCA">
      <w:pPr>
        <w:pStyle w:val="ListParagraph"/>
        <w:spacing w:line="240" w:lineRule="auto"/>
        <w:rPr>
          <w:rFonts w:cstheme="minorHAnsi"/>
          <w:sz w:val="28"/>
          <w:szCs w:val="28"/>
        </w:rPr>
      </w:pPr>
    </w:p>
    <w:p w14:paraId="176C3670" w14:textId="77777777" w:rsidR="002C7277" w:rsidRPr="00F10DCA" w:rsidRDefault="002C7277" w:rsidP="00F10DCA">
      <w:pPr>
        <w:autoSpaceDE w:val="0"/>
        <w:autoSpaceDN w:val="0"/>
        <w:spacing w:after="0" w:line="240" w:lineRule="auto"/>
        <w:ind w:left="426"/>
        <w:contextualSpacing/>
        <w:rPr>
          <w:rFonts w:cstheme="minorHAnsi"/>
          <w:sz w:val="28"/>
          <w:szCs w:val="28"/>
        </w:rPr>
      </w:pPr>
    </w:p>
    <w:p w14:paraId="2D711FB6"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eastAsia="Calibri" w:cstheme="minorHAnsi"/>
          <w:sz w:val="28"/>
          <w:szCs w:val="28"/>
        </w:rPr>
        <w:t xml:space="preserve">Sharing the Vision contains 4 medium term recommendations that specifically pertain to forensic mental health services (54, 55, 56 &amp; 87). </w:t>
      </w:r>
    </w:p>
    <w:p w14:paraId="67DA455C" w14:textId="77777777" w:rsidR="002C7277" w:rsidRPr="00F10DCA" w:rsidRDefault="002C7277" w:rsidP="00F10DCA">
      <w:pPr>
        <w:pStyle w:val="ListParagraph"/>
        <w:spacing w:line="240" w:lineRule="auto"/>
        <w:rPr>
          <w:rFonts w:eastAsia="Calibri" w:cstheme="minorHAnsi"/>
          <w:sz w:val="28"/>
          <w:szCs w:val="28"/>
        </w:rPr>
      </w:pPr>
    </w:p>
    <w:p w14:paraId="3BA3B5C3"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eastAsia="Calibri" w:cstheme="minorHAnsi"/>
          <w:sz w:val="28"/>
          <w:szCs w:val="28"/>
        </w:rPr>
        <w:t xml:space="preserve">The policy recommends that every person with mental health difficulties coming into contact with the forensic system should have access to comprehensive stepped (or tiered) mental health support that is recovery-oriented and based on integrated co-produced recovery care plans supported by advocacy services as required. The policy additionally calls for the development of further Intensive Care Rehabilitation Units (ICRUs) should be prioritised following successful evaluation of operation of the new ICRU on the Portrane Campus. The HSE is the lead agency (along with the Prison Service) charged with implementing these recommendations. </w:t>
      </w:r>
    </w:p>
    <w:p w14:paraId="1280BD6E" w14:textId="77777777" w:rsidR="002C7277" w:rsidRPr="00F10DCA" w:rsidRDefault="002C7277" w:rsidP="00F10DCA">
      <w:pPr>
        <w:pStyle w:val="ListParagraph"/>
        <w:spacing w:line="240" w:lineRule="auto"/>
        <w:rPr>
          <w:rFonts w:cstheme="minorHAnsi"/>
          <w:sz w:val="28"/>
          <w:szCs w:val="28"/>
        </w:rPr>
      </w:pPr>
    </w:p>
    <w:p w14:paraId="6FEFD24A" w14:textId="5DC5520B"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cstheme="minorHAnsi"/>
          <w:sz w:val="28"/>
          <w:szCs w:val="28"/>
        </w:rPr>
        <w:t xml:space="preserve">With regard </w:t>
      </w:r>
      <w:r w:rsidR="000010A6">
        <w:rPr>
          <w:rFonts w:cstheme="minorHAnsi"/>
          <w:sz w:val="28"/>
          <w:szCs w:val="28"/>
        </w:rPr>
        <w:t>to</w:t>
      </w:r>
      <w:r w:rsidRPr="00F10DCA">
        <w:rPr>
          <w:rFonts w:cstheme="minorHAnsi"/>
          <w:sz w:val="28"/>
          <w:szCs w:val="28"/>
        </w:rPr>
        <w:t xml:space="preserve"> diversion, the policy recommends that there should be ongoing resourcing of and support for diversion schemes where individuals with mental health difficulties are diverted from the criminal justice system at the earliest possible stage and have their needs met within community and/or non-forensic mental health settings. The HSE and the Department of Justice are tasked with implementation.  </w:t>
      </w:r>
    </w:p>
    <w:p w14:paraId="5E635CF6" w14:textId="77777777" w:rsidR="002C7277" w:rsidRPr="00F10DCA" w:rsidRDefault="002C7277" w:rsidP="00F10DCA">
      <w:pPr>
        <w:pStyle w:val="ListParagraph"/>
        <w:spacing w:line="240" w:lineRule="auto"/>
        <w:rPr>
          <w:rFonts w:cstheme="minorHAnsi"/>
          <w:sz w:val="28"/>
          <w:szCs w:val="28"/>
        </w:rPr>
      </w:pPr>
    </w:p>
    <w:p w14:paraId="24F241C7" w14:textId="77777777" w:rsidR="002C7277" w:rsidRPr="00F10DCA" w:rsidRDefault="002C7277" w:rsidP="00F10DCA">
      <w:pPr>
        <w:numPr>
          <w:ilvl w:val="0"/>
          <w:numId w:val="1"/>
        </w:numPr>
        <w:autoSpaceDE w:val="0"/>
        <w:autoSpaceDN w:val="0"/>
        <w:spacing w:after="0" w:line="240" w:lineRule="auto"/>
        <w:ind w:left="426"/>
        <w:contextualSpacing/>
        <w:rPr>
          <w:rFonts w:eastAsia="Calibri" w:cstheme="minorHAnsi"/>
          <w:sz w:val="28"/>
          <w:szCs w:val="28"/>
        </w:rPr>
      </w:pPr>
      <w:r w:rsidRPr="00F10DCA">
        <w:rPr>
          <w:rFonts w:cstheme="minorHAnsi"/>
          <w:sz w:val="28"/>
          <w:szCs w:val="28"/>
        </w:rPr>
        <w:t xml:space="preserve">Additionally, the policy proposes that the Department of Justice and the National Implementation Monitoring Committee, in consultation with stakeholders, should determine whether legislation needs to be amended to allow for greater diversion of people with mental health difficulties from the criminal justice system. As this recommendation is allocated solely to the Department of Justice, NIMC is seeking to progress this recommendation through the work of this HLTF.  </w:t>
      </w:r>
    </w:p>
    <w:p w14:paraId="7CD24528" w14:textId="77777777" w:rsidR="002C7277" w:rsidRPr="00F10DCA" w:rsidRDefault="002C7277" w:rsidP="00F10DCA">
      <w:pPr>
        <w:spacing w:line="240" w:lineRule="auto"/>
        <w:rPr>
          <w:rFonts w:cstheme="minorHAnsi"/>
          <w:sz w:val="28"/>
          <w:szCs w:val="28"/>
        </w:rPr>
      </w:pPr>
    </w:p>
    <w:p w14:paraId="29B415E1" w14:textId="77777777" w:rsidR="002C7277" w:rsidRPr="00F10DCA" w:rsidRDefault="002C7277" w:rsidP="00F10DCA">
      <w:pPr>
        <w:spacing w:line="240" w:lineRule="auto"/>
        <w:rPr>
          <w:rFonts w:cstheme="minorHAnsi"/>
          <w:sz w:val="28"/>
          <w:szCs w:val="28"/>
        </w:rPr>
      </w:pPr>
    </w:p>
    <w:bookmarkEnd w:id="1"/>
    <w:p w14:paraId="3E1A415E" w14:textId="31FF2EBD" w:rsidR="00971793" w:rsidRDefault="00971793" w:rsidP="00F10DCA">
      <w:pPr>
        <w:spacing w:line="240" w:lineRule="auto"/>
        <w:rPr>
          <w:rFonts w:cstheme="minorHAnsi"/>
          <w:sz w:val="28"/>
          <w:szCs w:val="28"/>
        </w:rPr>
      </w:pPr>
    </w:p>
    <w:p w14:paraId="25B0E26D" w14:textId="0DEB3A4E" w:rsidR="00B22F0D" w:rsidRDefault="00B22F0D" w:rsidP="00F10DCA">
      <w:pPr>
        <w:spacing w:line="240" w:lineRule="auto"/>
        <w:rPr>
          <w:rFonts w:cstheme="minorHAnsi"/>
          <w:sz w:val="28"/>
          <w:szCs w:val="28"/>
        </w:rPr>
      </w:pPr>
    </w:p>
    <w:p w14:paraId="1428797C" w14:textId="77777777" w:rsidR="00B22F0D" w:rsidRPr="00F10DCA" w:rsidRDefault="00B22F0D" w:rsidP="00F10DCA">
      <w:pPr>
        <w:spacing w:line="240" w:lineRule="auto"/>
        <w:rPr>
          <w:rFonts w:cstheme="minorHAnsi"/>
          <w:sz w:val="28"/>
          <w:szCs w:val="28"/>
        </w:rPr>
      </w:pPr>
    </w:p>
    <w:p w14:paraId="18B62493" w14:textId="77777777" w:rsidR="00971793" w:rsidRPr="00F10DCA" w:rsidRDefault="00971793" w:rsidP="00F10DCA">
      <w:pPr>
        <w:spacing w:line="240" w:lineRule="auto"/>
        <w:rPr>
          <w:rFonts w:cstheme="minorHAnsi"/>
          <w:sz w:val="28"/>
          <w:szCs w:val="28"/>
        </w:rPr>
      </w:pPr>
    </w:p>
    <w:p w14:paraId="4880AD01" w14:textId="37345185" w:rsidR="003C3D08" w:rsidRPr="00B22F0D" w:rsidRDefault="00AB17F5" w:rsidP="00F10DCA">
      <w:pPr>
        <w:keepNext/>
        <w:keepLines/>
        <w:spacing w:before="240" w:after="0" w:line="240" w:lineRule="auto"/>
        <w:outlineLvl w:val="0"/>
        <w:rPr>
          <w:rFonts w:eastAsiaTheme="majorEastAsia" w:cstheme="minorHAnsi"/>
          <w:b/>
          <w:bCs/>
          <w:i/>
          <w:iCs/>
          <w:sz w:val="32"/>
          <w:szCs w:val="32"/>
        </w:rPr>
      </w:pPr>
      <w:bookmarkStart w:id="2" w:name="_Toc70510976"/>
      <w:r w:rsidRPr="00B22F0D">
        <w:rPr>
          <w:rFonts w:eastAsiaTheme="majorEastAsia" w:cstheme="minorHAnsi"/>
          <w:b/>
          <w:bCs/>
          <w:i/>
          <w:iCs/>
          <w:sz w:val="32"/>
          <w:szCs w:val="32"/>
        </w:rPr>
        <w:t>4.</w:t>
      </w:r>
      <w:r w:rsidRPr="00B22F0D">
        <w:rPr>
          <w:rFonts w:eastAsiaTheme="majorEastAsia" w:cstheme="minorHAnsi"/>
          <w:b/>
          <w:bCs/>
          <w:i/>
          <w:iCs/>
          <w:sz w:val="32"/>
          <w:szCs w:val="32"/>
        </w:rPr>
        <w:tab/>
      </w:r>
      <w:r w:rsidR="003C3D08" w:rsidRPr="00B22F0D">
        <w:rPr>
          <w:rFonts w:eastAsiaTheme="majorEastAsia" w:cstheme="minorHAnsi"/>
          <w:b/>
          <w:bCs/>
          <w:i/>
          <w:iCs/>
          <w:sz w:val="32"/>
          <w:szCs w:val="32"/>
          <w:u w:val="single"/>
        </w:rPr>
        <w:t>Connecting for Life/Suicide/Self-harm</w:t>
      </w:r>
      <w:bookmarkEnd w:id="2"/>
    </w:p>
    <w:p w14:paraId="0B79E6C5" w14:textId="77777777" w:rsidR="003C3D08" w:rsidRPr="00F10DCA" w:rsidRDefault="003C3D08" w:rsidP="00F10DCA">
      <w:pPr>
        <w:spacing w:after="0" w:line="240" w:lineRule="auto"/>
        <w:ind w:left="426"/>
        <w:rPr>
          <w:rFonts w:cstheme="minorHAnsi"/>
          <w:i/>
          <w:iCs/>
          <w:sz w:val="28"/>
          <w:szCs w:val="28"/>
        </w:rPr>
      </w:pPr>
    </w:p>
    <w:p w14:paraId="5E96BA27" w14:textId="77777777" w:rsidR="003C3D08" w:rsidRPr="00F10DCA" w:rsidRDefault="003C3D08" w:rsidP="00F10DCA">
      <w:pPr>
        <w:numPr>
          <w:ilvl w:val="0"/>
          <w:numId w:val="1"/>
        </w:numPr>
        <w:autoSpaceDE w:val="0"/>
        <w:autoSpaceDN w:val="0"/>
        <w:spacing w:after="0" w:line="240" w:lineRule="auto"/>
        <w:ind w:left="426"/>
        <w:contextualSpacing/>
        <w:rPr>
          <w:rFonts w:cstheme="minorHAnsi"/>
          <w:sz w:val="28"/>
          <w:szCs w:val="28"/>
          <w:u w:val="single"/>
        </w:rPr>
      </w:pPr>
      <w:r w:rsidRPr="00F10DCA">
        <w:rPr>
          <w:rFonts w:cstheme="minorHAnsi"/>
          <w:sz w:val="28"/>
          <w:szCs w:val="28"/>
        </w:rPr>
        <w:t>Connecting for Life (CfL) is Ireland’s national suicide prevention strategy. It aims to reduce suicide and self-harm rates, in general and in priority groups</w:t>
      </w:r>
      <w:bookmarkStart w:id="3" w:name="_Hlk51182487"/>
      <w:r w:rsidRPr="00F10DCA">
        <w:rPr>
          <w:rFonts w:cstheme="minorHAnsi"/>
          <w:sz w:val="28"/>
          <w:szCs w:val="28"/>
        </w:rPr>
        <w:t xml:space="preserve">. </w:t>
      </w:r>
      <w:bookmarkEnd w:id="3"/>
      <w:r w:rsidRPr="00F10DCA">
        <w:rPr>
          <w:rFonts w:cstheme="minorHAnsi"/>
          <w:sz w:val="28"/>
          <w:szCs w:val="28"/>
        </w:rPr>
        <w:t>In November 2020, Cabinet approved extending the Strategy from 2020 to 2024.</w:t>
      </w:r>
    </w:p>
    <w:p w14:paraId="577058E9" w14:textId="77777777" w:rsidR="003C3D08" w:rsidRPr="00F10DCA" w:rsidRDefault="003C3D08" w:rsidP="00F10DCA">
      <w:pPr>
        <w:autoSpaceDE w:val="0"/>
        <w:autoSpaceDN w:val="0"/>
        <w:spacing w:after="0" w:line="240" w:lineRule="auto"/>
        <w:ind w:left="426"/>
        <w:contextualSpacing/>
        <w:rPr>
          <w:rFonts w:cstheme="minorHAnsi"/>
          <w:sz w:val="28"/>
          <w:szCs w:val="28"/>
        </w:rPr>
      </w:pPr>
    </w:p>
    <w:p w14:paraId="0C0FCE52" w14:textId="77777777" w:rsidR="003C3D08" w:rsidRPr="00F10DCA" w:rsidRDefault="003C3D08"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A cross-departmental, cross-sectoral strategy, CfL is overseen by DH and implemented by the National Office for Suicide Prevention (NOSP). 54% of NOSP’s €13m budget funds partner NGOs (eg Pieta House, Samaritans) to deliver services where the HSE cannot do so.</w:t>
      </w:r>
    </w:p>
    <w:p w14:paraId="556AD3F0" w14:textId="77777777" w:rsidR="003C3D08" w:rsidRPr="00F10DCA" w:rsidRDefault="003C3D08" w:rsidP="00F10DCA">
      <w:pPr>
        <w:tabs>
          <w:tab w:val="left" w:pos="1995"/>
        </w:tabs>
        <w:spacing w:after="0" w:line="240" w:lineRule="auto"/>
        <w:ind w:left="426" w:firstLine="1997"/>
        <w:rPr>
          <w:rFonts w:cstheme="minorHAnsi"/>
          <w:sz w:val="28"/>
          <w:szCs w:val="28"/>
        </w:rPr>
      </w:pPr>
    </w:p>
    <w:p w14:paraId="7E518835" w14:textId="77777777" w:rsidR="003C3D08" w:rsidRPr="00F10DCA" w:rsidRDefault="003C3D08"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Suicide numbers in Ireland reduced from 578 in 2012 to 516 in 2016 (CSO official figures, including late registrations). The 2019 CSO provisional figure was 421 but this will change with late registrations. </w:t>
      </w:r>
    </w:p>
    <w:p w14:paraId="18E35A48" w14:textId="77777777" w:rsidR="003C3D08" w:rsidRPr="00F10DCA" w:rsidRDefault="003C3D08" w:rsidP="00F10DCA">
      <w:pPr>
        <w:autoSpaceDE w:val="0"/>
        <w:autoSpaceDN w:val="0"/>
        <w:spacing w:after="0" w:line="240" w:lineRule="auto"/>
        <w:ind w:left="426"/>
        <w:contextualSpacing/>
        <w:rPr>
          <w:rFonts w:cstheme="minorHAnsi"/>
          <w:sz w:val="28"/>
          <w:szCs w:val="28"/>
        </w:rPr>
      </w:pPr>
    </w:p>
    <w:p w14:paraId="650B4DE7" w14:textId="77777777" w:rsidR="003C3D08" w:rsidRPr="00F10DCA" w:rsidRDefault="003C3D08" w:rsidP="00F10DCA">
      <w:pPr>
        <w:numPr>
          <w:ilvl w:val="0"/>
          <w:numId w:val="1"/>
        </w:numPr>
        <w:autoSpaceDE w:val="0"/>
        <w:autoSpaceDN w:val="0"/>
        <w:spacing w:after="0" w:line="240" w:lineRule="auto"/>
        <w:ind w:left="426"/>
        <w:contextualSpacing/>
        <w:rPr>
          <w:rFonts w:cstheme="minorHAnsi"/>
          <w:bCs/>
          <w:sz w:val="28"/>
          <w:szCs w:val="28"/>
        </w:rPr>
      </w:pPr>
      <w:r w:rsidRPr="00F10DCA">
        <w:rPr>
          <w:rFonts w:cstheme="minorHAnsi"/>
          <w:bCs/>
          <w:sz w:val="28"/>
          <w:szCs w:val="28"/>
        </w:rPr>
        <w:t>2020 CSO suicide figures are not yet available. These are generally published in June the following year, but this may be delayed due to the impact of Covid on coroners’ inquests.</w:t>
      </w:r>
    </w:p>
    <w:p w14:paraId="1B904BC2" w14:textId="77777777" w:rsidR="003C3D08" w:rsidRPr="00F10DCA" w:rsidRDefault="003C3D08" w:rsidP="00B22F0D">
      <w:pPr>
        <w:spacing w:after="0" w:line="240" w:lineRule="auto"/>
        <w:contextualSpacing/>
        <w:rPr>
          <w:rFonts w:cstheme="minorHAnsi"/>
          <w:sz w:val="28"/>
          <w:szCs w:val="28"/>
        </w:rPr>
      </w:pPr>
    </w:p>
    <w:p w14:paraId="09B720E7" w14:textId="77777777" w:rsidR="003C3D08" w:rsidRPr="00F10DCA" w:rsidRDefault="003C3D08" w:rsidP="00F10DCA">
      <w:pPr>
        <w:numPr>
          <w:ilvl w:val="0"/>
          <w:numId w:val="1"/>
        </w:numPr>
        <w:autoSpaceDE w:val="0"/>
        <w:autoSpaceDN w:val="0"/>
        <w:spacing w:after="0" w:line="240" w:lineRule="auto"/>
        <w:ind w:left="426"/>
        <w:contextualSpacing/>
        <w:rPr>
          <w:rFonts w:cstheme="minorHAnsi"/>
          <w:bCs/>
          <w:sz w:val="28"/>
          <w:szCs w:val="28"/>
        </w:rPr>
      </w:pPr>
      <w:r w:rsidRPr="00F10DCA">
        <w:rPr>
          <w:rFonts w:cstheme="minorHAnsi"/>
          <w:sz w:val="28"/>
          <w:szCs w:val="28"/>
        </w:rPr>
        <w:t>Early international evidence indicates no increase in suicide in higher income countries, with a decrease in self-harm/suicide attempts, in the first months of the pandemic. These findings should be interpreted with caution as patterns may change over time.</w:t>
      </w:r>
    </w:p>
    <w:p w14:paraId="51760613" w14:textId="77777777" w:rsidR="003C3D08" w:rsidRPr="00F10DCA" w:rsidRDefault="003C3D08" w:rsidP="00F10DCA">
      <w:pPr>
        <w:spacing w:after="0" w:line="240" w:lineRule="auto"/>
        <w:ind w:left="426"/>
        <w:contextualSpacing/>
        <w:rPr>
          <w:rFonts w:cstheme="minorHAnsi"/>
          <w:sz w:val="28"/>
          <w:szCs w:val="28"/>
        </w:rPr>
      </w:pPr>
    </w:p>
    <w:p w14:paraId="37D3DDAC" w14:textId="77777777" w:rsidR="003C3D08" w:rsidRPr="00F10DCA" w:rsidRDefault="003C3D08" w:rsidP="00F10DCA">
      <w:pPr>
        <w:numPr>
          <w:ilvl w:val="0"/>
          <w:numId w:val="3"/>
        </w:numPr>
        <w:autoSpaceDE w:val="0"/>
        <w:autoSpaceDN w:val="0"/>
        <w:adjustRightInd w:val="0"/>
        <w:spacing w:after="0" w:line="240" w:lineRule="auto"/>
        <w:ind w:left="426"/>
        <w:contextualSpacing/>
        <w:rPr>
          <w:rFonts w:cstheme="minorHAnsi"/>
          <w:sz w:val="28"/>
          <w:szCs w:val="28"/>
        </w:rPr>
      </w:pPr>
      <w:r w:rsidRPr="00F10DCA">
        <w:rPr>
          <w:rFonts w:cstheme="minorHAnsi"/>
          <w:sz w:val="28"/>
          <w:szCs w:val="28"/>
        </w:rPr>
        <w:t xml:space="preserve">Two organisations keep statistics on presentations to emergency departments following self-harm - the National Suicide Research Foundation (NSRF) and the National Clinical Programme for Patients Presenting to Emergency Departments following Self-Harm (NCP-SH) </w:t>
      </w:r>
    </w:p>
    <w:p w14:paraId="55EBCFFF" w14:textId="77777777" w:rsidR="003C3D08" w:rsidRPr="00F10DCA" w:rsidRDefault="003C3D08" w:rsidP="00F10DCA">
      <w:pPr>
        <w:spacing w:after="0" w:line="240" w:lineRule="auto"/>
        <w:ind w:left="426"/>
        <w:contextualSpacing/>
        <w:rPr>
          <w:rFonts w:cstheme="minorHAnsi"/>
          <w:sz w:val="28"/>
          <w:szCs w:val="28"/>
        </w:rPr>
      </w:pPr>
    </w:p>
    <w:p w14:paraId="430911D1" w14:textId="1EA7575F" w:rsidR="003C3D08" w:rsidRPr="00F10DCA" w:rsidRDefault="003C3D08" w:rsidP="00F10DCA">
      <w:pPr>
        <w:spacing w:line="240" w:lineRule="auto"/>
        <w:rPr>
          <w:rFonts w:cstheme="minorHAnsi"/>
          <w:sz w:val="28"/>
          <w:szCs w:val="28"/>
        </w:rPr>
      </w:pPr>
      <w:r w:rsidRPr="00F10DCA">
        <w:rPr>
          <w:rFonts w:cstheme="minorHAnsi"/>
          <w:sz w:val="28"/>
          <w:szCs w:val="28"/>
        </w:rPr>
        <w:t>NSHRI and NCP-SH data indicate a decrease in self-harm presentations to EDs compared to 2019. ED presentations fell by about 40% during the earlier restrictions, in line with international data. While early information suggests no significant increase in self-harm and suicide, the Department will continue to monitor this area.</w:t>
      </w:r>
    </w:p>
    <w:p w14:paraId="14CF87FE" w14:textId="530D62BF" w:rsidR="00DA5478" w:rsidRDefault="00DA5478" w:rsidP="00F10DCA">
      <w:pPr>
        <w:spacing w:line="240" w:lineRule="auto"/>
        <w:rPr>
          <w:rFonts w:cstheme="minorHAnsi"/>
          <w:sz w:val="28"/>
          <w:szCs w:val="28"/>
        </w:rPr>
      </w:pPr>
    </w:p>
    <w:p w14:paraId="43922655" w14:textId="58D568C3" w:rsidR="00B22F0D" w:rsidRDefault="00B22F0D" w:rsidP="00F10DCA">
      <w:pPr>
        <w:spacing w:line="240" w:lineRule="auto"/>
        <w:rPr>
          <w:rFonts w:cstheme="minorHAnsi"/>
          <w:sz w:val="28"/>
          <w:szCs w:val="28"/>
        </w:rPr>
      </w:pPr>
    </w:p>
    <w:p w14:paraId="0E20F189" w14:textId="77777777" w:rsidR="00B22F0D" w:rsidRPr="00F10DCA" w:rsidRDefault="00B22F0D" w:rsidP="00F10DCA">
      <w:pPr>
        <w:spacing w:line="240" w:lineRule="auto"/>
        <w:rPr>
          <w:rFonts w:cstheme="minorHAnsi"/>
          <w:sz w:val="28"/>
          <w:szCs w:val="28"/>
        </w:rPr>
      </w:pPr>
    </w:p>
    <w:p w14:paraId="5ED362DC" w14:textId="452D3114" w:rsidR="00DA5478" w:rsidRPr="00B22F0D" w:rsidRDefault="00AB17F5" w:rsidP="00F10DCA">
      <w:pPr>
        <w:keepNext/>
        <w:keepLines/>
        <w:spacing w:before="240" w:after="0" w:line="240" w:lineRule="auto"/>
        <w:outlineLvl w:val="0"/>
        <w:rPr>
          <w:rFonts w:eastAsia="Times New Roman" w:cstheme="minorHAnsi"/>
          <w:b/>
          <w:bCs/>
          <w:sz w:val="32"/>
          <w:szCs w:val="32"/>
        </w:rPr>
      </w:pPr>
      <w:bookmarkStart w:id="4" w:name="_Toc70510977"/>
      <w:r w:rsidRPr="00B22F0D">
        <w:rPr>
          <w:rFonts w:eastAsia="Times New Roman" w:cstheme="minorHAnsi"/>
          <w:b/>
          <w:bCs/>
          <w:sz w:val="32"/>
          <w:szCs w:val="32"/>
        </w:rPr>
        <w:t>5.</w:t>
      </w:r>
      <w:r w:rsidRPr="00B22F0D">
        <w:rPr>
          <w:rFonts w:eastAsia="Times New Roman" w:cstheme="minorHAnsi"/>
          <w:b/>
          <w:bCs/>
          <w:sz w:val="32"/>
          <w:szCs w:val="32"/>
        </w:rPr>
        <w:tab/>
      </w:r>
      <w:r w:rsidR="00DA5478" w:rsidRPr="00B22F0D">
        <w:rPr>
          <w:rFonts w:eastAsia="Times New Roman" w:cstheme="minorHAnsi"/>
          <w:b/>
          <w:bCs/>
          <w:sz w:val="32"/>
          <w:szCs w:val="32"/>
          <w:u w:val="single"/>
        </w:rPr>
        <w:t xml:space="preserve">Mental Health </w:t>
      </w:r>
      <w:r w:rsidR="00B22F0D">
        <w:rPr>
          <w:rFonts w:eastAsia="Times New Roman" w:cstheme="minorHAnsi"/>
          <w:b/>
          <w:bCs/>
          <w:sz w:val="32"/>
          <w:szCs w:val="32"/>
          <w:u w:val="single"/>
        </w:rPr>
        <w:t>f</w:t>
      </w:r>
      <w:r w:rsidR="00DA5478" w:rsidRPr="00B22F0D">
        <w:rPr>
          <w:rFonts w:eastAsia="Times New Roman" w:cstheme="minorHAnsi"/>
          <w:b/>
          <w:bCs/>
          <w:sz w:val="32"/>
          <w:szCs w:val="32"/>
          <w:u w:val="single"/>
        </w:rPr>
        <w:t>unding</w:t>
      </w:r>
      <w:bookmarkEnd w:id="4"/>
    </w:p>
    <w:p w14:paraId="6E8474F9" w14:textId="77777777" w:rsidR="00DA5478" w:rsidRPr="00F10DCA" w:rsidRDefault="00DA5478" w:rsidP="00F10DCA">
      <w:pPr>
        <w:spacing w:after="0" w:line="240" w:lineRule="auto"/>
        <w:ind w:left="426"/>
        <w:rPr>
          <w:rFonts w:eastAsia="Times New Roman" w:cstheme="minorHAnsi"/>
          <w:b/>
          <w:bCs/>
          <w:sz w:val="28"/>
          <w:szCs w:val="28"/>
        </w:rPr>
      </w:pPr>
    </w:p>
    <w:p w14:paraId="6A88799A"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Budget 2021 saw an additional €50m of Exchequer funding allocated to HSE Mental Health Services, bringing the total budget to €1.114b. </w:t>
      </w:r>
    </w:p>
    <w:p w14:paraId="10AE009C" w14:textId="77777777" w:rsidR="00DA5478" w:rsidRPr="00F10DCA" w:rsidRDefault="00DA5478" w:rsidP="00F10DCA">
      <w:pPr>
        <w:autoSpaceDE w:val="0"/>
        <w:autoSpaceDN w:val="0"/>
        <w:spacing w:after="0" w:line="240" w:lineRule="auto"/>
        <w:ind w:left="66"/>
        <w:rPr>
          <w:rFonts w:cstheme="minorHAnsi"/>
          <w:sz w:val="28"/>
          <w:szCs w:val="28"/>
        </w:rPr>
      </w:pPr>
    </w:p>
    <w:tbl>
      <w:tblPr>
        <w:tblW w:w="8788" w:type="dxa"/>
        <w:tblInd w:w="534" w:type="dxa"/>
        <w:tblLayout w:type="fixed"/>
        <w:tblLook w:val="04A0" w:firstRow="1" w:lastRow="0" w:firstColumn="1" w:lastColumn="0" w:noHBand="0" w:noVBand="1"/>
      </w:tblPr>
      <w:tblGrid>
        <w:gridCol w:w="850"/>
        <w:gridCol w:w="851"/>
        <w:gridCol w:w="850"/>
        <w:gridCol w:w="851"/>
        <w:gridCol w:w="850"/>
        <w:gridCol w:w="851"/>
        <w:gridCol w:w="850"/>
        <w:gridCol w:w="851"/>
        <w:gridCol w:w="992"/>
        <w:gridCol w:w="992"/>
      </w:tblGrid>
      <w:tr w:rsidR="001C1818" w:rsidRPr="00F10DCA" w14:paraId="2A51A399" w14:textId="77777777" w:rsidTr="00D33884">
        <w:trPr>
          <w:trHeight w:val="394"/>
        </w:trPr>
        <w:tc>
          <w:tcPr>
            <w:tcW w:w="8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5A1737"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2012</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6139A22C"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2013</w:t>
            </w:r>
          </w:p>
        </w:tc>
        <w:tc>
          <w:tcPr>
            <w:tcW w:w="850" w:type="dxa"/>
            <w:tcBorders>
              <w:top w:val="single" w:sz="8" w:space="0" w:color="auto"/>
              <w:left w:val="nil"/>
              <w:bottom w:val="single" w:sz="8" w:space="0" w:color="auto"/>
              <w:right w:val="single" w:sz="8" w:space="0" w:color="auto"/>
            </w:tcBorders>
            <w:shd w:val="clear" w:color="auto" w:fill="auto"/>
            <w:vAlign w:val="center"/>
            <w:hideMark/>
          </w:tcPr>
          <w:p w14:paraId="7B0F624C"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2014</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183B0887"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2015</w:t>
            </w:r>
          </w:p>
        </w:tc>
        <w:tc>
          <w:tcPr>
            <w:tcW w:w="850" w:type="dxa"/>
            <w:tcBorders>
              <w:top w:val="single" w:sz="8" w:space="0" w:color="auto"/>
              <w:left w:val="nil"/>
              <w:bottom w:val="single" w:sz="8" w:space="0" w:color="auto"/>
              <w:right w:val="single" w:sz="8" w:space="0" w:color="auto"/>
            </w:tcBorders>
            <w:shd w:val="clear" w:color="auto" w:fill="auto"/>
            <w:vAlign w:val="center"/>
            <w:hideMark/>
          </w:tcPr>
          <w:p w14:paraId="2BC2F3E4"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2016</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71134B4A"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2017</w:t>
            </w:r>
          </w:p>
        </w:tc>
        <w:tc>
          <w:tcPr>
            <w:tcW w:w="850" w:type="dxa"/>
            <w:tcBorders>
              <w:top w:val="single" w:sz="8" w:space="0" w:color="auto"/>
              <w:left w:val="nil"/>
              <w:bottom w:val="single" w:sz="8" w:space="0" w:color="auto"/>
              <w:right w:val="single" w:sz="8" w:space="0" w:color="auto"/>
            </w:tcBorders>
            <w:shd w:val="clear" w:color="auto" w:fill="auto"/>
            <w:vAlign w:val="center"/>
            <w:hideMark/>
          </w:tcPr>
          <w:p w14:paraId="0C3C5171"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2018</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010D23C3"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2019</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70219CCB"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2020</w:t>
            </w:r>
          </w:p>
        </w:tc>
        <w:tc>
          <w:tcPr>
            <w:tcW w:w="992" w:type="dxa"/>
            <w:tcBorders>
              <w:top w:val="single" w:sz="8" w:space="0" w:color="auto"/>
              <w:left w:val="nil"/>
              <w:bottom w:val="single" w:sz="8" w:space="0" w:color="auto"/>
              <w:right w:val="single" w:sz="8" w:space="0" w:color="auto"/>
            </w:tcBorders>
            <w:shd w:val="clear" w:color="auto" w:fill="auto"/>
            <w:vAlign w:val="center"/>
            <w:hideMark/>
          </w:tcPr>
          <w:p w14:paraId="54891759" w14:textId="77777777" w:rsidR="00DA5478" w:rsidRPr="00F10DCA" w:rsidRDefault="00DA5478" w:rsidP="00F10DCA">
            <w:pPr>
              <w:spacing w:after="0" w:line="240" w:lineRule="auto"/>
              <w:rPr>
                <w:rFonts w:eastAsia="Times New Roman" w:cstheme="minorHAnsi"/>
                <w:b/>
                <w:bCs/>
                <w:sz w:val="28"/>
                <w:szCs w:val="28"/>
                <w:lang w:eastAsia="en-IE"/>
              </w:rPr>
            </w:pPr>
            <w:r w:rsidRPr="00F10DCA">
              <w:rPr>
                <w:rFonts w:eastAsia="Times New Roman" w:cstheme="minorHAnsi"/>
                <w:b/>
                <w:bCs/>
                <w:sz w:val="28"/>
                <w:szCs w:val="28"/>
                <w:lang w:val="en-GB" w:eastAsia="en-IE"/>
              </w:rPr>
              <w:t>2021</w:t>
            </w:r>
          </w:p>
        </w:tc>
      </w:tr>
      <w:tr w:rsidR="001C1818" w:rsidRPr="00F10DCA" w14:paraId="20A48224" w14:textId="77777777" w:rsidTr="00D33884">
        <w:trPr>
          <w:trHeight w:val="394"/>
        </w:trPr>
        <w:tc>
          <w:tcPr>
            <w:tcW w:w="850" w:type="dxa"/>
            <w:tcBorders>
              <w:top w:val="nil"/>
              <w:left w:val="single" w:sz="8" w:space="0" w:color="auto"/>
              <w:bottom w:val="single" w:sz="8" w:space="0" w:color="auto"/>
              <w:right w:val="single" w:sz="8" w:space="0" w:color="auto"/>
            </w:tcBorders>
            <w:shd w:val="clear" w:color="auto" w:fill="auto"/>
            <w:vAlign w:val="center"/>
            <w:hideMark/>
          </w:tcPr>
          <w:p w14:paraId="18FDFE80"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711</w:t>
            </w:r>
          </w:p>
        </w:tc>
        <w:tc>
          <w:tcPr>
            <w:tcW w:w="851" w:type="dxa"/>
            <w:tcBorders>
              <w:top w:val="nil"/>
              <w:left w:val="nil"/>
              <w:bottom w:val="single" w:sz="8" w:space="0" w:color="auto"/>
              <w:right w:val="single" w:sz="8" w:space="0" w:color="auto"/>
            </w:tcBorders>
            <w:shd w:val="clear" w:color="auto" w:fill="auto"/>
            <w:vAlign w:val="center"/>
            <w:hideMark/>
          </w:tcPr>
          <w:p w14:paraId="631926C6"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737</w:t>
            </w:r>
          </w:p>
        </w:tc>
        <w:tc>
          <w:tcPr>
            <w:tcW w:w="850" w:type="dxa"/>
            <w:tcBorders>
              <w:top w:val="nil"/>
              <w:left w:val="nil"/>
              <w:bottom w:val="single" w:sz="8" w:space="0" w:color="auto"/>
              <w:right w:val="single" w:sz="8" w:space="0" w:color="auto"/>
            </w:tcBorders>
            <w:shd w:val="clear" w:color="auto" w:fill="auto"/>
            <w:vAlign w:val="center"/>
            <w:hideMark/>
          </w:tcPr>
          <w:p w14:paraId="56F1758F"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766</w:t>
            </w:r>
          </w:p>
        </w:tc>
        <w:tc>
          <w:tcPr>
            <w:tcW w:w="851" w:type="dxa"/>
            <w:tcBorders>
              <w:top w:val="nil"/>
              <w:left w:val="nil"/>
              <w:bottom w:val="single" w:sz="8" w:space="0" w:color="auto"/>
              <w:right w:val="single" w:sz="8" w:space="0" w:color="auto"/>
            </w:tcBorders>
            <w:shd w:val="clear" w:color="auto" w:fill="auto"/>
            <w:vAlign w:val="center"/>
            <w:hideMark/>
          </w:tcPr>
          <w:p w14:paraId="0837E3EA"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792</w:t>
            </w:r>
          </w:p>
        </w:tc>
        <w:tc>
          <w:tcPr>
            <w:tcW w:w="850" w:type="dxa"/>
            <w:tcBorders>
              <w:top w:val="nil"/>
              <w:left w:val="nil"/>
              <w:bottom w:val="single" w:sz="8" w:space="0" w:color="auto"/>
              <w:right w:val="single" w:sz="8" w:space="0" w:color="auto"/>
            </w:tcBorders>
            <w:shd w:val="clear" w:color="auto" w:fill="auto"/>
            <w:vAlign w:val="center"/>
            <w:hideMark/>
          </w:tcPr>
          <w:p w14:paraId="632F503D"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827</w:t>
            </w:r>
          </w:p>
        </w:tc>
        <w:tc>
          <w:tcPr>
            <w:tcW w:w="851" w:type="dxa"/>
            <w:tcBorders>
              <w:top w:val="nil"/>
              <w:left w:val="nil"/>
              <w:bottom w:val="single" w:sz="8" w:space="0" w:color="auto"/>
              <w:right w:val="single" w:sz="8" w:space="0" w:color="auto"/>
            </w:tcBorders>
            <w:shd w:val="clear" w:color="auto" w:fill="auto"/>
            <w:vAlign w:val="center"/>
            <w:hideMark/>
          </w:tcPr>
          <w:p w14:paraId="292611E6"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853</w:t>
            </w:r>
          </w:p>
        </w:tc>
        <w:tc>
          <w:tcPr>
            <w:tcW w:w="850" w:type="dxa"/>
            <w:tcBorders>
              <w:top w:val="nil"/>
              <w:left w:val="nil"/>
              <w:bottom w:val="single" w:sz="8" w:space="0" w:color="auto"/>
              <w:right w:val="single" w:sz="8" w:space="0" w:color="auto"/>
            </w:tcBorders>
            <w:shd w:val="clear" w:color="auto" w:fill="auto"/>
            <w:vAlign w:val="center"/>
            <w:hideMark/>
          </w:tcPr>
          <w:p w14:paraId="348960F3"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911</w:t>
            </w:r>
          </w:p>
        </w:tc>
        <w:tc>
          <w:tcPr>
            <w:tcW w:w="851" w:type="dxa"/>
            <w:tcBorders>
              <w:top w:val="nil"/>
              <w:left w:val="nil"/>
              <w:bottom w:val="single" w:sz="8" w:space="0" w:color="auto"/>
              <w:right w:val="single" w:sz="8" w:space="0" w:color="auto"/>
            </w:tcBorders>
            <w:shd w:val="clear" w:color="auto" w:fill="auto"/>
            <w:vAlign w:val="center"/>
            <w:hideMark/>
          </w:tcPr>
          <w:p w14:paraId="15590D31"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987</w:t>
            </w:r>
          </w:p>
        </w:tc>
        <w:tc>
          <w:tcPr>
            <w:tcW w:w="992" w:type="dxa"/>
            <w:tcBorders>
              <w:top w:val="nil"/>
              <w:left w:val="nil"/>
              <w:bottom w:val="single" w:sz="8" w:space="0" w:color="auto"/>
              <w:right w:val="single" w:sz="8" w:space="0" w:color="auto"/>
            </w:tcBorders>
            <w:shd w:val="clear" w:color="auto" w:fill="auto"/>
            <w:vAlign w:val="center"/>
            <w:hideMark/>
          </w:tcPr>
          <w:p w14:paraId="145BCC26"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1,026</w:t>
            </w:r>
          </w:p>
        </w:tc>
        <w:tc>
          <w:tcPr>
            <w:tcW w:w="992" w:type="dxa"/>
            <w:tcBorders>
              <w:top w:val="nil"/>
              <w:left w:val="nil"/>
              <w:bottom w:val="single" w:sz="8" w:space="0" w:color="auto"/>
              <w:right w:val="single" w:sz="8" w:space="0" w:color="auto"/>
            </w:tcBorders>
            <w:shd w:val="clear" w:color="auto" w:fill="auto"/>
            <w:vAlign w:val="center"/>
            <w:hideMark/>
          </w:tcPr>
          <w:p w14:paraId="20B37BE3" w14:textId="77777777" w:rsidR="00DA5478" w:rsidRPr="00F10DCA" w:rsidRDefault="00DA5478" w:rsidP="00F10DCA">
            <w:pPr>
              <w:spacing w:after="0" w:line="240" w:lineRule="auto"/>
              <w:rPr>
                <w:rFonts w:eastAsia="Times New Roman" w:cstheme="minorHAnsi"/>
                <w:sz w:val="28"/>
                <w:szCs w:val="28"/>
                <w:lang w:eastAsia="en-IE"/>
              </w:rPr>
            </w:pPr>
            <w:r w:rsidRPr="00F10DCA">
              <w:rPr>
                <w:rFonts w:eastAsia="Times New Roman" w:cstheme="minorHAnsi"/>
                <w:sz w:val="28"/>
                <w:szCs w:val="28"/>
                <w:lang w:val="en-GB" w:eastAsia="en-IE"/>
              </w:rPr>
              <w:t>1,114</w:t>
            </w:r>
          </w:p>
        </w:tc>
      </w:tr>
    </w:tbl>
    <w:p w14:paraId="62216E47" w14:textId="77777777" w:rsidR="00DA5478" w:rsidRPr="00F10DCA" w:rsidRDefault="00DA5478" w:rsidP="00F10DCA">
      <w:pPr>
        <w:spacing w:after="0" w:line="240" w:lineRule="auto"/>
        <w:ind w:left="426"/>
        <w:contextualSpacing/>
        <w:rPr>
          <w:rFonts w:cstheme="minorHAnsi"/>
          <w:sz w:val="28"/>
          <w:szCs w:val="28"/>
        </w:rPr>
      </w:pPr>
    </w:p>
    <w:p w14:paraId="37907368"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Of the additional €50m, €23m is for implementing the short-term measures in </w:t>
      </w:r>
      <w:r w:rsidRPr="00F10DCA">
        <w:rPr>
          <w:rFonts w:cstheme="minorHAnsi"/>
          <w:i/>
          <w:iCs/>
          <w:sz w:val="28"/>
          <w:szCs w:val="28"/>
        </w:rPr>
        <w:t>Sharing the Vision</w:t>
      </w:r>
      <w:r w:rsidRPr="00F10DCA">
        <w:rPr>
          <w:rFonts w:cstheme="minorHAnsi"/>
          <w:sz w:val="28"/>
          <w:szCs w:val="28"/>
        </w:rPr>
        <w:t xml:space="preserve"> in 2021. These include provision of additional beds, enhancing mental health teams, expansion of the clinical and dialectical behavioural programmes, peer support workers and the IPS employment and training initiative.</w:t>
      </w:r>
    </w:p>
    <w:p w14:paraId="3BA83FE9" w14:textId="77777777" w:rsidR="00DA5478" w:rsidRPr="00F10DCA" w:rsidRDefault="00DA5478" w:rsidP="00F10DCA">
      <w:pPr>
        <w:spacing w:after="0" w:line="240" w:lineRule="auto"/>
        <w:ind w:left="426"/>
        <w:rPr>
          <w:rFonts w:cstheme="minorHAnsi"/>
          <w:sz w:val="28"/>
          <w:szCs w:val="28"/>
        </w:rPr>
      </w:pPr>
    </w:p>
    <w:p w14:paraId="40A8B366" w14:textId="5A1131BA"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€15m will assist with Covid challenges, including increased step-down beds, private surge capacity, extra resources for community mental health teams and reconfiguration of residential facilities to meet Mental Health Commission recommendations.</w:t>
      </w:r>
    </w:p>
    <w:p w14:paraId="22F71D28" w14:textId="77777777" w:rsidR="00DA5478" w:rsidRPr="00F10DCA" w:rsidRDefault="00DA5478" w:rsidP="00F10DCA">
      <w:pPr>
        <w:spacing w:after="0" w:line="240" w:lineRule="auto"/>
        <w:ind w:left="426"/>
        <w:rPr>
          <w:rFonts w:cstheme="minorHAnsi"/>
          <w:sz w:val="28"/>
          <w:szCs w:val="28"/>
        </w:rPr>
      </w:pPr>
    </w:p>
    <w:p w14:paraId="7D265DD8"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The remaining €12m will help to cover the rising cost of existing service provision, including placements for individuals whose needs cannot be met within the public system. </w:t>
      </w:r>
    </w:p>
    <w:p w14:paraId="43EB3143" w14:textId="77777777" w:rsidR="00DA5478" w:rsidRPr="00F10DCA" w:rsidRDefault="00DA5478" w:rsidP="00F10DCA">
      <w:pPr>
        <w:spacing w:after="0" w:line="240" w:lineRule="auto"/>
        <w:rPr>
          <w:rFonts w:cstheme="minorHAnsi"/>
          <w:sz w:val="28"/>
          <w:szCs w:val="28"/>
        </w:rPr>
      </w:pPr>
    </w:p>
    <w:p w14:paraId="30CDB2AE"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lang w:val="en-GB" w:eastAsia="en-GB"/>
        </w:rPr>
      </w:pPr>
      <w:r w:rsidRPr="00F10DCA">
        <w:rPr>
          <w:rFonts w:cstheme="minorHAnsi"/>
          <w:sz w:val="28"/>
          <w:szCs w:val="28"/>
          <w:lang w:val="en-GB" w:eastAsia="en-GB"/>
        </w:rPr>
        <w:t>In 2021, the mental health budget is 5.1% of the health budget, a reduction of 6.3% on 2019. This figure is misleading, because of the significant extra funding to acute services for infection control measures.</w:t>
      </w:r>
    </w:p>
    <w:p w14:paraId="5E4C80CB" w14:textId="77777777" w:rsidR="00DA5478" w:rsidRPr="00F10DCA" w:rsidRDefault="00DA5478" w:rsidP="00F10DCA">
      <w:pPr>
        <w:spacing w:after="0" w:line="240" w:lineRule="auto"/>
        <w:ind w:left="426"/>
        <w:rPr>
          <w:rFonts w:cstheme="minorHAnsi"/>
          <w:sz w:val="28"/>
          <w:szCs w:val="28"/>
          <w:lang w:val="en-GB" w:eastAsia="en-GB"/>
        </w:rPr>
      </w:pPr>
    </w:p>
    <w:p w14:paraId="37F5E5CE"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lang w:val="en-GB" w:eastAsia="en-GB"/>
        </w:rPr>
      </w:pPr>
      <w:r w:rsidRPr="00F10DCA">
        <w:rPr>
          <w:rFonts w:cstheme="minorHAnsi"/>
          <w:sz w:val="28"/>
          <w:szCs w:val="28"/>
          <w:lang w:val="en-GB" w:eastAsia="en-GB"/>
        </w:rPr>
        <w:t xml:space="preserve">In addition, this percentage represents only HSE funding for </w:t>
      </w:r>
      <w:r w:rsidRPr="00F10DCA">
        <w:rPr>
          <w:rFonts w:cstheme="minorHAnsi"/>
          <w:sz w:val="28"/>
          <w:szCs w:val="28"/>
          <w:u w:val="single"/>
          <w:lang w:val="en-GB" w:eastAsia="en-GB"/>
        </w:rPr>
        <w:t>specialist</w:t>
      </w:r>
      <w:r w:rsidRPr="00F10DCA">
        <w:rPr>
          <w:rFonts w:cstheme="minorHAnsi"/>
          <w:sz w:val="28"/>
          <w:szCs w:val="28"/>
          <w:lang w:val="en-GB" w:eastAsia="en-GB"/>
        </w:rPr>
        <w:t xml:space="preserve"> mental health services. It does not capture funding for other parts of the health service that provide mental health services and supports, such as psychotropic medicines funded by the Primary Care Reimbursement Service, liaison mental health services in acute hospitals, some dual diagnosis (addiction and mental health) services and mental health and well-being promotion. It does not account for the Mental Health Commission budget (over €15m) as independent regulator of mental health services.</w:t>
      </w:r>
    </w:p>
    <w:p w14:paraId="6F7DE58D" w14:textId="71C09A6A" w:rsidR="00DA5478" w:rsidRDefault="00DA5478" w:rsidP="00F10DCA">
      <w:pPr>
        <w:spacing w:after="0" w:line="240" w:lineRule="auto"/>
        <w:ind w:left="426"/>
        <w:rPr>
          <w:rFonts w:cstheme="minorHAnsi"/>
          <w:sz w:val="28"/>
          <w:szCs w:val="28"/>
          <w:lang w:val="en-GB" w:eastAsia="en-GB"/>
        </w:rPr>
      </w:pPr>
    </w:p>
    <w:p w14:paraId="04F0BFA9" w14:textId="77777777" w:rsidR="00B22F0D" w:rsidRPr="00F10DCA" w:rsidRDefault="00B22F0D" w:rsidP="00F10DCA">
      <w:pPr>
        <w:spacing w:after="0" w:line="240" w:lineRule="auto"/>
        <w:ind w:left="426"/>
        <w:rPr>
          <w:rFonts w:cstheme="minorHAnsi"/>
          <w:sz w:val="28"/>
          <w:szCs w:val="28"/>
          <w:lang w:val="en-GB" w:eastAsia="en-GB"/>
        </w:rPr>
      </w:pPr>
    </w:p>
    <w:p w14:paraId="4BDC4AA2"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lang w:val="en-GB" w:eastAsia="en-GB"/>
        </w:rPr>
      </w:pPr>
      <w:r w:rsidRPr="00F10DCA">
        <w:rPr>
          <w:rFonts w:cstheme="minorHAnsi"/>
          <w:sz w:val="28"/>
          <w:szCs w:val="28"/>
          <w:lang w:val="en-GB" w:eastAsia="en-GB"/>
        </w:rPr>
        <w:t>Similarly, the percentage does not account for spending by other departments on services that incorporate psychological or mental health supports, such as the Prison and Probation Services, Defence Forces, Department of Foreign Affairs supporting the Irish diaspora or the Department of Education.</w:t>
      </w:r>
    </w:p>
    <w:p w14:paraId="5D27FECB" w14:textId="77777777" w:rsidR="00DA5478" w:rsidRPr="00F10DCA" w:rsidRDefault="00DA5478" w:rsidP="00F10DCA">
      <w:pPr>
        <w:spacing w:after="0" w:line="240" w:lineRule="auto"/>
        <w:ind w:left="426"/>
        <w:rPr>
          <w:rFonts w:cstheme="minorHAnsi"/>
          <w:sz w:val="28"/>
          <w:szCs w:val="28"/>
          <w:lang w:val="en-GB" w:eastAsia="en-GB"/>
        </w:rPr>
      </w:pPr>
    </w:p>
    <w:p w14:paraId="626698B2" w14:textId="77777777" w:rsidR="00DA5478" w:rsidRPr="00F10DCA" w:rsidRDefault="00DA5478" w:rsidP="00F10DCA">
      <w:pPr>
        <w:numPr>
          <w:ilvl w:val="0"/>
          <w:numId w:val="1"/>
        </w:numPr>
        <w:autoSpaceDE w:val="0"/>
        <w:autoSpaceDN w:val="0"/>
        <w:spacing w:after="0" w:line="240" w:lineRule="auto"/>
        <w:ind w:left="426"/>
        <w:contextualSpacing/>
        <w:rPr>
          <w:rFonts w:cstheme="minorHAnsi"/>
          <w:sz w:val="28"/>
          <w:szCs w:val="28"/>
          <w:lang w:val="en-GB" w:eastAsia="en-GB"/>
        </w:rPr>
      </w:pPr>
      <w:r w:rsidRPr="00F10DCA">
        <w:rPr>
          <w:rFonts w:cstheme="minorHAnsi"/>
          <w:sz w:val="28"/>
          <w:szCs w:val="28"/>
          <w:lang w:val="en-GB" w:eastAsia="en-GB"/>
        </w:rPr>
        <w:t>Therefore, the percentage of mental health budget in comparison to the health budget represents an underestimate of the actual expenditure on mental health services and supports.</w:t>
      </w:r>
    </w:p>
    <w:p w14:paraId="4F27EAE4" w14:textId="0E1F7488" w:rsidR="00DA5478" w:rsidRPr="00F10DCA" w:rsidRDefault="00DA5478" w:rsidP="00F10DCA">
      <w:pPr>
        <w:spacing w:line="240" w:lineRule="auto"/>
        <w:rPr>
          <w:rFonts w:cstheme="minorHAnsi"/>
          <w:sz w:val="28"/>
          <w:szCs w:val="28"/>
        </w:rPr>
      </w:pPr>
    </w:p>
    <w:p w14:paraId="67C650DB" w14:textId="3E18DE64" w:rsidR="00B10064" w:rsidRPr="00F10DCA" w:rsidRDefault="00B10064" w:rsidP="00F10DCA">
      <w:pPr>
        <w:spacing w:line="240" w:lineRule="auto"/>
        <w:rPr>
          <w:rFonts w:cstheme="minorHAnsi"/>
          <w:sz w:val="28"/>
          <w:szCs w:val="28"/>
        </w:rPr>
      </w:pPr>
    </w:p>
    <w:p w14:paraId="5B186D54" w14:textId="77777777" w:rsidR="00B10064" w:rsidRPr="00F10DCA" w:rsidRDefault="00B10064" w:rsidP="00F10DCA">
      <w:pPr>
        <w:spacing w:line="240" w:lineRule="auto"/>
        <w:rPr>
          <w:rFonts w:cstheme="minorHAnsi"/>
          <w:sz w:val="28"/>
          <w:szCs w:val="28"/>
        </w:rPr>
      </w:pPr>
    </w:p>
    <w:p w14:paraId="532728E6" w14:textId="64B9C56E" w:rsidR="00B10064" w:rsidRPr="00F10DCA" w:rsidRDefault="00AB17F5" w:rsidP="00F10DCA">
      <w:pPr>
        <w:keepNext/>
        <w:keepLines/>
        <w:spacing w:before="240" w:after="0" w:line="240" w:lineRule="auto"/>
        <w:outlineLvl w:val="0"/>
        <w:rPr>
          <w:rFonts w:eastAsiaTheme="majorEastAsia" w:cstheme="minorHAnsi"/>
          <w:b/>
          <w:bCs/>
          <w:sz w:val="28"/>
          <w:szCs w:val="28"/>
        </w:rPr>
      </w:pPr>
      <w:bookmarkStart w:id="5" w:name="_Toc70510980"/>
      <w:r w:rsidRPr="00F10DCA">
        <w:rPr>
          <w:rFonts w:eastAsiaTheme="majorEastAsia" w:cstheme="minorHAnsi"/>
          <w:b/>
          <w:bCs/>
          <w:sz w:val="28"/>
          <w:szCs w:val="28"/>
        </w:rPr>
        <w:t>6.</w:t>
      </w:r>
      <w:r w:rsidRPr="00F10DCA">
        <w:rPr>
          <w:rFonts w:eastAsiaTheme="majorEastAsia" w:cstheme="minorHAnsi"/>
          <w:b/>
          <w:bCs/>
          <w:sz w:val="28"/>
          <w:szCs w:val="28"/>
        </w:rPr>
        <w:tab/>
      </w:r>
      <w:r w:rsidR="00B10064" w:rsidRPr="00DA5052">
        <w:rPr>
          <w:rFonts w:eastAsiaTheme="majorEastAsia" w:cstheme="minorHAnsi"/>
          <w:b/>
          <w:bCs/>
          <w:sz w:val="32"/>
          <w:szCs w:val="32"/>
          <w:u w:val="single"/>
        </w:rPr>
        <w:t>Impact of Covid-19 on MH</w:t>
      </w:r>
      <w:bookmarkEnd w:id="5"/>
    </w:p>
    <w:p w14:paraId="2058E349" w14:textId="77777777" w:rsidR="00B10064" w:rsidRPr="00F10DCA" w:rsidRDefault="00B10064" w:rsidP="00F10DCA">
      <w:pPr>
        <w:spacing w:after="0" w:line="240" w:lineRule="auto"/>
        <w:ind w:left="426"/>
        <w:rPr>
          <w:rFonts w:cstheme="minorHAnsi"/>
          <w:b/>
          <w:bCs/>
          <w:sz w:val="28"/>
          <w:szCs w:val="28"/>
        </w:rPr>
      </w:pPr>
    </w:p>
    <w:p w14:paraId="5BC067BE" w14:textId="77777777" w:rsidR="00B10064" w:rsidRPr="00F10DCA" w:rsidRDefault="00B10064"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We do not yet fully understand Covid-19’s impact on mental health, the extent of supports that may be required and how this will affect longer term service demand. The HSE has a range of proactive responses for any rise in service need. DH and the HSE continue to plan for any potential surge in demand as it arises and as services return to normal provision and capacity, subject to public health advice.</w:t>
      </w:r>
    </w:p>
    <w:p w14:paraId="7F58BD56" w14:textId="77777777" w:rsidR="00B10064" w:rsidRPr="00F10DCA" w:rsidRDefault="00B10064" w:rsidP="00F10DCA">
      <w:pPr>
        <w:spacing w:after="0" w:line="240" w:lineRule="auto"/>
        <w:ind w:left="426"/>
        <w:rPr>
          <w:rFonts w:cstheme="minorHAnsi"/>
          <w:sz w:val="28"/>
          <w:szCs w:val="28"/>
        </w:rPr>
      </w:pPr>
    </w:p>
    <w:p w14:paraId="0A6479DE" w14:textId="77777777" w:rsidR="00B10064" w:rsidRPr="00F10DCA" w:rsidRDefault="00B10064" w:rsidP="00F10DCA">
      <w:pPr>
        <w:numPr>
          <w:ilvl w:val="0"/>
          <w:numId w:val="1"/>
        </w:numPr>
        <w:autoSpaceDE w:val="0"/>
        <w:autoSpaceDN w:val="0"/>
        <w:spacing w:after="0" w:line="240" w:lineRule="auto"/>
        <w:ind w:left="426"/>
        <w:contextualSpacing/>
        <w:rPr>
          <w:rFonts w:cstheme="minorHAnsi"/>
          <w:sz w:val="28"/>
          <w:szCs w:val="28"/>
        </w:rPr>
      </w:pPr>
      <w:r w:rsidRPr="00F10DCA">
        <w:rPr>
          <w:rFonts w:eastAsia="Times New Roman" w:cstheme="minorHAnsi"/>
          <w:sz w:val="28"/>
          <w:szCs w:val="28"/>
          <w:lang w:eastAsia="en-GB"/>
        </w:rPr>
        <w:t>According</w:t>
      </w:r>
      <w:r w:rsidRPr="00F10DCA">
        <w:rPr>
          <w:rFonts w:cstheme="minorHAnsi"/>
          <w:sz w:val="28"/>
          <w:szCs w:val="28"/>
        </w:rPr>
        <w:t xml:space="preserve"> to the most recent Amarach poll, Irish people are more bored, frustrated and lonely than at any time during the pandemic. Happiness levels are at their lowest, with intolerance at its highest. </w:t>
      </w:r>
    </w:p>
    <w:p w14:paraId="4BA3E33C" w14:textId="77777777" w:rsidR="00B10064" w:rsidRPr="00F10DCA" w:rsidRDefault="00B10064" w:rsidP="00F10DCA">
      <w:pPr>
        <w:spacing w:after="0" w:line="240" w:lineRule="auto"/>
        <w:ind w:left="426"/>
        <w:rPr>
          <w:rFonts w:cstheme="minorHAnsi"/>
          <w:sz w:val="28"/>
          <w:szCs w:val="28"/>
        </w:rPr>
      </w:pPr>
    </w:p>
    <w:p w14:paraId="6951475E" w14:textId="77777777" w:rsidR="00B10064" w:rsidRPr="00F10DCA" w:rsidRDefault="00B10064" w:rsidP="00F10DCA">
      <w:pPr>
        <w:numPr>
          <w:ilvl w:val="0"/>
          <w:numId w:val="1"/>
        </w:numPr>
        <w:autoSpaceDE w:val="0"/>
        <w:autoSpaceDN w:val="0"/>
        <w:spacing w:after="0" w:line="240" w:lineRule="auto"/>
        <w:ind w:left="426"/>
        <w:contextualSpacing/>
        <w:rPr>
          <w:rFonts w:eastAsia="Times New Roman" w:cstheme="minorHAnsi"/>
          <w:sz w:val="28"/>
          <w:szCs w:val="28"/>
        </w:rPr>
      </w:pPr>
      <w:r w:rsidRPr="00F10DCA">
        <w:rPr>
          <w:rFonts w:cstheme="minorHAnsi"/>
          <w:sz w:val="28"/>
          <w:szCs w:val="28"/>
        </w:rPr>
        <w:t>The CSO Social Impact of Covid-19 Survey in November 2020 indicates that people’s life satisfaction was lower, and that people felt more downhearted or depressed, in November than in April (first survey).</w:t>
      </w:r>
    </w:p>
    <w:p w14:paraId="6E2BC16E" w14:textId="77777777" w:rsidR="00B10064" w:rsidRPr="00F10DCA" w:rsidRDefault="00B10064" w:rsidP="00F10DCA">
      <w:pPr>
        <w:autoSpaceDE w:val="0"/>
        <w:autoSpaceDN w:val="0"/>
        <w:spacing w:after="0" w:line="240" w:lineRule="auto"/>
        <w:rPr>
          <w:rFonts w:eastAsia="Times New Roman" w:cstheme="minorHAnsi"/>
          <w:sz w:val="28"/>
          <w:szCs w:val="28"/>
        </w:rPr>
      </w:pPr>
    </w:p>
    <w:p w14:paraId="1EA1B91E" w14:textId="2A66AB16" w:rsidR="00B10064" w:rsidRPr="00F10DCA" w:rsidRDefault="00B10064" w:rsidP="00F10DCA">
      <w:pPr>
        <w:numPr>
          <w:ilvl w:val="0"/>
          <w:numId w:val="1"/>
        </w:numPr>
        <w:autoSpaceDE w:val="0"/>
        <w:autoSpaceDN w:val="0"/>
        <w:spacing w:after="0" w:line="240" w:lineRule="auto"/>
        <w:ind w:left="426"/>
        <w:contextualSpacing/>
        <w:rPr>
          <w:rFonts w:cstheme="minorHAnsi"/>
          <w:sz w:val="28"/>
          <w:szCs w:val="28"/>
        </w:rPr>
      </w:pPr>
      <w:r w:rsidRPr="00F10DCA">
        <w:rPr>
          <w:rFonts w:eastAsia="Times New Roman" w:cstheme="minorHAnsi"/>
          <w:sz w:val="28"/>
          <w:szCs w:val="28"/>
        </w:rPr>
        <w:t>In early 2020, D</w:t>
      </w:r>
      <w:r w:rsidR="00521EAD" w:rsidRPr="00F10DCA">
        <w:rPr>
          <w:rFonts w:eastAsia="Times New Roman" w:cstheme="minorHAnsi"/>
          <w:sz w:val="28"/>
          <w:szCs w:val="28"/>
        </w:rPr>
        <w:t>O</w:t>
      </w:r>
      <w:r w:rsidRPr="00F10DCA">
        <w:rPr>
          <w:rFonts w:eastAsia="Times New Roman" w:cstheme="minorHAnsi"/>
          <w:sz w:val="28"/>
          <w:szCs w:val="28"/>
        </w:rPr>
        <w:t>H asked the Mental Health Commission (MHC) to develop a risk framework, to monitor and report weekly to D</w:t>
      </w:r>
      <w:r w:rsidR="00521EAD" w:rsidRPr="00F10DCA">
        <w:rPr>
          <w:rFonts w:eastAsia="Times New Roman" w:cstheme="minorHAnsi"/>
          <w:sz w:val="28"/>
          <w:szCs w:val="28"/>
        </w:rPr>
        <w:t>O</w:t>
      </w:r>
      <w:r w:rsidRPr="00F10DCA">
        <w:rPr>
          <w:rFonts w:eastAsia="Times New Roman" w:cstheme="minorHAnsi"/>
          <w:sz w:val="28"/>
          <w:szCs w:val="28"/>
        </w:rPr>
        <w:t xml:space="preserve">H on Covid’s impact on approved centres. </w:t>
      </w:r>
    </w:p>
    <w:p w14:paraId="3D477BFB" w14:textId="77777777" w:rsidR="00B10064" w:rsidRPr="00F10DCA" w:rsidRDefault="00B10064" w:rsidP="00F10DCA">
      <w:pPr>
        <w:spacing w:after="0" w:line="240" w:lineRule="auto"/>
        <w:ind w:left="426"/>
        <w:contextualSpacing/>
        <w:rPr>
          <w:rFonts w:cstheme="minorHAnsi"/>
          <w:sz w:val="28"/>
          <w:szCs w:val="28"/>
        </w:rPr>
      </w:pPr>
    </w:p>
    <w:p w14:paraId="7A6C1BFB" w14:textId="3FBE2C8E" w:rsidR="00B10064" w:rsidRPr="00F10DCA" w:rsidRDefault="00B10064" w:rsidP="00F10DCA">
      <w:pPr>
        <w:numPr>
          <w:ilvl w:val="0"/>
          <w:numId w:val="4"/>
        </w:numPr>
        <w:spacing w:after="0" w:line="240" w:lineRule="auto"/>
        <w:ind w:left="426"/>
        <w:contextualSpacing/>
        <w:rPr>
          <w:rFonts w:cstheme="minorHAnsi"/>
          <w:sz w:val="28"/>
          <w:szCs w:val="28"/>
        </w:rPr>
      </w:pPr>
      <w:r w:rsidRPr="00F10DCA">
        <w:rPr>
          <w:rFonts w:eastAsia="Times New Roman" w:cstheme="minorHAnsi"/>
          <w:sz w:val="28"/>
          <w:szCs w:val="28"/>
        </w:rPr>
        <w:t>D</w:t>
      </w:r>
      <w:r w:rsidR="00521EAD" w:rsidRPr="00F10DCA">
        <w:rPr>
          <w:rFonts w:eastAsia="Times New Roman" w:cstheme="minorHAnsi"/>
          <w:sz w:val="28"/>
          <w:szCs w:val="28"/>
        </w:rPr>
        <w:t>O</w:t>
      </w:r>
      <w:r w:rsidRPr="00F10DCA">
        <w:rPr>
          <w:rFonts w:eastAsia="Times New Roman" w:cstheme="minorHAnsi"/>
          <w:sz w:val="28"/>
          <w:szCs w:val="28"/>
        </w:rPr>
        <w:t>H also introduced legislation to ensure continuation of MHC mental health tribunals.</w:t>
      </w:r>
    </w:p>
    <w:p w14:paraId="207A572F" w14:textId="77777777" w:rsidR="00B10064" w:rsidRPr="00F10DCA" w:rsidRDefault="00B10064" w:rsidP="00F10DCA">
      <w:pPr>
        <w:spacing w:after="0" w:line="240" w:lineRule="auto"/>
        <w:ind w:left="426"/>
        <w:contextualSpacing/>
        <w:rPr>
          <w:rFonts w:eastAsia="Times New Roman" w:cstheme="minorHAnsi"/>
          <w:sz w:val="28"/>
          <w:szCs w:val="28"/>
          <w:lang w:eastAsia="en-IE"/>
        </w:rPr>
      </w:pPr>
    </w:p>
    <w:p w14:paraId="17F48B19" w14:textId="77777777" w:rsidR="00B10064" w:rsidRPr="00F10DCA" w:rsidRDefault="00B10064" w:rsidP="00F10DCA">
      <w:pPr>
        <w:spacing w:after="0" w:line="240" w:lineRule="auto"/>
        <w:rPr>
          <w:rFonts w:cstheme="minorHAnsi"/>
          <w:sz w:val="28"/>
          <w:szCs w:val="28"/>
        </w:rPr>
      </w:pPr>
    </w:p>
    <w:p w14:paraId="45ADD666" w14:textId="77777777" w:rsidR="00521EAD" w:rsidRPr="00F10DCA" w:rsidRDefault="00521EAD" w:rsidP="00F10DCA">
      <w:pPr>
        <w:spacing w:after="0" w:line="240" w:lineRule="auto"/>
        <w:rPr>
          <w:rFonts w:cstheme="minorHAnsi"/>
          <w:b/>
          <w:bCs/>
          <w:sz w:val="28"/>
          <w:szCs w:val="28"/>
        </w:rPr>
      </w:pPr>
    </w:p>
    <w:p w14:paraId="1B890A23" w14:textId="0D432CA7" w:rsidR="00B10064" w:rsidRPr="00F10DCA" w:rsidRDefault="00B10064" w:rsidP="00F10DCA">
      <w:pPr>
        <w:spacing w:after="0" w:line="240" w:lineRule="auto"/>
        <w:rPr>
          <w:rFonts w:cstheme="minorHAnsi"/>
          <w:b/>
          <w:bCs/>
          <w:sz w:val="28"/>
          <w:szCs w:val="28"/>
        </w:rPr>
      </w:pPr>
      <w:r w:rsidRPr="00F10DCA">
        <w:rPr>
          <w:rFonts w:cstheme="minorHAnsi"/>
          <w:b/>
          <w:bCs/>
          <w:sz w:val="28"/>
          <w:szCs w:val="28"/>
        </w:rPr>
        <w:t>Impact on MH Services</w:t>
      </w:r>
    </w:p>
    <w:p w14:paraId="7356A233" w14:textId="5D9302D6" w:rsidR="00B10064" w:rsidRPr="00F10DCA" w:rsidRDefault="00B10064" w:rsidP="00F10DCA">
      <w:pPr>
        <w:numPr>
          <w:ilvl w:val="0"/>
          <w:numId w:val="1"/>
        </w:numPr>
        <w:autoSpaceDE w:val="0"/>
        <w:autoSpaceDN w:val="0"/>
        <w:spacing w:after="0" w:line="240" w:lineRule="auto"/>
        <w:ind w:left="426"/>
        <w:contextualSpacing/>
        <w:rPr>
          <w:rFonts w:eastAsia="Times New Roman" w:cstheme="minorHAnsi"/>
          <w:sz w:val="28"/>
          <w:szCs w:val="28"/>
        </w:rPr>
      </w:pPr>
      <w:bookmarkStart w:id="6" w:name="_Hlk63947011"/>
      <w:r w:rsidRPr="00F10DCA">
        <w:rPr>
          <w:rFonts w:eastAsia="Times New Roman" w:cstheme="minorHAnsi"/>
          <w:sz w:val="28"/>
          <w:szCs w:val="28"/>
        </w:rPr>
        <w:t xml:space="preserve">The HSE </w:t>
      </w:r>
      <w:r w:rsidR="008D3AD3" w:rsidRPr="00F10DCA">
        <w:rPr>
          <w:rFonts w:eastAsia="Times New Roman" w:cstheme="minorHAnsi"/>
          <w:sz w:val="28"/>
          <w:szCs w:val="28"/>
        </w:rPr>
        <w:t>indicate</w:t>
      </w:r>
      <w:r w:rsidRPr="00F10DCA">
        <w:rPr>
          <w:rFonts w:eastAsia="Times New Roman" w:cstheme="minorHAnsi"/>
          <w:sz w:val="28"/>
          <w:szCs w:val="28"/>
        </w:rPr>
        <w:t xml:space="preserve"> that mental health services and supports have continued at 80-90% of pre-Covid levels. This is shown in by the following extract from the December 2020 Performance profile.</w:t>
      </w:r>
    </w:p>
    <w:p w14:paraId="5D99754A" w14:textId="77777777" w:rsidR="00B10064" w:rsidRPr="00F10DCA" w:rsidRDefault="00B10064" w:rsidP="00F10DCA">
      <w:pPr>
        <w:autoSpaceDE w:val="0"/>
        <w:autoSpaceDN w:val="0"/>
        <w:spacing w:after="0" w:line="240" w:lineRule="auto"/>
        <w:rPr>
          <w:rFonts w:eastAsia="Times New Roman" w:cstheme="minorHAnsi"/>
          <w:sz w:val="28"/>
          <w:szCs w:val="28"/>
        </w:rPr>
      </w:pPr>
    </w:p>
    <w:p w14:paraId="63356DF9" w14:textId="77777777" w:rsidR="00B10064" w:rsidRPr="00F10DCA" w:rsidRDefault="00B10064" w:rsidP="00F10DCA">
      <w:pPr>
        <w:autoSpaceDE w:val="0"/>
        <w:autoSpaceDN w:val="0"/>
        <w:spacing w:after="0" w:line="240" w:lineRule="auto"/>
        <w:rPr>
          <w:rFonts w:eastAsia="Times New Roman" w:cstheme="minorHAnsi"/>
          <w:sz w:val="28"/>
          <w:szCs w:val="28"/>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382"/>
        <w:gridCol w:w="1417"/>
        <w:gridCol w:w="1276"/>
        <w:gridCol w:w="1276"/>
        <w:gridCol w:w="1571"/>
      </w:tblGrid>
      <w:tr w:rsidR="001C1818" w:rsidRPr="00F10DCA" w14:paraId="1C06BD99" w14:textId="77777777" w:rsidTr="00D33884">
        <w:trPr>
          <w:trHeight w:val="326"/>
          <w:jc w:val="center"/>
        </w:trPr>
        <w:tc>
          <w:tcPr>
            <w:tcW w:w="8672" w:type="dxa"/>
            <w:gridSpan w:val="6"/>
            <w:shd w:val="clear" w:color="auto" w:fill="auto"/>
            <w:noWrap/>
            <w:vAlign w:val="center"/>
            <w:hideMark/>
          </w:tcPr>
          <w:p w14:paraId="13C8DE59" w14:textId="77777777" w:rsidR="00B10064" w:rsidRPr="00F10DCA" w:rsidRDefault="00B10064" w:rsidP="00F10DCA">
            <w:pPr>
              <w:spacing w:after="0" w:line="240" w:lineRule="auto"/>
              <w:jc w:val="center"/>
              <w:rPr>
                <w:rFonts w:eastAsia="Times New Roman" w:cstheme="minorHAnsi"/>
                <w:b/>
                <w:bCs/>
                <w:sz w:val="28"/>
                <w:szCs w:val="28"/>
                <w:lang w:eastAsia="en-IE"/>
              </w:rPr>
            </w:pPr>
            <w:r w:rsidRPr="00F10DCA">
              <w:rPr>
                <w:rFonts w:eastAsia="Times New Roman" w:cstheme="minorHAnsi"/>
                <w:b/>
                <w:bCs/>
                <w:sz w:val="28"/>
                <w:szCs w:val="28"/>
                <w:lang w:eastAsia="en-IE"/>
              </w:rPr>
              <w:t>HSE Performance 2020</w:t>
            </w:r>
          </w:p>
        </w:tc>
      </w:tr>
      <w:tr w:rsidR="001C1818" w:rsidRPr="00F10DCA" w14:paraId="3FED8549" w14:textId="77777777" w:rsidTr="00D33884">
        <w:trPr>
          <w:trHeight w:val="326"/>
          <w:jc w:val="center"/>
        </w:trPr>
        <w:tc>
          <w:tcPr>
            <w:tcW w:w="8672" w:type="dxa"/>
            <w:gridSpan w:val="6"/>
            <w:shd w:val="clear" w:color="auto" w:fill="auto"/>
            <w:noWrap/>
            <w:vAlign w:val="center"/>
          </w:tcPr>
          <w:p w14:paraId="49A45213"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eastAsia="Times New Roman" w:cstheme="minorHAnsi"/>
                <w:b/>
                <w:bCs/>
                <w:sz w:val="28"/>
                <w:szCs w:val="28"/>
                <w:lang w:eastAsia="en-IE"/>
              </w:rPr>
              <w:t>Referrals seen</w:t>
            </w:r>
          </w:p>
        </w:tc>
      </w:tr>
      <w:tr w:rsidR="001C1818" w:rsidRPr="00F10DCA" w14:paraId="1BE50C3A" w14:textId="77777777" w:rsidTr="00D33884">
        <w:trPr>
          <w:trHeight w:val="286"/>
          <w:jc w:val="center"/>
        </w:trPr>
        <w:tc>
          <w:tcPr>
            <w:tcW w:w="1750" w:type="dxa"/>
            <w:shd w:val="clear" w:color="auto" w:fill="auto"/>
            <w:noWrap/>
            <w:vAlign w:val="center"/>
            <w:hideMark/>
          </w:tcPr>
          <w:p w14:paraId="161F07F4" w14:textId="77777777" w:rsidR="00B10064" w:rsidRPr="00F10DCA" w:rsidRDefault="00B10064" w:rsidP="00F10DCA">
            <w:pPr>
              <w:spacing w:after="0" w:line="240" w:lineRule="auto"/>
              <w:jc w:val="center"/>
              <w:rPr>
                <w:rFonts w:eastAsia="Times New Roman" w:cstheme="minorHAnsi"/>
                <w:sz w:val="28"/>
                <w:szCs w:val="28"/>
                <w:lang w:eastAsia="en-IE"/>
              </w:rPr>
            </w:pPr>
          </w:p>
        </w:tc>
        <w:tc>
          <w:tcPr>
            <w:tcW w:w="1382" w:type="dxa"/>
            <w:shd w:val="clear" w:color="auto" w:fill="auto"/>
            <w:noWrap/>
            <w:vAlign w:val="center"/>
            <w:hideMark/>
          </w:tcPr>
          <w:p w14:paraId="3F80EB97" w14:textId="77777777" w:rsidR="00B10064" w:rsidRPr="00F10DCA" w:rsidRDefault="00B10064" w:rsidP="00F10DCA">
            <w:pPr>
              <w:spacing w:after="0" w:line="240" w:lineRule="auto"/>
              <w:jc w:val="center"/>
              <w:rPr>
                <w:rFonts w:eastAsia="Times New Roman" w:cstheme="minorHAnsi"/>
                <w:b/>
                <w:bCs/>
                <w:sz w:val="28"/>
                <w:szCs w:val="28"/>
                <w:lang w:eastAsia="en-IE"/>
              </w:rPr>
            </w:pPr>
            <w:r w:rsidRPr="00F10DCA">
              <w:rPr>
                <w:rFonts w:eastAsia="Times New Roman" w:cstheme="minorHAnsi"/>
                <w:b/>
                <w:bCs/>
                <w:sz w:val="28"/>
                <w:szCs w:val="28"/>
                <w:lang w:eastAsia="en-IE"/>
              </w:rPr>
              <w:t>2020*</w:t>
            </w:r>
          </w:p>
        </w:tc>
        <w:tc>
          <w:tcPr>
            <w:tcW w:w="1417" w:type="dxa"/>
            <w:shd w:val="clear" w:color="auto" w:fill="auto"/>
            <w:noWrap/>
            <w:vAlign w:val="center"/>
            <w:hideMark/>
          </w:tcPr>
          <w:p w14:paraId="4FDAD26D" w14:textId="77777777" w:rsidR="00B10064" w:rsidRPr="00F10DCA" w:rsidRDefault="00B10064" w:rsidP="00F10DCA">
            <w:pPr>
              <w:spacing w:after="0" w:line="240" w:lineRule="auto"/>
              <w:jc w:val="center"/>
              <w:rPr>
                <w:rFonts w:eastAsia="Times New Roman" w:cstheme="minorHAnsi"/>
                <w:b/>
                <w:bCs/>
                <w:sz w:val="28"/>
                <w:szCs w:val="28"/>
                <w:lang w:eastAsia="en-IE"/>
              </w:rPr>
            </w:pPr>
            <w:r w:rsidRPr="00F10DCA">
              <w:rPr>
                <w:rFonts w:eastAsia="Times New Roman" w:cstheme="minorHAnsi"/>
                <w:b/>
                <w:bCs/>
                <w:sz w:val="28"/>
                <w:szCs w:val="28"/>
                <w:lang w:eastAsia="en-IE"/>
              </w:rPr>
              <w:t>2019</w:t>
            </w:r>
          </w:p>
        </w:tc>
        <w:tc>
          <w:tcPr>
            <w:tcW w:w="1276" w:type="dxa"/>
            <w:shd w:val="clear" w:color="auto" w:fill="auto"/>
            <w:noWrap/>
            <w:vAlign w:val="center"/>
            <w:hideMark/>
          </w:tcPr>
          <w:p w14:paraId="18C77FE2" w14:textId="77777777" w:rsidR="00B10064" w:rsidRPr="00F10DCA" w:rsidRDefault="00B10064" w:rsidP="00F10DCA">
            <w:pPr>
              <w:spacing w:after="0" w:line="240" w:lineRule="auto"/>
              <w:jc w:val="center"/>
              <w:rPr>
                <w:rFonts w:eastAsia="Times New Roman" w:cstheme="minorHAnsi"/>
                <w:b/>
                <w:bCs/>
                <w:sz w:val="28"/>
                <w:szCs w:val="28"/>
                <w:lang w:eastAsia="en-IE"/>
              </w:rPr>
            </w:pPr>
            <w:r w:rsidRPr="00F10DCA">
              <w:rPr>
                <w:rFonts w:eastAsia="Times New Roman" w:cstheme="minorHAnsi"/>
                <w:b/>
                <w:bCs/>
                <w:sz w:val="28"/>
                <w:szCs w:val="28"/>
                <w:lang w:eastAsia="en-IE"/>
              </w:rPr>
              <w:t>Change</w:t>
            </w:r>
          </w:p>
        </w:tc>
        <w:tc>
          <w:tcPr>
            <w:tcW w:w="1276" w:type="dxa"/>
            <w:shd w:val="clear" w:color="auto" w:fill="auto"/>
            <w:noWrap/>
            <w:vAlign w:val="center"/>
            <w:hideMark/>
          </w:tcPr>
          <w:p w14:paraId="3881C43D" w14:textId="77777777" w:rsidR="00B10064" w:rsidRPr="00F10DCA" w:rsidRDefault="00B10064" w:rsidP="00F10DCA">
            <w:pPr>
              <w:spacing w:after="0" w:line="240" w:lineRule="auto"/>
              <w:jc w:val="center"/>
              <w:rPr>
                <w:rFonts w:eastAsia="Times New Roman" w:cstheme="minorHAnsi"/>
                <w:b/>
                <w:bCs/>
                <w:sz w:val="28"/>
                <w:szCs w:val="28"/>
                <w:lang w:eastAsia="en-IE"/>
              </w:rPr>
            </w:pPr>
            <w:r w:rsidRPr="00F10DCA">
              <w:rPr>
                <w:rFonts w:eastAsia="Times New Roman" w:cstheme="minorHAnsi"/>
                <w:b/>
                <w:bCs/>
                <w:sz w:val="28"/>
                <w:szCs w:val="28"/>
                <w:lang w:eastAsia="en-IE"/>
              </w:rPr>
              <w:t>% change</w:t>
            </w:r>
          </w:p>
        </w:tc>
        <w:tc>
          <w:tcPr>
            <w:tcW w:w="1571" w:type="dxa"/>
            <w:shd w:val="clear" w:color="auto" w:fill="auto"/>
            <w:noWrap/>
            <w:vAlign w:val="center"/>
            <w:hideMark/>
          </w:tcPr>
          <w:p w14:paraId="65522868" w14:textId="77777777" w:rsidR="00B10064" w:rsidRPr="00F10DCA" w:rsidRDefault="00B10064" w:rsidP="00F10DCA">
            <w:pPr>
              <w:spacing w:after="0" w:line="240" w:lineRule="auto"/>
              <w:jc w:val="center"/>
              <w:rPr>
                <w:rFonts w:eastAsia="Times New Roman" w:cstheme="minorHAnsi"/>
                <w:b/>
                <w:bCs/>
                <w:sz w:val="28"/>
                <w:szCs w:val="28"/>
                <w:lang w:eastAsia="en-IE"/>
              </w:rPr>
            </w:pPr>
            <w:r w:rsidRPr="00F10DCA">
              <w:rPr>
                <w:rFonts w:eastAsia="Times New Roman" w:cstheme="minorHAnsi"/>
                <w:b/>
                <w:bCs/>
                <w:sz w:val="28"/>
                <w:szCs w:val="28"/>
                <w:lang w:eastAsia="en-IE"/>
              </w:rPr>
              <w:t>2020 as % of 2019</w:t>
            </w:r>
          </w:p>
        </w:tc>
      </w:tr>
      <w:tr w:rsidR="001C1818" w:rsidRPr="00F10DCA" w14:paraId="3479504E" w14:textId="77777777" w:rsidTr="00D33884">
        <w:trPr>
          <w:trHeight w:val="286"/>
          <w:jc w:val="center"/>
        </w:trPr>
        <w:tc>
          <w:tcPr>
            <w:tcW w:w="1750" w:type="dxa"/>
            <w:shd w:val="clear" w:color="auto" w:fill="auto"/>
            <w:noWrap/>
            <w:vAlign w:val="center"/>
            <w:hideMark/>
          </w:tcPr>
          <w:p w14:paraId="3D12DCDF"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eastAsia="Times New Roman" w:cstheme="minorHAnsi"/>
                <w:sz w:val="28"/>
                <w:szCs w:val="28"/>
                <w:lang w:eastAsia="en-IE"/>
              </w:rPr>
              <w:t>CAMHS</w:t>
            </w:r>
          </w:p>
        </w:tc>
        <w:tc>
          <w:tcPr>
            <w:tcW w:w="1382" w:type="dxa"/>
            <w:shd w:val="clear" w:color="auto" w:fill="auto"/>
            <w:noWrap/>
            <w:vAlign w:val="center"/>
            <w:hideMark/>
          </w:tcPr>
          <w:p w14:paraId="17B01BA6"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10,456</w:t>
            </w:r>
          </w:p>
        </w:tc>
        <w:tc>
          <w:tcPr>
            <w:tcW w:w="1417" w:type="dxa"/>
            <w:shd w:val="clear" w:color="auto" w:fill="auto"/>
            <w:noWrap/>
            <w:vAlign w:val="center"/>
            <w:hideMark/>
          </w:tcPr>
          <w:p w14:paraId="5A217177"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11,139</w:t>
            </w:r>
          </w:p>
        </w:tc>
        <w:tc>
          <w:tcPr>
            <w:tcW w:w="1276" w:type="dxa"/>
            <w:shd w:val="clear" w:color="auto" w:fill="auto"/>
            <w:noWrap/>
            <w:vAlign w:val="center"/>
            <w:hideMark/>
          </w:tcPr>
          <w:p w14:paraId="500ACAFB"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683</w:t>
            </w:r>
          </w:p>
        </w:tc>
        <w:tc>
          <w:tcPr>
            <w:tcW w:w="1276" w:type="dxa"/>
            <w:shd w:val="clear" w:color="auto" w:fill="auto"/>
            <w:noWrap/>
            <w:vAlign w:val="center"/>
            <w:hideMark/>
          </w:tcPr>
          <w:p w14:paraId="4919D67A"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-6.13%</w:t>
            </w:r>
          </w:p>
        </w:tc>
        <w:tc>
          <w:tcPr>
            <w:tcW w:w="1571" w:type="dxa"/>
            <w:shd w:val="clear" w:color="auto" w:fill="auto"/>
            <w:noWrap/>
            <w:vAlign w:val="center"/>
            <w:hideMark/>
          </w:tcPr>
          <w:p w14:paraId="7F45D13F"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93.87%</w:t>
            </w:r>
          </w:p>
        </w:tc>
      </w:tr>
      <w:tr w:rsidR="001C1818" w:rsidRPr="00F10DCA" w14:paraId="5E3E8B99" w14:textId="77777777" w:rsidTr="00D33884">
        <w:trPr>
          <w:trHeight w:val="286"/>
          <w:jc w:val="center"/>
        </w:trPr>
        <w:tc>
          <w:tcPr>
            <w:tcW w:w="1750" w:type="dxa"/>
            <w:shd w:val="clear" w:color="auto" w:fill="auto"/>
            <w:noWrap/>
            <w:vAlign w:val="center"/>
            <w:hideMark/>
          </w:tcPr>
          <w:p w14:paraId="2D0A81E6"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eastAsia="Times New Roman" w:cstheme="minorHAnsi"/>
                <w:sz w:val="28"/>
                <w:szCs w:val="28"/>
                <w:lang w:eastAsia="en-IE"/>
              </w:rPr>
              <w:t>Adult</w:t>
            </w:r>
          </w:p>
        </w:tc>
        <w:tc>
          <w:tcPr>
            <w:tcW w:w="1382" w:type="dxa"/>
            <w:shd w:val="clear" w:color="auto" w:fill="auto"/>
            <w:noWrap/>
            <w:vAlign w:val="center"/>
            <w:hideMark/>
          </w:tcPr>
          <w:p w14:paraId="07262BED"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23,820</w:t>
            </w:r>
          </w:p>
        </w:tc>
        <w:tc>
          <w:tcPr>
            <w:tcW w:w="1417" w:type="dxa"/>
            <w:shd w:val="clear" w:color="auto" w:fill="auto"/>
            <w:noWrap/>
            <w:vAlign w:val="center"/>
            <w:hideMark/>
          </w:tcPr>
          <w:p w14:paraId="5E6FCEA1"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27,056</w:t>
            </w:r>
          </w:p>
        </w:tc>
        <w:tc>
          <w:tcPr>
            <w:tcW w:w="1276" w:type="dxa"/>
            <w:shd w:val="clear" w:color="auto" w:fill="auto"/>
            <w:noWrap/>
            <w:vAlign w:val="center"/>
            <w:hideMark/>
          </w:tcPr>
          <w:p w14:paraId="0256E4C9"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3,236</w:t>
            </w:r>
          </w:p>
        </w:tc>
        <w:tc>
          <w:tcPr>
            <w:tcW w:w="1276" w:type="dxa"/>
            <w:shd w:val="clear" w:color="auto" w:fill="auto"/>
            <w:noWrap/>
            <w:vAlign w:val="center"/>
            <w:hideMark/>
          </w:tcPr>
          <w:p w14:paraId="5A93B4E1"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-12.0%</w:t>
            </w:r>
          </w:p>
        </w:tc>
        <w:tc>
          <w:tcPr>
            <w:tcW w:w="1571" w:type="dxa"/>
            <w:shd w:val="clear" w:color="auto" w:fill="auto"/>
            <w:noWrap/>
            <w:vAlign w:val="center"/>
            <w:hideMark/>
          </w:tcPr>
          <w:p w14:paraId="6F8F0EFA"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88.04%</w:t>
            </w:r>
          </w:p>
        </w:tc>
      </w:tr>
      <w:tr w:rsidR="001C1818" w:rsidRPr="00F10DCA" w14:paraId="496FA33B" w14:textId="77777777" w:rsidTr="00D33884">
        <w:trPr>
          <w:trHeight w:val="286"/>
          <w:jc w:val="center"/>
        </w:trPr>
        <w:tc>
          <w:tcPr>
            <w:tcW w:w="1750" w:type="dxa"/>
            <w:shd w:val="clear" w:color="auto" w:fill="auto"/>
            <w:noWrap/>
            <w:vAlign w:val="center"/>
            <w:hideMark/>
          </w:tcPr>
          <w:p w14:paraId="207E5350"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eastAsia="Times New Roman" w:cstheme="minorHAnsi"/>
                <w:sz w:val="28"/>
                <w:szCs w:val="28"/>
                <w:lang w:eastAsia="en-IE"/>
              </w:rPr>
              <w:t>POLL</w:t>
            </w:r>
          </w:p>
        </w:tc>
        <w:tc>
          <w:tcPr>
            <w:tcW w:w="1382" w:type="dxa"/>
            <w:shd w:val="clear" w:color="auto" w:fill="auto"/>
            <w:noWrap/>
            <w:vAlign w:val="center"/>
            <w:hideMark/>
          </w:tcPr>
          <w:p w14:paraId="294ED8AA"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7,640</w:t>
            </w:r>
          </w:p>
        </w:tc>
        <w:tc>
          <w:tcPr>
            <w:tcW w:w="1417" w:type="dxa"/>
            <w:shd w:val="clear" w:color="auto" w:fill="auto"/>
            <w:noWrap/>
            <w:vAlign w:val="center"/>
            <w:hideMark/>
          </w:tcPr>
          <w:p w14:paraId="50DAB8DD"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8,921</w:t>
            </w:r>
          </w:p>
        </w:tc>
        <w:tc>
          <w:tcPr>
            <w:tcW w:w="1276" w:type="dxa"/>
            <w:shd w:val="clear" w:color="auto" w:fill="auto"/>
            <w:noWrap/>
            <w:vAlign w:val="center"/>
            <w:hideMark/>
          </w:tcPr>
          <w:p w14:paraId="71F2DE95"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1,281</w:t>
            </w:r>
          </w:p>
        </w:tc>
        <w:tc>
          <w:tcPr>
            <w:tcW w:w="1276" w:type="dxa"/>
            <w:shd w:val="clear" w:color="auto" w:fill="auto"/>
            <w:noWrap/>
            <w:vAlign w:val="center"/>
            <w:hideMark/>
          </w:tcPr>
          <w:p w14:paraId="0D51F457"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-14.36%</w:t>
            </w:r>
          </w:p>
        </w:tc>
        <w:tc>
          <w:tcPr>
            <w:tcW w:w="1571" w:type="dxa"/>
            <w:shd w:val="clear" w:color="auto" w:fill="auto"/>
            <w:noWrap/>
            <w:vAlign w:val="center"/>
            <w:hideMark/>
          </w:tcPr>
          <w:p w14:paraId="1C176AF9" w14:textId="77777777" w:rsidR="00B10064" w:rsidRPr="00F10DCA" w:rsidRDefault="00B10064" w:rsidP="00F10DCA">
            <w:pPr>
              <w:spacing w:after="0" w:line="240" w:lineRule="auto"/>
              <w:jc w:val="center"/>
              <w:rPr>
                <w:rFonts w:eastAsia="Times New Roman" w:cstheme="minorHAnsi"/>
                <w:sz w:val="28"/>
                <w:szCs w:val="28"/>
                <w:lang w:eastAsia="en-IE"/>
              </w:rPr>
            </w:pPr>
            <w:r w:rsidRPr="00F10DCA">
              <w:rPr>
                <w:rFonts w:cstheme="minorHAnsi"/>
                <w:sz w:val="28"/>
                <w:szCs w:val="28"/>
              </w:rPr>
              <w:t>85.64%</w:t>
            </w:r>
          </w:p>
        </w:tc>
      </w:tr>
    </w:tbl>
    <w:p w14:paraId="5AD5E0EE" w14:textId="77777777" w:rsidR="00B10064" w:rsidRPr="00F10DCA" w:rsidRDefault="00B10064" w:rsidP="00F10DCA">
      <w:pPr>
        <w:autoSpaceDE w:val="0"/>
        <w:autoSpaceDN w:val="0"/>
        <w:spacing w:after="0" w:line="240" w:lineRule="auto"/>
        <w:rPr>
          <w:rFonts w:eastAsia="Times New Roman" w:cstheme="minorHAnsi"/>
          <w:sz w:val="28"/>
          <w:szCs w:val="28"/>
        </w:rPr>
      </w:pPr>
      <w:r w:rsidRPr="00F10DCA">
        <w:rPr>
          <w:rFonts w:eastAsia="Times New Roman" w:cstheme="minorHAnsi"/>
          <w:sz w:val="28"/>
          <w:szCs w:val="28"/>
        </w:rPr>
        <w:tab/>
        <w:t>*As per figures supplied in April 2021 by National Clinical Lead (see Section 10 )</w:t>
      </w:r>
    </w:p>
    <w:p w14:paraId="5A22E3C6" w14:textId="77777777" w:rsidR="00B10064" w:rsidRPr="00F10DCA" w:rsidRDefault="00B10064" w:rsidP="00F10DCA">
      <w:pPr>
        <w:autoSpaceDE w:val="0"/>
        <w:autoSpaceDN w:val="0"/>
        <w:spacing w:after="0" w:line="240" w:lineRule="auto"/>
        <w:rPr>
          <w:rFonts w:eastAsia="Times New Roman" w:cstheme="minorHAnsi"/>
          <w:sz w:val="28"/>
          <w:szCs w:val="28"/>
        </w:rPr>
      </w:pPr>
    </w:p>
    <w:bookmarkEnd w:id="6"/>
    <w:p w14:paraId="0789108E" w14:textId="77777777" w:rsidR="00B10064" w:rsidRPr="00F10DCA" w:rsidRDefault="00B10064" w:rsidP="00F10DCA">
      <w:pPr>
        <w:numPr>
          <w:ilvl w:val="0"/>
          <w:numId w:val="1"/>
        </w:numPr>
        <w:autoSpaceDE w:val="0"/>
        <w:autoSpaceDN w:val="0"/>
        <w:spacing w:after="0" w:line="240" w:lineRule="auto"/>
        <w:ind w:left="426"/>
        <w:contextualSpacing/>
        <w:rPr>
          <w:rFonts w:cstheme="minorHAnsi"/>
          <w:bCs/>
          <w:sz w:val="28"/>
          <w:szCs w:val="28"/>
        </w:rPr>
      </w:pPr>
      <w:r w:rsidRPr="00F10DCA">
        <w:rPr>
          <w:rFonts w:eastAsia="Times New Roman" w:cstheme="minorHAnsi"/>
          <w:sz w:val="28"/>
          <w:szCs w:val="28"/>
          <w:lang w:eastAsia="en-IE"/>
        </w:rPr>
        <w:t xml:space="preserve">During the first Covid-19 wave, fewer MHS referrals were received, with a resurgence when restrictions eased. </w:t>
      </w:r>
    </w:p>
    <w:p w14:paraId="304CC119" w14:textId="77777777" w:rsidR="00B10064" w:rsidRPr="00F10DCA" w:rsidRDefault="00B10064" w:rsidP="00F10DCA">
      <w:pPr>
        <w:spacing w:after="0" w:line="240" w:lineRule="auto"/>
        <w:ind w:left="720"/>
        <w:contextualSpacing/>
        <w:rPr>
          <w:rFonts w:cstheme="minorHAnsi"/>
          <w:bCs/>
          <w:sz w:val="28"/>
          <w:szCs w:val="28"/>
        </w:rPr>
      </w:pPr>
    </w:p>
    <w:p w14:paraId="0B98A7B0" w14:textId="77777777" w:rsidR="00B10064" w:rsidRPr="00F10DCA" w:rsidRDefault="00B10064" w:rsidP="00F10DCA">
      <w:pPr>
        <w:numPr>
          <w:ilvl w:val="0"/>
          <w:numId w:val="1"/>
        </w:numPr>
        <w:autoSpaceDE w:val="0"/>
        <w:autoSpaceDN w:val="0"/>
        <w:spacing w:after="0" w:line="240" w:lineRule="auto"/>
        <w:ind w:left="426"/>
        <w:contextualSpacing/>
        <w:rPr>
          <w:rFonts w:cstheme="minorHAnsi"/>
          <w:bCs/>
          <w:sz w:val="28"/>
          <w:szCs w:val="28"/>
        </w:rPr>
      </w:pPr>
      <w:r w:rsidRPr="00F10DCA">
        <w:rPr>
          <w:rFonts w:cstheme="minorHAnsi"/>
          <w:bCs/>
          <w:sz w:val="28"/>
          <w:szCs w:val="28"/>
        </w:rPr>
        <w:t xml:space="preserve">Generally, there was a decrease in activity levels in services during 2020, compared to 2019: </w:t>
      </w:r>
    </w:p>
    <w:p w14:paraId="7A65C8FA" w14:textId="77777777" w:rsidR="00B10064" w:rsidRPr="00F10DCA" w:rsidRDefault="00B10064" w:rsidP="00F10DCA">
      <w:pPr>
        <w:numPr>
          <w:ilvl w:val="1"/>
          <w:numId w:val="5"/>
        </w:numPr>
        <w:spacing w:after="0" w:line="240" w:lineRule="auto"/>
        <w:ind w:left="851"/>
        <w:contextualSpacing/>
        <w:rPr>
          <w:rFonts w:cstheme="minorHAnsi"/>
          <w:bCs/>
          <w:sz w:val="28"/>
          <w:szCs w:val="28"/>
        </w:rPr>
      </w:pPr>
      <w:r w:rsidRPr="00F10DCA">
        <w:rPr>
          <w:rFonts w:cstheme="minorHAnsi"/>
          <w:bCs/>
          <w:sz w:val="28"/>
          <w:szCs w:val="28"/>
        </w:rPr>
        <w:t xml:space="preserve">CAMHS new cases seen in 2020 were at 94% of 2019 levels, but Q4 saw referrals rising and the CAMHS waiting list for December increased to 2,726, compared to 2,327 for Q4 2019. </w:t>
      </w:r>
    </w:p>
    <w:p w14:paraId="2DDC07F2" w14:textId="77777777" w:rsidR="00B10064" w:rsidRPr="00F10DCA" w:rsidRDefault="00B10064" w:rsidP="00F10DCA">
      <w:pPr>
        <w:numPr>
          <w:ilvl w:val="1"/>
          <w:numId w:val="5"/>
        </w:numPr>
        <w:spacing w:after="0" w:line="240" w:lineRule="auto"/>
        <w:ind w:left="851"/>
        <w:contextualSpacing/>
        <w:rPr>
          <w:rFonts w:cstheme="minorHAnsi"/>
          <w:bCs/>
          <w:sz w:val="28"/>
          <w:szCs w:val="28"/>
        </w:rPr>
      </w:pPr>
      <w:r w:rsidRPr="00F10DCA">
        <w:rPr>
          <w:rFonts w:cstheme="minorHAnsi"/>
          <w:bCs/>
          <w:sz w:val="28"/>
          <w:szCs w:val="28"/>
        </w:rPr>
        <w:t xml:space="preserve">Adult Community Services new cases seen in 2020 were at 87% of 2019 levels. </w:t>
      </w:r>
    </w:p>
    <w:p w14:paraId="6D29A2C2" w14:textId="77777777" w:rsidR="00B10064" w:rsidRPr="00F10DCA" w:rsidRDefault="00B10064" w:rsidP="00F10DCA">
      <w:pPr>
        <w:numPr>
          <w:ilvl w:val="1"/>
          <w:numId w:val="5"/>
        </w:numPr>
        <w:spacing w:after="0" w:line="240" w:lineRule="auto"/>
        <w:ind w:left="851"/>
        <w:contextualSpacing/>
        <w:rPr>
          <w:rFonts w:cstheme="minorHAnsi"/>
          <w:bCs/>
          <w:sz w:val="28"/>
          <w:szCs w:val="28"/>
        </w:rPr>
      </w:pPr>
      <w:r w:rsidRPr="00F10DCA">
        <w:rPr>
          <w:rFonts w:cstheme="minorHAnsi"/>
          <w:bCs/>
          <w:sz w:val="28"/>
          <w:szCs w:val="28"/>
        </w:rPr>
        <w:t xml:space="preserve">Psychiatry of Later Life new cases seen in 2020 were at 85% of 2019 levels. </w:t>
      </w:r>
    </w:p>
    <w:p w14:paraId="7155D021" w14:textId="77777777" w:rsidR="00B10064" w:rsidRPr="00F10DCA" w:rsidRDefault="00B10064" w:rsidP="00F10DCA">
      <w:pPr>
        <w:numPr>
          <w:ilvl w:val="1"/>
          <w:numId w:val="5"/>
        </w:numPr>
        <w:spacing w:after="0" w:line="240" w:lineRule="auto"/>
        <w:ind w:left="851"/>
        <w:contextualSpacing/>
        <w:rPr>
          <w:rFonts w:cstheme="minorHAnsi"/>
          <w:b/>
          <w:bCs/>
          <w:i/>
          <w:iCs/>
          <w:sz w:val="28"/>
          <w:szCs w:val="28"/>
        </w:rPr>
      </w:pPr>
      <w:r w:rsidRPr="00F10DCA">
        <w:rPr>
          <w:rFonts w:cstheme="minorHAnsi"/>
          <w:bCs/>
          <w:sz w:val="28"/>
          <w:szCs w:val="28"/>
        </w:rPr>
        <w:t xml:space="preserve">New admissions to adult acute inpatient units in 2020 are at 94% of 2019 levels. </w:t>
      </w:r>
    </w:p>
    <w:p w14:paraId="041E724F" w14:textId="77777777" w:rsidR="00B10064" w:rsidRPr="00F10DCA" w:rsidRDefault="00B10064" w:rsidP="00F10DCA">
      <w:pPr>
        <w:spacing w:after="0" w:line="240" w:lineRule="auto"/>
        <w:ind w:left="720"/>
        <w:rPr>
          <w:rFonts w:cstheme="minorHAnsi"/>
          <w:bCs/>
          <w:sz w:val="28"/>
          <w:szCs w:val="28"/>
        </w:rPr>
      </w:pPr>
    </w:p>
    <w:p w14:paraId="1F13FEF8" w14:textId="77777777" w:rsidR="00B10064" w:rsidRPr="00F10DCA" w:rsidRDefault="00B10064" w:rsidP="00F10DCA">
      <w:pPr>
        <w:numPr>
          <w:ilvl w:val="0"/>
          <w:numId w:val="1"/>
        </w:numPr>
        <w:autoSpaceDE w:val="0"/>
        <w:autoSpaceDN w:val="0"/>
        <w:spacing w:after="0" w:line="240" w:lineRule="auto"/>
        <w:ind w:left="426"/>
        <w:contextualSpacing/>
        <w:rPr>
          <w:rFonts w:cstheme="minorHAnsi"/>
          <w:bCs/>
          <w:sz w:val="28"/>
          <w:szCs w:val="28"/>
        </w:rPr>
      </w:pPr>
      <w:r w:rsidRPr="00F10DCA">
        <w:rPr>
          <w:rFonts w:eastAsia="Times New Roman" w:cstheme="minorHAnsi"/>
          <w:sz w:val="28"/>
          <w:szCs w:val="28"/>
          <w:lang w:eastAsia="en-IE"/>
        </w:rPr>
        <w:t>An increase in acuity of cases presenting has been noted.</w:t>
      </w:r>
    </w:p>
    <w:p w14:paraId="5D292165" w14:textId="77777777" w:rsidR="00B10064" w:rsidRPr="00F10DCA" w:rsidRDefault="00B10064" w:rsidP="00F10DCA">
      <w:pPr>
        <w:spacing w:after="0" w:line="240" w:lineRule="auto"/>
        <w:ind w:left="720"/>
        <w:rPr>
          <w:rFonts w:cstheme="minorHAnsi"/>
          <w:bCs/>
          <w:sz w:val="28"/>
          <w:szCs w:val="28"/>
        </w:rPr>
      </w:pPr>
    </w:p>
    <w:p w14:paraId="0DF30D77" w14:textId="77777777" w:rsidR="00B10064" w:rsidRPr="00F10DCA" w:rsidRDefault="00B10064" w:rsidP="00F10DCA">
      <w:pPr>
        <w:numPr>
          <w:ilvl w:val="0"/>
          <w:numId w:val="1"/>
        </w:numPr>
        <w:autoSpaceDE w:val="0"/>
        <w:autoSpaceDN w:val="0"/>
        <w:spacing w:after="0" w:line="240" w:lineRule="auto"/>
        <w:ind w:left="426"/>
        <w:contextualSpacing/>
        <w:rPr>
          <w:rFonts w:cstheme="minorHAnsi"/>
          <w:bCs/>
          <w:sz w:val="28"/>
          <w:szCs w:val="28"/>
        </w:rPr>
      </w:pPr>
      <w:r w:rsidRPr="00F10DCA">
        <w:rPr>
          <w:rFonts w:eastAsia="Times New Roman" w:cstheme="minorHAnsi"/>
          <w:sz w:val="28"/>
          <w:szCs w:val="28"/>
          <w:lang w:eastAsia="en-IE"/>
        </w:rPr>
        <w:t>An increase in numbers presenting with first episode psychosis and eating disorders has been noted.</w:t>
      </w:r>
    </w:p>
    <w:p w14:paraId="2BB1CB5C" w14:textId="6BE0B743" w:rsidR="00DA5478" w:rsidRPr="00F10DCA" w:rsidRDefault="00DA5478" w:rsidP="00F10DCA">
      <w:pPr>
        <w:spacing w:line="240" w:lineRule="auto"/>
        <w:rPr>
          <w:rFonts w:cstheme="minorHAnsi"/>
          <w:sz w:val="28"/>
          <w:szCs w:val="28"/>
        </w:rPr>
      </w:pPr>
    </w:p>
    <w:p w14:paraId="26E37848" w14:textId="7F8A2E34" w:rsidR="008D3AD3" w:rsidRPr="00F10DCA" w:rsidRDefault="008D3AD3" w:rsidP="00F10DCA">
      <w:pPr>
        <w:spacing w:line="240" w:lineRule="auto"/>
        <w:rPr>
          <w:rFonts w:cstheme="minorHAnsi"/>
          <w:sz w:val="28"/>
          <w:szCs w:val="28"/>
        </w:rPr>
      </w:pPr>
    </w:p>
    <w:p w14:paraId="731B8F1A" w14:textId="5EA7CAA4" w:rsidR="008D3AD3" w:rsidRPr="00F10DCA" w:rsidRDefault="008D3AD3" w:rsidP="00F10DCA">
      <w:pPr>
        <w:spacing w:line="240" w:lineRule="auto"/>
        <w:rPr>
          <w:rFonts w:cstheme="minorHAnsi"/>
          <w:sz w:val="28"/>
          <w:szCs w:val="28"/>
        </w:rPr>
      </w:pPr>
    </w:p>
    <w:p w14:paraId="6615CE97" w14:textId="77777777" w:rsidR="008D3AD3" w:rsidRPr="00F10DCA" w:rsidRDefault="008D3AD3" w:rsidP="00F10DCA">
      <w:pPr>
        <w:spacing w:line="240" w:lineRule="auto"/>
        <w:rPr>
          <w:rFonts w:cstheme="minorHAnsi"/>
          <w:sz w:val="28"/>
          <w:szCs w:val="28"/>
        </w:rPr>
      </w:pPr>
    </w:p>
    <w:p w14:paraId="7E4046AF" w14:textId="70BFD94D" w:rsidR="005C6B2D" w:rsidRPr="00DA5052" w:rsidRDefault="00AB17F5" w:rsidP="00F10DCA">
      <w:pPr>
        <w:keepNext/>
        <w:keepLines/>
        <w:spacing w:before="240" w:after="0" w:line="240" w:lineRule="auto"/>
        <w:outlineLvl w:val="0"/>
        <w:rPr>
          <w:rFonts w:eastAsiaTheme="majorEastAsia" w:cstheme="minorHAnsi"/>
          <w:b/>
          <w:bCs/>
          <w:sz w:val="32"/>
          <w:szCs w:val="32"/>
        </w:rPr>
      </w:pPr>
      <w:bookmarkStart w:id="7" w:name="_Toc70510986"/>
      <w:r w:rsidRPr="00DA5052">
        <w:rPr>
          <w:rFonts w:eastAsiaTheme="majorEastAsia" w:cstheme="minorHAnsi"/>
          <w:b/>
          <w:bCs/>
          <w:sz w:val="32"/>
          <w:szCs w:val="32"/>
        </w:rPr>
        <w:t>7.</w:t>
      </w:r>
      <w:r w:rsidRPr="00DA5052">
        <w:rPr>
          <w:rFonts w:eastAsiaTheme="majorEastAsia" w:cstheme="minorHAnsi"/>
          <w:b/>
          <w:bCs/>
          <w:sz w:val="32"/>
          <w:szCs w:val="32"/>
        </w:rPr>
        <w:tab/>
      </w:r>
      <w:r w:rsidR="005C6B2D" w:rsidRPr="00DA5052">
        <w:rPr>
          <w:rFonts w:eastAsiaTheme="majorEastAsia" w:cstheme="minorHAnsi"/>
          <w:b/>
          <w:bCs/>
          <w:sz w:val="32"/>
          <w:szCs w:val="32"/>
          <w:u w:val="single"/>
        </w:rPr>
        <w:t>Mental Health Bed</w:t>
      </w:r>
      <w:bookmarkEnd w:id="7"/>
      <w:r w:rsidR="00772738" w:rsidRPr="00DA5052">
        <w:rPr>
          <w:rFonts w:eastAsiaTheme="majorEastAsia" w:cstheme="minorHAnsi"/>
          <w:b/>
          <w:bCs/>
          <w:sz w:val="32"/>
          <w:szCs w:val="32"/>
          <w:u w:val="single"/>
        </w:rPr>
        <w:t>s</w:t>
      </w:r>
    </w:p>
    <w:p w14:paraId="02E4975F" w14:textId="77777777" w:rsidR="005C6B2D" w:rsidRPr="00F10DCA" w:rsidRDefault="005C6B2D" w:rsidP="00F10DCA">
      <w:pPr>
        <w:autoSpaceDE w:val="0"/>
        <w:autoSpaceDN w:val="0"/>
        <w:adjustRightInd w:val="0"/>
        <w:spacing w:after="0" w:line="240" w:lineRule="auto"/>
        <w:ind w:left="426"/>
        <w:rPr>
          <w:rFonts w:cstheme="minorHAnsi"/>
          <w:b/>
          <w:bCs/>
          <w:i/>
          <w:iCs/>
          <w:sz w:val="28"/>
          <w:szCs w:val="28"/>
        </w:rPr>
      </w:pPr>
    </w:p>
    <w:p w14:paraId="168FCB4A" w14:textId="77777777" w:rsidR="005C6B2D" w:rsidRPr="00F10DCA" w:rsidRDefault="005C6B2D"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Acute MH beds operate under community services rather than acute hospitals. The Saolta Group provides services in CHOs 1 and 2. The HSE has 52 acute inpatient approved centres in all nine CHO areas. There are also eight private acute adult inpatient units, a specialised intellectual disabilities unit and the Central Hospital in Dundrum. </w:t>
      </w:r>
    </w:p>
    <w:p w14:paraId="25769D12" w14:textId="77777777" w:rsidR="005C6B2D" w:rsidRPr="00F10DCA" w:rsidRDefault="005C6B2D" w:rsidP="00F10DCA">
      <w:pPr>
        <w:autoSpaceDE w:val="0"/>
        <w:autoSpaceDN w:val="0"/>
        <w:adjustRightInd w:val="0"/>
        <w:spacing w:after="0" w:line="240" w:lineRule="auto"/>
        <w:ind w:left="426"/>
        <w:rPr>
          <w:rFonts w:cstheme="minorHAnsi"/>
          <w:sz w:val="28"/>
          <w:szCs w:val="28"/>
        </w:rPr>
      </w:pPr>
    </w:p>
    <w:p w14:paraId="52747515" w14:textId="77777777" w:rsidR="005C6B2D" w:rsidRPr="00F10DCA" w:rsidRDefault="005C6B2D"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 xml:space="preserve">Public beds include approved centre beds and community residences. Approved centres are registered for a particular number of beds with the Mental Health Commission (MHC). Occupancy rates vary, according to factors including clinical presentation acuity and availability of appropriate staffing, including nurse specialists. </w:t>
      </w:r>
    </w:p>
    <w:p w14:paraId="58BC93A6" w14:textId="77777777" w:rsidR="005C6B2D" w:rsidRPr="00F10DCA" w:rsidRDefault="005C6B2D" w:rsidP="00F10DCA">
      <w:pPr>
        <w:autoSpaceDE w:val="0"/>
        <w:autoSpaceDN w:val="0"/>
        <w:adjustRightInd w:val="0"/>
        <w:spacing w:after="0" w:line="240" w:lineRule="auto"/>
        <w:ind w:left="426"/>
        <w:rPr>
          <w:rFonts w:cstheme="minorHAnsi"/>
          <w:sz w:val="28"/>
          <w:szCs w:val="28"/>
        </w:rPr>
      </w:pPr>
    </w:p>
    <w:p w14:paraId="55792C28" w14:textId="77777777" w:rsidR="005C6B2D" w:rsidRPr="00F10DCA" w:rsidRDefault="005C6B2D"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rPr>
        <w:t>The table shows approved centres and community 24-hour residences bed numbers. There are also medium and low support community residences at CHO level, HSE-provided or through housing agencies.</w:t>
      </w:r>
    </w:p>
    <w:p w14:paraId="249FE71B" w14:textId="77777777" w:rsidR="005C6B2D" w:rsidRPr="00F10DCA" w:rsidRDefault="005C6B2D" w:rsidP="00F10DCA">
      <w:pPr>
        <w:autoSpaceDE w:val="0"/>
        <w:autoSpaceDN w:val="0"/>
        <w:spacing w:after="0" w:line="240" w:lineRule="auto"/>
        <w:ind w:left="426"/>
        <w:contextualSpacing/>
        <w:rPr>
          <w:rFonts w:cstheme="minorHAnsi"/>
          <w:sz w:val="28"/>
          <w:szCs w:val="28"/>
        </w:rPr>
      </w:pPr>
    </w:p>
    <w:tbl>
      <w:tblPr>
        <w:tblStyle w:val="TableGrid"/>
        <w:tblW w:w="0" w:type="auto"/>
        <w:tblLook w:val="04A0" w:firstRow="1" w:lastRow="0" w:firstColumn="1" w:lastColumn="0" w:noHBand="0" w:noVBand="1"/>
      </w:tblPr>
      <w:tblGrid>
        <w:gridCol w:w="2627"/>
        <w:gridCol w:w="984"/>
        <w:gridCol w:w="1459"/>
        <w:gridCol w:w="1253"/>
        <w:gridCol w:w="1409"/>
        <w:gridCol w:w="1282"/>
      </w:tblGrid>
      <w:tr w:rsidR="001C1818" w:rsidRPr="00F10DCA" w14:paraId="50B8AB90" w14:textId="77777777" w:rsidTr="00D33884">
        <w:tc>
          <w:tcPr>
            <w:tcW w:w="2627" w:type="dxa"/>
          </w:tcPr>
          <w:p w14:paraId="2571B1DB" w14:textId="77777777" w:rsidR="005C6B2D" w:rsidRPr="00F10DCA" w:rsidRDefault="005C6B2D" w:rsidP="00F10DCA">
            <w:pPr>
              <w:autoSpaceDE w:val="0"/>
              <w:autoSpaceDN w:val="0"/>
              <w:adjustRightInd w:val="0"/>
              <w:ind w:left="426"/>
              <w:rPr>
                <w:rFonts w:cstheme="minorHAnsi"/>
                <w:sz w:val="28"/>
                <w:szCs w:val="28"/>
              </w:rPr>
            </w:pPr>
          </w:p>
        </w:tc>
        <w:tc>
          <w:tcPr>
            <w:tcW w:w="2443" w:type="dxa"/>
            <w:gridSpan w:val="2"/>
          </w:tcPr>
          <w:p w14:paraId="15C0D722" w14:textId="77777777" w:rsidR="005C6B2D" w:rsidRPr="00F10DCA" w:rsidRDefault="005C6B2D" w:rsidP="00F10DCA">
            <w:pPr>
              <w:autoSpaceDE w:val="0"/>
              <w:autoSpaceDN w:val="0"/>
              <w:adjustRightInd w:val="0"/>
              <w:ind w:left="67" w:right="166"/>
              <w:jc w:val="center"/>
              <w:rPr>
                <w:rFonts w:cstheme="minorHAnsi"/>
                <w:b/>
                <w:bCs/>
                <w:sz w:val="28"/>
                <w:szCs w:val="28"/>
              </w:rPr>
            </w:pPr>
            <w:r w:rsidRPr="00F10DCA">
              <w:rPr>
                <w:rFonts w:cstheme="minorHAnsi"/>
                <w:b/>
                <w:bCs/>
                <w:sz w:val="28"/>
                <w:szCs w:val="28"/>
              </w:rPr>
              <w:t>Adult Approved Centres</w:t>
            </w:r>
          </w:p>
        </w:tc>
        <w:tc>
          <w:tcPr>
            <w:tcW w:w="2510" w:type="dxa"/>
            <w:gridSpan w:val="2"/>
          </w:tcPr>
          <w:p w14:paraId="2209EC26" w14:textId="77777777" w:rsidR="005C6B2D" w:rsidRPr="00F10DCA" w:rsidRDefault="005C6B2D" w:rsidP="00F10DCA">
            <w:pPr>
              <w:autoSpaceDE w:val="0"/>
              <w:autoSpaceDN w:val="0"/>
              <w:adjustRightInd w:val="0"/>
              <w:ind w:left="44"/>
              <w:jc w:val="center"/>
              <w:rPr>
                <w:rFonts w:cstheme="minorHAnsi"/>
                <w:b/>
                <w:bCs/>
                <w:sz w:val="28"/>
                <w:szCs w:val="28"/>
              </w:rPr>
            </w:pPr>
            <w:r w:rsidRPr="00F10DCA">
              <w:rPr>
                <w:rFonts w:cstheme="minorHAnsi"/>
                <w:b/>
                <w:bCs/>
                <w:sz w:val="28"/>
                <w:szCs w:val="28"/>
              </w:rPr>
              <w:t>Community 24 Hour Residences</w:t>
            </w:r>
          </w:p>
        </w:tc>
        <w:tc>
          <w:tcPr>
            <w:tcW w:w="1282" w:type="dxa"/>
          </w:tcPr>
          <w:p w14:paraId="71B53B81" w14:textId="77777777" w:rsidR="005C6B2D" w:rsidRPr="00F10DCA" w:rsidRDefault="005C6B2D" w:rsidP="00F10DCA">
            <w:pPr>
              <w:autoSpaceDE w:val="0"/>
              <w:autoSpaceDN w:val="0"/>
              <w:adjustRightInd w:val="0"/>
              <w:ind w:left="75" w:right="141"/>
              <w:jc w:val="center"/>
              <w:rPr>
                <w:rFonts w:cstheme="minorHAnsi"/>
                <w:b/>
                <w:bCs/>
                <w:sz w:val="28"/>
                <w:szCs w:val="28"/>
              </w:rPr>
            </w:pPr>
            <w:r w:rsidRPr="00F10DCA">
              <w:rPr>
                <w:rFonts w:cstheme="minorHAnsi"/>
                <w:b/>
                <w:bCs/>
                <w:sz w:val="28"/>
                <w:szCs w:val="28"/>
              </w:rPr>
              <w:t>Total</w:t>
            </w:r>
          </w:p>
        </w:tc>
      </w:tr>
      <w:tr w:rsidR="001C1818" w:rsidRPr="00F10DCA" w14:paraId="5E139FF2" w14:textId="77777777" w:rsidTr="00D33884">
        <w:tc>
          <w:tcPr>
            <w:tcW w:w="2627" w:type="dxa"/>
          </w:tcPr>
          <w:p w14:paraId="579A9C23" w14:textId="77777777" w:rsidR="005C6B2D" w:rsidRPr="00F10DCA" w:rsidRDefault="005C6B2D" w:rsidP="00F10DCA">
            <w:pPr>
              <w:autoSpaceDE w:val="0"/>
              <w:autoSpaceDN w:val="0"/>
              <w:adjustRightInd w:val="0"/>
              <w:ind w:left="426"/>
              <w:rPr>
                <w:rFonts w:cstheme="minorHAnsi"/>
                <w:sz w:val="28"/>
                <w:szCs w:val="28"/>
              </w:rPr>
            </w:pPr>
          </w:p>
        </w:tc>
        <w:tc>
          <w:tcPr>
            <w:tcW w:w="984" w:type="dxa"/>
            <w:vAlign w:val="center"/>
          </w:tcPr>
          <w:p w14:paraId="6164C8F9" w14:textId="77777777" w:rsidR="005C6B2D" w:rsidRPr="00F10DCA" w:rsidRDefault="005C6B2D" w:rsidP="00F10DCA">
            <w:pPr>
              <w:autoSpaceDE w:val="0"/>
              <w:autoSpaceDN w:val="0"/>
              <w:adjustRightInd w:val="0"/>
              <w:ind w:left="157"/>
              <w:jc w:val="center"/>
              <w:rPr>
                <w:rFonts w:cstheme="minorHAnsi"/>
                <w:b/>
                <w:bCs/>
                <w:sz w:val="28"/>
                <w:szCs w:val="28"/>
              </w:rPr>
            </w:pPr>
            <w:r w:rsidRPr="00F10DCA">
              <w:rPr>
                <w:rFonts w:cstheme="minorHAnsi"/>
                <w:b/>
                <w:bCs/>
                <w:sz w:val="28"/>
                <w:szCs w:val="28"/>
              </w:rPr>
              <w:t>Units</w:t>
            </w:r>
          </w:p>
        </w:tc>
        <w:tc>
          <w:tcPr>
            <w:tcW w:w="1459" w:type="dxa"/>
            <w:vAlign w:val="center"/>
          </w:tcPr>
          <w:p w14:paraId="727EE5A0" w14:textId="77777777" w:rsidR="005C6B2D" w:rsidRPr="00F10DCA" w:rsidRDefault="005C6B2D" w:rsidP="00F10DCA">
            <w:pPr>
              <w:autoSpaceDE w:val="0"/>
              <w:autoSpaceDN w:val="0"/>
              <w:adjustRightInd w:val="0"/>
              <w:ind w:left="426"/>
              <w:jc w:val="center"/>
              <w:rPr>
                <w:rFonts w:cstheme="minorHAnsi"/>
                <w:b/>
                <w:bCs/>
                <w:sz w:val="28"/>
                <w:szCs w:val="28"/>
              </w:rPr>
            </w:pPr>
            <w:r w:rsidRPr="00F10DCA">
              <w:rPr>
                <w:rFonts w:cstheme="minorHAnsi"/>
                <w:b/>
                <w:bCs/>
                <w:sz w:val="28"/>
                <w:szCs w:val="28"/>
              </w:rPr>
              <w:t>Beds</w:t>
            </w:r>
          </w:p>
        </w:tc>
        <w:tc>
          <w:tcPr>
            <w:tcW w:w="1101" w:type="dxa"/>
            <w:vAlign w:val="center"/>
          </w:tcPr>
          <w:p w14:paraId="093C1DEB"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b/>
                <w:bCs/>
                <w:sz w:val="28"/>
                <w:szCs w:val="28"/>
              </w:rPr>
              <w:t>Units</w:t>
            </w:r>
          </w:p>
        </w:tc>
        <w:tc>
          <w:tcPr>
            <w:tcW w:w="1409" w:type="dxa"/>
            <w:vAlign w:val="center"/>
          </w:tcPr>
          <w:p w14:paraId="62547E56"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b/>
                <w:bCs/>
                <w:sz w:val="28"/>
                <w:szCs w:val="28"/>
              </w:rPr>
              <w:t>Beds</w:t>
            </w:r>
          </w:p>
        </w:tc>
        <w:tc>
          <w:tcPr>
            <w:tcW w:w="1282" w:type="dxa"/>
            <w:vAlign w:val="center"/>
          </w:tcPr>
          <w:p w14:paraId="5E7F8B66" w14:textId="77777777" w:rsidR="005C6B2D" w:rsidRPr="00F10DCA" w:rsidRDefault="005C6B2D" w:rsidP="00F10DCA">
            <w:pPr>
              <w:autoSpaceDE w:val="0"/>
              <w:autoSpaceDN w:val="0"/>
              <w:adjustRightInd w:val="0"/>
              <w:ind w:left="426"/>
              <w:jc w:val="center"/>
              <w:rPr>
                <w:rFonts w:cstheme="minorHAnsi"/>
                <w:b/>
                <w:bCs/>
                <w:sz w:val="28"/>
                <w:szCs w:val="28"/>
              </w:rPr>
            </w:pPr>
            <w:r w:rsidRPr="00F10DCA">
              <w:rPr>
                <w:rFonts w:cstheme="minorHAnsi"/>
                <w:b/>
                <w:bCs/>
                <w:sz w:val="28"/>
                <w:szCs w:val="28"/>
              </w:rPr>
              <w:t>Beds</w:t>
            </w:r>
          </w:p>
        </w:tc>
      </w:tr>
      <w:tr w:rsidR="001C1818" w:rsidRPr="00F10DCA" w14:paraId="206A9031" w14:textId="77777777" w:rsidTr="00D33884">
        <w:tc>
          <w:tcPr>
            <w:tcW w:w="2627" w:type="dxa"/>
          </w:tcPr>
          <w:p w14:paraId="31EBE33A"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CHO 1</w:t>
            </w:r>
          </w:p>
        </w:tc>
        <w:tc>
          <w:tcPr>
            <w:tcW w:w="984" w:type="dxa"/>
            <w:vAlign w:val="center"/>
          </w:tcPr>
          <w:p w14:paraId="4178F985"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4</w:t>
            </w:r>
          </w:p>
        </w:tc>
        <w:tc>
          <w:tcPr>
            <w:tcW w:w="1459" w:type="dxa"/>
            <w:vAlign w:val="center"/>
          </w:tcPr>
          <w:p w14:paraId="590927CD"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107</w:t>
            </w:r>
          </w:p>
        </w:tc>
        <w:tc>
          <w:tcPr>
            <w:tcW w:w="1101" w:type="dxa"/>
            <w:vAlign w:val="center"/>
          </w:tcPr>
          <w:p w14:paraId="4F48BE0F"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14</w:t>
            </w:r>
          </w:p>
        </w:tc>
        <w:tc>
          <w:tcPr>
            <w:tcW w:w="1409" w:type="dxa"/>
            <w:vAlign w:val="center"/>
          </w:tcPr>
          <w:p w14:paraId="34B03671"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145</w:t>
            </w:r>
          </w:p>
        </w:tc>
        <w:tc>
          <w:tcPr>
            <w:tcW w:w="1282" w:type="dxa"/>
            <w:vAlign w:val="center"/>
          </w:tcPr>
          <w:p w14:paraId="67256397"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252</w:t>
            </w:r>
          </w:p>
        </w:tc>
      </w:tr>
      <w:tr w:rsidR="001C1818" w:rsidRPr="00F10DCA" w14:paraId="7E4014CD" w14:textId="77777777" w:rsidTr="00D33884">
        <w:tc>
          <w:tcPr>
            <w:tcW w:w="2627" w:type="dxa"/>
          </w:tcPr>
          <w:p w14:paraId="332A76B4" w14:textId="77777777" w:rsidR="005C6B2D" w:rsidRPr="00F10DCA" w:rsidRDefault="005C6B2D" w:rsidP="00F10DCA">
            <w:pPr>
              <w:autoSpaceDE w:val="0"/>
              <w:autoSpaceDN w:val="0"/>
              <w:adjustRightInd w:val="0"/>
              <w:ind w:left="142"/>
              <w:rPr>
                <w:rFonts w:cstheme="minorHAnsi"/>
                <w:sz w:val="28"/>
                <w:szCs w:val="28"/>
              </w:rPr>
            </w:pPr>
            <w:r w:rsidRPr="00F10DCA">
              <w:rPr>
                <w:rFonts w:cstheme="minorHAnsi"/>
                <w:b/>
                <w:bCs/>
                <w:sz w:val="28"/>
                <w:szCs w:val="28"/>
              </w:rPr>
              <w:t>CHO 2</w:t>
            </w:r>
          </w:p>
        </w:tc>
        <w:tc>
          <w:tcPr>
            <w:tcW w:w="984" w:type="dxa"/>
            <w:vAlign w:val="center"/>
          </w:tcPr>
          <w:p w14:paraId="7F189521"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8</w:t>
            </w:r>
          </w:p>
        </w:tc>
        <w:tc>
          <w:tcPr>
            <w:tcW w:w="1459" w:type="dxa"/>
            <w:vAlign w:val="center"/>
          </w:tcPr>
          <w:p w14:paraId="6D1E069A"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175</w:t>
            </w:r>
          </w:p>
        </w:tc>
        <w:tc>
          <w:tcPr>
            <w:tcW w:w="1101" w:type="dxa"/>
            <w:vAlign w:val="center"/>
          </w:tcPr>
          <w:p w14:paraId="33F02646"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12</w:t>
            </w:r>
          </w:p>
        </w:tc>
        <w:tc>
          <w:tcPr>
            <w:tcW w:w="1409" w:type="dxa"/>
            <w:vAlign w:val="center"/>
          </w:tcPr>
          <w:p w14:paraId="1EF92DAA"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101</w:t>
            </w:r>
          </w:p>
        </w:tc>
        <w:tc>
          <w:tcPr>
            <w:tcW w:w="1282" w:type="dxa"/>
            <w:vAlign w:val="center"/>
          </w:tcPr>
          <w:p w14:paraId="58598B41"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276</w:t>
            </w:r>
          </w:p>
        </w:tc>
      </w:tr>
      <w:tr w:rsidR="001C1818" w:rsidRPr="00F10DCA" w14:paraId="5D67CBFB" w14:textId="77777777" w:rsidTr="00D33884">
        <w:tc>
          <w:tcPr>
            <w:tcW w:w="2627" w:type="dxa"/>
          </w:tcPr>
          <w:p w14:paraId="7B6AF4A8" w14:textId="77777777" w:rsidR="005C6B2D" w:rsidRPr="00F10DCA" w:rsidRDefault="005C6B2D" w:rsidP="00F10DCA">
            <w:pPr>
              <w:autoSpaceDE w:val="0"/>
              <w:autoSpaceDN w:val="0"/>
              <w:adjustRightInd w:val="0"/>
              <w:ind w:left="142"/>
              <w:rPr>
                <w:rFonts w:cstheme="minorHAnsi"/>
                <w:sz w:val="28"/>
                <w:szCs w:val="28"/>
              </w:rPr>
            </w:pPr>
            <w:r w:rsidRPr="00F10DCA">
              <w:rPr>
                <w:rFonts w:cstheme="minorHAnsi"/>
                <w:b/>
                <w:bCs/>
                <w:sz w:val="28"/>
                <w:szCs w:val="28"/>
              </w:rPr>
              <w:t>CHO 3</w:t>
            </w:r>
          </w:p>
        </w:tc>
        <w:tc>
          <w:tcPr>
            <w:tcW w:w="984" w:type="dxa"/>
            <w:vAlign w:val="center"/>
          </w:tcPr>
          <w:p w14:paraId="5138B85B"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4</w:t>
            </w:r>
          </w:p>
        </w:tc>
        <w:tc>
          <w:tcPr>
            <w:tcW w:w="1459" w:type="dxa"/>
            <w:vAlign w:val="center"/>
          </w:tcPr>
          <w:p w14:paraId="0805677C"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128</w:t>
            </w:r>
          </w:p>
        </w:tc>
        <w:tc>
          <w:tcPr>
            <w:tcW w:w="1101" w:type="dxa"/>
            <w:vAlign w:val="center"/>
          </w:tcPr>
          <w:p w14:paraId="525FAD27"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8</w:t>
            </w:r>
          </w:p>
        </w:tc>
        <w:tc>
          <w:tcPr>
            <w:tcW w:w="1409" w:type="dxa"/>
            <w:vAlign w:val="center"/>
          </w:tcPr>
          <w:p w14:paraId="3B829858"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110</w:t>
            </w:r>
          </w:p>
        </w:tc>
        <w:tc>
          <w:tcPr>
            <w:tcW w:w="1282" w:type="dxa"/>
            <w:vAlign w:val="center"/>
          </w:tcPr>
          <w:p w14:paraId="1C1B4662"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238</w:t>
            </w:r>
          </w:p>
        </w:tc>
      </w:tr>
      <w:tr w:rsidR="001C1818" w:rsidRPr="00F10DCA" w14:paraId="61734897" w14:textId="77777777" w:rsidTr="00D33884">
        <w:tc>
          <w:tcPr>
            <w:tcW w:w="2627" w:type="dxa"/>
          </w:tcPr>
          <w:p w14:paraId="720946BB" w14:textId="77777777" w:rsidR="005C6B2D" w:rsidRPr="00F10DCA" w:rsidRDefault="005C6B2D" w:rsidP="00F10DCA">
            <w:pPr>
              <w:autoSpaceDE w:val="0"/>
              <w:autoSpaceDN w:val="0"/>
              <w:adjustRightInd w:val="0"/>
              <w:ind w:left="142"/>
              <w:rPr>
                <w:rFonts w:cstheme="minorHAnsi"/>
                <w:sz w:val="28"/>
                <w:szCs w:val="28"/>
              </w:rPr>
            </w:pPr>
            <w:r w:rsidRPr="00F10DCA">
              <w:rPr>
                <w:rFonts w:cstheme="minorHAnsi"/>
                <w:b/>
                <w:bCs/>
                <w:sz w:val="28"/>
                <w:szCs w:val="28"/>
              </w:rPr>
              <w:t>CHO 4</w:t>
            </w:r>
          </w:p>
        </w:tc>
        <w:tc>
          <w:tcPr>
            <w:tcW w:w="984" w:type="dxa"/>
            <w:vAlign w:val="center"/>
          </w:tcPr>
          <w:p w14:paraId="68EB5902"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9</w:t>
            </w:r>
          </w:p>
        </w:tc>
        <w:tc>
          <w:tcPr>
            <w:tcW w:w="1459" w:type="dxa"/>
            <w:vAlign w:val="center"/>
          </w:tcPr>
          <w:p w14:paraId="27C2A348"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342</w:t>
            </w:r>
          </w:p>
        </w:tc>
        <w:tc>
          <w:tcPr>
            <w:tcW w:w="1101" w:type="dxa"/>
            <w:vAlign w:val="center"/>
          </w:tcPr>
          <w:p w14:paraId="70FEB6CD"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17</w:t>
            </w:r>
          </w:p>
        </w:tc>
        <w:tc>
          <w:tcPr>
            <w:tcW w:w="1409" w:type="dxa"/>
            <w:vAlign w:val="center"/>
          </w:tcPr>
          <w:p w14:paraId="76B7D8C5"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235</w:t>
            </w:r>
          </w:p>
        </w:tc>
        <w:tc>
          <w:tcPr>
            <w:tcW w:w="1282" w:type="dxa"/>
            <w:vAlign w:val="center"/>
          </w:tcPr>
          <w:p w14:paraId="0603F8FA"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577</w:t>
            </w:r>
          </w:p>
        </w:tc>
      </w:tr>
      <w:tr w:rsidR="001C1818" w:rsidRPr="00F10DCA" w14:paraId="5CFECF2E" w14:textId="77777777" w:rsidTr="00D33884">
        <w:tc>
          <w:tcPr>
            <w:tcW w:w="2627" w:type="dxa"/>
          </w:tcPr>
          <w:p w14:paraId="1EB4A46C" w14:textId="77777777" w:rsidR="005C6B2D" w:rsidRPr="00F10DCA" w:rsidRDefault="005C6B2D" w:rsidP="00F10DCA">
            <w:pPr>
              <w:autoSpaceDE w:val="0"/>
              <w:autoSpaceDN w:val="0"/>
              <w:adjustRightInd w:val="0"/>
              <w:ind w:left="142"/>
              <w:rPr>
                <w:rFonts w:cstheme="minorHAnsi"/>
                <w:sz w:val="28"/>
                <w:szCs w:val="28"/>
              </w:rPr>
            </w:pPr>
            <w:r w:rsidRPr="00F10DCA">
              <w:rPr>
                <w:rFonts w:cstheme="minorHAnsi"/>
                <w:b/>
                <w:bCs/>
                <w:sz w:val="28"/>
                <w:szCs w:val="28"/>
              </w:rPr>
              <w:t>CHO 5</w:t>
            </w:r>
          </w:p>
        </w:tc>
        <w:tc>
          <w:tcPr>
            <w:tcW w:w="984" w:type="dxa"/>
            <w:vAlign w:val="center"/>
          </w:tcPr>
          <w:p w14:paraId="1314755D"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8</w:t>
            </w:r>
          </w:p>
        </w:tc>
        <w:tc>
          <w:tcPr>
            <w:tcW w:w="1459" w:type="dxa"/>
            <w:vAlign w:val="center"/>
          </w:tcPr>
          <w:p w14:paraId="12E7381F"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220</w:t>
            </w:r>
          </w:p>
        </w:tc>
        <w:tc>
          <w:tcPr>
            <w:tcW w:w="1101" w:type="dxa"/>
            <w:vAlign w:val="center"/>
          </w:tcPr>
          <w:p w14:paraId="4B60ADBD"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19</w:t>
            </w:r>
          </w:p>
        </w:tc>
        <w:tc>
          <w:tcPr>
            <w:tcW w:w="1409" w:type="dxa"/>
            <w:vAlign w:val="center"/>
          </w:tcPr>
          <w:p w14:paraId="56F61981"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244</w:t>
            </w:r>
          </w:p>
        </w:tc>
        <w:tc>
          <w:tcPr>
            <w:tcW w:w="1282" w:type="dxa"/>
            <w:vAlign w:val="center"/>
          </w:tcPr>
          <w:p w14:paraId="3A3D4EA4"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464</w:t>
            </w:r>
          </w:p>
        </w:tc>
      </w:tr>
      <w:tr w:rsidR="001C1818" w:rsidRPr="00F10DCA" w14:paraId="7D8D9762" w14:textId="77777777" w:rsidTr="00D33884">
        <w:tc>
          <w:tcPr>
            <w:tcW w:w="2627" w:type="dxa"/>
          </w:tcPr>
          <w:p w14:paraId="365EFD3D" w14:textId="77777777" w:rsidR="005C6B2D" w:rsidRPr="00F10DCA" w:rsidRDefault="005C6B2D" w:rsidP="00F10DCA">
            <w:pPr>
              <w:autoSpaceDE w:val="0"/>
              <w:autoSpaceDN w:val="0"/>
              <w:adjustRightInd w:val="0"/>
              <w:ind w:left="142"/>
              <w:rPr>
                <w:rFonts w:cstheme="minorHAnsi"/>
                <w:sz w:val="28"/>
                <w:szCs w:val="28"/>
              </w:rPr>
            </w:pPr>
            <w:r w:rsidRPr="00F10DCA">
              <w:rPr>
                <w:rFonts w:cstheme="minorHAnsi"/>
                <w:b/>
                <w:bCs/>
                <w:sz w:val="28"/>
                <w:szCs w:val="28"/>
              </w:rPr>
              <w:t>CHO 6</w:t>
            </w:r>
          </w:p>
        </w:tc>
        <w:tc>
          <w:tcPr>
            <w:tcW w:w="984" w:type="dxa"/>
            <w:vAlign w:val="center"/>
          </w:tcPr>
          <w:p w14:paraId="7525EBB7"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3</w:t>
            </w:r>
          </w:p>
        </w:tc>
        <w:tc>
          <w:tcPr>
            <w:tcW w:w="1459" w:type="dxa"/>
            <w:vAlign w:val="center"/>
          </w:tcPr>
          <w:p w14:paraId="4AD0D486"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137</w:t>
            </w:r>
          </w:p>
        </w:tc>
        <w:tc>
          <w:tcPr>
            <w:tcW w:w="1101" w:type="dxa"/>
            <w:vAlign w:val="center"/>
          </w:tcPr>
          <w:p w14:paraId="4875FB0F"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3</w:t>
            </w:r>
          </w:p>
        </w:tc>
        <w:tc>
          <w:tcPr>
            <w:tcW w:w="1409" w:type="dxa"/>
            <w:vAlign w:val="center"/>
          </w:tcPr>
          <w:p w14:paraId="712D5B3E"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53</w:t>
            </w:r>
          </w:p>
        </w:tc>
        <w:tc>
          <w:tcPr>
            <w:tcW w:w="1282" w:type="dxa"/>
            <w:vAlign w:val="center"/>
          </w:tcPr>
          <w:p w14:paraId="74124FD5"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190</w:t>
            </w:r>
          </w:p>
        </w:tc>
      </w:tr>
      <w:tr w:rsidR="001C1818" w:rsidRPr="00F10DCA" w14:paraId="1F985513" w14:textId="77777777" w:rsidTr="00D33884">
        <w:tc>
          <w:tcPr>
            <w:tcW w:w="2627" w:type="dxa"/>
          </w:tcPr>
          <w:p w14:paraId="3BF5984B" w14:textId="77777777" w:rsidR="005C6B2D" w:rsidRPr="00F10DCA" w:rsidRDefault="005C6B2D" w:rsidP="00F10DCA">
            <w:pPr>
              <w:autoSpaceDE w:val="0"/>
              <w:autoSpaceDN w:val="0"/>
              <w:adjustRightInd w:val="0"/>
              <w:ind w:left="142"/>
              <w:rPr>
                <w:rFonts w:cstheme="minorHAnsi"/>
                <w:sz w:val="28"/>
                <w:szCs w:val="28"/>
              </w:rPr>
            </w:pPr>
            <w:r w:rsidRPr="00F10DCA">
              <w:rPr>
                <w:rFonts w:cstheme="minorHAnsi"/>
                <w:b/>
                <w:bCs/>
                <w:sz w:val="28"/>
                <w:szCs w:val="28"/>
              </w:rPr>
              <w:t>CHO 7</w:t>
            </w:r>
          </w:p>
        </w:tc>
        <w:tc>
          <w:tcPr>
            <w:tcW w:w="984" w:type="dxa"/>
            <w:vAlign w:val="center"/>
          </w:tcPr>
          <w:p w14:paraId="57E03B4E"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3</w:t>
            </w:r>
          </w:p>
        </w:tc>
        <w:tc>
          <w:tcPr>
            <w:tcW w:w="1459" w:type="dxa"/>
            <w:vAlign w:val="center"/>
          </w:tcPr>
          <w:p w14:paraId="504FF2CE"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128</w:t>
            </w:r>
          </w:p>
        </w:tc>
        <w:tc>
          <w:tcPr>
            <w:tcW w:w="1101" w:type="dxa"/>
            <w:vAlign w:val="center"/>
          </w:tcPr>
          <w:p w14:paraId="2622B004"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8</w:t>
            </w:r>
          </w:p>
        </w:tc>
        <w:tc>
          <w:tcPr>
            <w:tcW w:w="1409" w:type="dxa"/>
            <w:vAlign w:val="center"/>
          </w:tcPr>
          <w:p w14:paraId="1BC74181"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101</w:t>
            </w:r>
          </w:p>
        </w:tc>
        <w:tc>
          <w:tcPr>
            <w:tcW w:w="1282" w:type="dxa"/>
            <w:vAlign w:val="center"/>
          </w:tcPr>
          <w:p w14:paraId="4628A03E"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229</w:t>
            </w:r>
          </w:p>
        </w:tc>
      </w:tr>
      <w:tr w:rsidR="001C1818" w:rsidRPr="00F10DCA" w14:paraId="5640D7FB" w14:textId="77777777" w:rsidTr="00D33884">
        <w:tc>
          <w:tcPr>
            <w:tcW w:w="2627" w:type="dxa"/>
          </w:tcPr>
          <w:p w14:paraId="3204789E"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CHO 8</w:t>
            </w:r>
          </w:p>
        </w:tc>
        <w:tc>
          <w:tcPr>
            <w:tcW w:w="984" w:type="dxa"/>
            <w:vAlign w:val="center"/>
          </w:tcPr>
          <w:p w14:paraId="70942082"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6</w:t>
            </w:r>
          </w:p>
        </w:tc>
        <w:tc>
          <w:tcPr>
            <w:tcW w:w="1459" w:type="dxa"/>
            <w:vAlign w:val="center"/>
          </w:tcPr>
          <w:p w14:paraId="7DB016A1"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226</w:t>
            </w:r>
          </w:p>
        </w:tc>
        <w:tc>
          <w:tcPr>
            <w:tcW w:w="1101" w:type="dxa"/>
            <w:vAlign w:val="center"/>
          </w:tcPr>
          <w:p w14:paraId="676124FC"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12</w:t>
            </w:r>
          </w:p>
        </w:tc>
        <w:tc>
          <w:tcPr>
            <w:tcW w:w="1409" w:type="dxa"/>
            <w:vAlign w:val="center"/>
          </w:tcPr>
          <w:p w14:paraId="14D4B330"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138</w:t>
            </w:r>
          </w:p>
        </w:tc>
        <w:tc>
          <w:tcPr>
            <w:tcW w:w="1282" w:type="dxa"/>
            <w:vAlign w:val="center"/>
          </w:tcPr>
          <w:p w14:paraId="3EEAF189"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364</w:t>
            </w:r>
          </w:p>
        </w:tc>
      </w:tr>
      <w:tr w:rsidR="001C1818" w:rsidRPr="00F10DCA" w14:paraId="3B0085D5" w14:textId="77777777" w:rsidTr="00D33884">
        <w:tc>
          <w:tcPr>
            <w:tcW w:w="2627" w:type="dxa"/>
          </w:tcPr>
          <w:p w14:paraId="10AA8F67"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CHO 9</w:t>
            </w:r>
          </w:p>
        </w:tc>
        <w:tc>
          <w:tcPr>
            <w:tcW w:w="984" w:type="dxa"/>
            <w:vAlign w:val="center"/>
          </w:tcPr>
          <w:p w14:paraId="7A4C2660"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7</w:t>
            </w:r>
          </w:p>
        </w:tc>
        <w:tc>
          <w:tcPr>
            <w:tcW w:w="1459" w:type="dxa"/>
            <w:vAlign w:val="center"/>
          </w:tcPr>
          <w:p w14:paraId="56692769"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226</w:t>
            </w:r>
          </w:p>
        </w:tc>
        <w:tc>
          <w:tcPr>
            <w:tcW w:w="1101" w:type="dxa"/>
            <w:vAlign w:val="center"/>
          </w:tcPr>
          <w:p w14:paraId="1B19CEC6"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17</w:t>
            </w:r>
          </w:p>
        </w:tc>
        <w:tc>
          <w:tcPr>
            <w:tcW w:w="1409" w:type="dxa"/>
            <w:vAlign w:val="center"/>
          </w:tcPr>
          <w:p w14:paraId="481E3D6C"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211</w:t>
            </w:r>
          </w:p>
        </w:tc>
        <w:tc>
          <w:tcPr>
            <w:tcW w:w="1282" w:type="dxa"/>
            <w:vAlign w:val="center"/>
          </w:tcPr>
          <w:p w14:paraId="4B273A9D"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437</w:t>
            </w:r>
          </w:p>
        </w:tc>
      </w:tr>
      <w:tr w:rsidR="001C1818" w:rsidRPr="00F10DCA" w14:paraId="52EA9F53" w14:textId="77777777" w:rsidTr="00D33884">
        <w:tc>
          <w:tcPr>
            <w:tcW w:w="2627" w:type="dxa"/>
          </w:tcPr>
          <w:p w14:paraId="1E1B0C54"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CMH</w:t>
            </w:r>
          </w:p>
        </w:tc>
        <w:tc>
          <w:tcPr>
            <w:tcW w:w="984" w:type="dxa"/>
            <w:vAlign w:val="center"/>
          </w:tcPr>
          <w:p w14:paraId="0EB4C517"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1</w:t>
            </w:r>
          </w:p>
        </w:tc>
        <w:tc>
          <w:tcPr>
            <w:tcW w:w="1459" w:type="dxa"/>
            <w:vAlign w:val="center"/>
          </w:tcPr>
          <w:p w14:paraId="47F9BD46"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103</w:t>
            </w:r>
          </w:p>
        </w:tc>
        <w:tc>
          <w:tcPr>
            <w:tcW w:w="1101" w:type="dxa"/>
            <w:vAlign w:val="center"/>
          </w:tcPr>
          <w:p w14:paraId="52DF0FEE" w14:textId="77777777" w:rsidR="005C6B2D" w:rsidRPr="00F10DCA" w:rsidRDefault="005C6B2D" w:rsidP="00F10DCA">
            <w:pPr>
              <w:autoSpaceDE w:val="0"/>
              <w:autoSpaceDN w:val="0"/>
              <w:adjustRightInd w:val="0"/>
              <w:ind w:left="426"/>
              <w:jc w:val="center"/>
              <w:rPr>
                <w:rFonts w:cstheme="minorHAnsi"/>
                <w:sz w:val="28"/>
                <w:szCs w:val="28"/>
              </w:rPr>
            </w:pPr>
          </w:p>
        </w:tc>
        <w:tc>
          <w:tcPr>
            <w:tcW w:w="1409" w:type="dxa"/>
            <w:vAlign w:val="center"/>
          </w:tcPr>
          <w:p w14:paraId="5272EDB5" w14:textId="77777777" w:rsidR="005C6B2D" w:rsidRPr="00F10DCA" w:rsidRDefault="005C6B2D" w:rsidP="00F10DCA">
            <w:pPr>
              <w:autoSpaceDE w:val="0"/>
              <w:autoSpaceDN w:val="0"/>
              <w:adjustRightInd w:val="0"/>
              <w:ind w:left="426"/>
              <w:jc w:val="center"/>
              <w:rPr>
                <w:rFonts w:cstheme="minorHAnsi"/>
                <w:sz w:val="28"/>
                <w:szCs w:val="28"/>
              </w:rPr>
            </w:pPr>
          </w:p>
        </w:tc>
        <w:tc>
          <w:tcPr>
            <w:tcW w:w="1282" w:type="dxa"/>
            <w:vAlign w:val="center"/>
          </w:tcPr>
          <w:p w14:paraId="1E162733"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103</w:t>
            </w:r>
          </w:p>
        </w:tc>
      </w:tr>
      <w:tr w:rsidR="001C1818" w:rsidRPr="00F10DCA" w14:paraId="043F906D" w14:textId="77777777" w:rsidTr="00D33884">
        <w:tc>
          <w:tcPr>
            <w:tcW w:w="2627" w:type="dxa"/>
          </w:tcPr>
          <w:p w14:paraId="0DEF1E27"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Intellectual Disability</w:t>
            </w:r>
          </w:p>
        </w:tc>
        <w:tc>
          <w:tcPr>
            <w:tcW w:w="984" w:type="dxa"/>
            <w:vAlign w:val="center"/>
          </w:tcPr>
          <w:p w14:paraId="29648055"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1</w:t>
            </w:r>
          </w:p>
        </w:tc>
        <w:tc>
          <w:tcPr>
            <w:tcW w:w="1459" w:type="dxa"/>
            <w:vAlign w:val="center"/>
          </w:tcPr>
          <w:p w14:paraId="0F9BFF45"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96</w:t>
            </w:r>
          </w:p>
        </w:tc>
        <w:tc>
          <w:tcPr>
            <w:tcW w:w="1101" w:type="dxa"/>
            <w:vAlign w:val="center"/>
          </w:tcPr>
          <w:p w14:paraId="6E9CAAFE" w14:textId="77777777" w:rsidR="005C6B2D" w:rsidRPr="00F10DCA" w:rsidRDefault="005C6B2D" w:rsidP="00F10DCA">
            <w:pPr>
              <w:autoSpaceDE w:val="0"/>
              <w:autoSpaceDN w:val="0"/>
              <w:adjustRightInd w:val="0"/>
              <w:ind w:left="426"/>
              <w:jc w:val="center"/>
              <w:rPr>
                <w:rFonts w:cstheme="minorHAnsi"/>
                <w:sz w:val="28"/>
                <w:szCs w:val="28"/>
              </w:rPr>
            </w:pPr>
          </w:p>
        </w:tc>
        <w:tc>
          <w:tcPr>
            <w:tcW w:w="1409" w:type="dxa"/>
            <w:vAlign w:val="center"/>
          </w:tcPr>
          <w:p w14:paraId="0B58C392" w14:textId="77777777" w:rsidR="005C6B2D" w:rsidRPr="00F10DCA" w:rsidRDefault="005C6B2D" w:rsidP="00F10DCA">
            <w:pPr>
              <w:autoSpaceDE w:val="0"/>
              <w:autoSpaceDN w:val="0"/>
              <w:adjustRightInd w:val="0"/>
              <w:ind w:left="426"/>
              <w:jc w:val="center"/>
              <w:rPr>
                <w:rFonts w:cstheme="minorHAnsi"/>
                <w:sz w:val="28"/>
                <w:szCs w:val="28"/>
              </w:rPr>
            </w:pPr>
          </w:p>
        </w:tc>
        <w:tc>
          <w:tcPr>
            <w:tcW w:w="1282" w:type="dxa"/>
            <w:vAlign w:val="center"/>
          </w:tcPr>
          <w:p w14:paraId="67535DBA"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96</w:t>
            </w:r>
          </w:p>
        </w:tc>
      </w:tr>
      <w:tr w:rsidR="001C1818" w:rsidRPr="00F10DCA" w14:paraId="29A3E7D8" w14:textId="77777777" w:rsidTr="00D33884">
        <w:tc>
          <w:tcPr>
            <w:tcW w:w="2627" w:type="dxa"/>
          </w:tcPr>
          <w:p w14:paraId="15944FA3"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Private Hospitals</w:t>
            </w:r>
          </w:p>
        </w:tc>
        <w:tc>
          <w:tcPr>
            <w:tcW w:w="984" w:type="dxa"/>
            <w:vAlign w:val="center"/>
          </w:tcPr>
          <w:p w14:paraId="75BFCFDE" w14:textId="77777777" w:rsidR="005C6B2D" w:rsidRPr="00F10DCA" w:rsidRDefault="005C6B2D" w:rsidP="00F10DCA">
            <w:pPr>
              <w:autoSpaceDE w:val="0"/>
              <w:autoSpaceDN w:val="0"/>
              <w:adjustRightInd w:val="0"/>
              <w:ind w:left="157"/>
              <w:jc w:val="center"/>
              <w:rPr>
                <w:rFonts w:cstheme="minorHAnsi"/>
                <w:sz w:val="28"/>
                <w:szCs w:val="28"/>
              </w:rPr>
            </w:pPr>
            <w:r w:rsidRPr="00F10DCA">
              <w:rPr>
                <w:rFonts w:cstheme="minorHAnsi"/>
                <w:sz w:val="28"/>
                <w:szCs w:val="28"/>
              </w:rPr>
              <w:t>8</w:t>
            </w:r>
          </w:p>
        </w:tc>
        <w:tc>
          <w:tcPr>
            <w:tcW w:w="1459" w:type="dxa"/>
            <w:vAlign w:val="center"/>
          </w:tcPr>
          <w:p w14:paraId="5A966591"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608</w:t>
            </w:r>
          </w:p>
        </w:tc>
        <w:tc>
          <w:tcPr>
            <w:tcW w:w="1101" w:type="dxa"/>
            <w:vAlign w:val="center"/>
          </w:tcPr>
          <w:p w14:paraId="56C3577F" w14:textId="77777777" w:rsidR="005C6B2D" w:rsidRPr="00F10DCA" w:rsidRDefault="005C6B2D" w:rsidP="00F10DCA">
            <w:pPr>
              <w:autoSpaceDE w:val="0"/>
              <w:autoSpaceDN w:val="0"/>
              <w:adjustRightInd w:val="0"/>
              <w:ind w:left="426"/>
              <w:jc w:val="center"/>
              <w:rPr>
                <w:rFonts w:cstheme="minorHAnsi"/>
                <w:sz w:val="28"/>
                <w:szCs w:val="28"/>
              </w:rPr>
            </w:pPr>
          </w:p>
        </w:tc>
        <w:tc>
          <w:tcPr>
            <w:tcW w:w="1409" w:type="dxa"/>
            <w:vAlign w:val="center"/>
          </w:tcPr>
          <w:p w14:paraId="1F008B97" w14:textId="77777777" w:rsidR="005C6B2D" w:rsidRPr="00F10DCA" w:rsidRDefault="005C6B2D" w:rsidP="00F10DCA">
            <w:pPr>
              <w:autoSpaceDE w:val="0"/>
              <w:autoSpaceDN w:val="0"/>
              <w:adjustRightInd w:val="0"/>
              <w:ind w:left="426"/>
              <w:jc w:val="center"/>
              <w:rPr>
                <w:rFonts w:cstheme="minorHAnsi"/>
                <w:sz w:val="28"/>
                <w:szCs w:val="28"/>
              </w:rPr>
            </w:pPr>
          </w:p>
        </w:tc>
        <w:tc>
          <w:tcPr>
            <w:tcW w:w="1282" w:type="dxa"/>
            <w:vAlign w:val="center"/>
          </w:tcPr>
          <w:p w14:paraId="72F7DB45" w14:textId="77777777" w:rsidR="005C6B2D" w:rsidRPr="00F10DCA" w:rsidRDefault="005C6B2D" w:rsidP="00F10DCA">
            <w:pPr>
              <w:autoSpaceDE w:val="0"/>
              <w:autoSpaceDN w:val="0"/>
              <w:adjustRightInd w:val="0"/>
              <w:ind w:left="426"/>
              <w:jc w:val="center"/>
              <w:rPr>
                <w:rFonts w:cstheme="minorHAnsi"/>
                <w:sz w:val="28"/>
                <w:szCs w:val="28"/>
              </w:rPr>
            </w:pPr>
            <w:r w:rsidRPr="00F10DCA">
              <w:rPr>
                <w:rFonts w:cstheme="minorHAnsi"/>
                <w:sz w:val="28"/>
                <w:szCs w:val="28"/>
              </w:rPr>
              <w:t>608</w:t>
            </w:r>
          </w:p>
        </w:tc>
      </w:tr>
      <w:tr w:rsidR="001C1818" w:rsidRPr="00F10DCA" w14:paraId="303D6B53" w14:textId="77777777" w:rsidTr="00D33884">
        <w:tc>
          <w:tcPr>
            <w:tcW w:w="2627" w:type="dxa"/>
          </w:tcPr>
          <w:p w14:paraId="10021407" w14:textId="77777777" w:rsidR="005C6B2D" w:rsidRPr="00F10DCA" w:rsidRDefault="005C6B2D" w:rsidP="00F10DCA">
            <w:pPr>
              <w:autoSpaceDE w:val="0"/>
              <w:autoSpaceDN w:val="0"/>
              <w:adjustRightInd w:val="0"/>
              <w:ind w:left="142"/>
              <w:rPr>
                <w:rFonts w:cstheme="minorHAnsi"/>
                <w:b/>
                <w:bCs/>
                <w:sz w:val="28"/>
                <w:szCs w:val="28"/>
              </w:rPr>
            </w:pPr>
            <w:r w:rsidRPr="00F10DCA">
              <w:rPr>
                <w:rFonts w:cstheme="minorHAnsi"/>
                <w:b/>
                <w:bCs/>
                <w:sz w:val="28"/>
                <w:szCs w:val="28"/>
              </w:rPr>
              <w:t>Total</w:t>
            </w:r>
          </w:p>
        </w:tc>
        <w:tc>
          <w:tcPr>
            <w:tcW w:w="984" w:type="dxa"/>
            <w:vAlign w:val="center"/>
          </w:tcPr>
          <w:p w14:paraId="3AC6F9C1" w14:textId="77777777" w:rsidR="005C6B2D" w:rsidRPr="00F10DCA" w:rsidRDefault="005C6B2D" w:rsidP="00F10DCA">
            <w:pPr>
              <w:autoSpaceDE w:val="0"/>
              <w:autoSpaceDN w:val="0"/>
              <w:adjustRightInd w:val="0"/>
              <w:ind w:left="157"/>
              <w:jc w:val="center"/>
              <w:rPr>
                <w:rFonts w:cstheme="minorHAnsi"/>
                <w:b/>
                <w:bCs/>
                <w:sz w:val="28"/>
                <w:szCs w:val="28"/>
              </w:rPr>
            </w:pPr>
            <w:r w:rsidRPr="00F10DCA">
              <w:rPr>
                <w:rFonts w:cstheme="minorHAnsi"/>
                <w:b/>
                <w:bCs/>
                <w:sz w:val="28"/>
                <w:szCs w:val="28"/>
              </w:rPr>
              <w:t>62</w:t>
            </w:r>
          </w:p>
        </w:tc>
        <w:tc>
          <w:tcPr>
            <w:tcW w:w="1459" w:type="dxa"/>
            <w:vAlign w:val="center"/>
          </w:tcPr>
          <w:p w14:paraId="7E683734" w14:textId="77777777" w:rsidR="005C6B2D" w:rsidRPr="00F10DCA" w:rsidRDefault="005C6B2D" w:rsidP="00F10DCA">
            <w:pPr>
              <w:autoSpaceDE w:val="0"/>
              <w:autoSpaceDN w:val="0"/>
              <w:adjustRightInd w:val="0"/>
              <w:ind w:left="426"/>
              <w:jc w:val="center"/>
              <w:rPr>
                <w:rFonts w:cstheme="minorHAnsi"/>
                <w:b/>
                <w:bCs/>
                <w:sz w:val="28"/>
                <w:szCs w:val="28"/>
              </w:rPr>
            </w:pPr>
            <w:r w:rsidRPr="00F10DCA">
              <w:rPr>
                <w:rFonts w:cstheme="minorHAnsi"/>
                <w:b/>
                <w:bCs/>
                <w:sz w:val="28"/>
                <w:szCs w:val="28"/>
              </w:rPr>
              <w:t>2,496</w:t>
            </w:r>
          </w:p>
        </w:tc>
        <w:tc>
          <w:tcPr>
            <w:tcW w:w="1101" w:type="dxa"/>
            <w:vAlign w:val="center"/>
          </w:tcPr>
          <w:p w14:paraId="7F1ABAC6" w14:textId="77777777" w:rsidR="005C6B2D" w:rsidRPr="00F10DCA" w:rsidRDefault="005C6B2D" w:rsidP="00F10DCA">
            <w:pPr>
              <w:autoSpaceDE w:val="0"/>
              <w:autoSpaceDN w:val="0"/>
              <w:adjustRightInd w:val="0"/>
              <w:ind w:left="426"/>
              <w:jc w:val="center"/>
              <w:rPr>
                <w:rFonts w:cstheme="minorHAnsi"/>
                <w:b/>
                <w:bCs/>
                <w:sz w:val="28"/>
                <w:szCs w:val="28"/>
              </w:rPr>
            </w:pPr>
            <w:r w:rsidRPr="00F10DCA">
              <w:rPr>
                <w:rFonts w:cstheme="minorHAnsi"/>
                <w:b/>
                <w:bCs/>
                <w:sz w:val="28"/>
                <w:szCs w:val="28"/>
              </w:rPr>
              <w:t>110</w:t>
            </w:r>
          </w:p>
        </w:tc>
        <w:tc>
          <w:tcPr>
            <w:tcW w:w="1409" w:type="dxa"/>
            <w:vAlign w:val="center"/>
          </w:tcPr>
          <w:p w14:paraId="3F7C4BEB" w14:textId="77777777" w:rsidR="005C6B2D" w:rsidRPr="00F10DCA" w:rsidRDefault="005C6B2D" w:rsidP="00F10DCA">
            <w:pPr>
              <w:autoSpaceDE w:val="0"/>
              <w:autoSpaceDN w:val="0"/>
              <w:adjustRightInd w:val="0"/>
              <w:ind w:left="426"/>
              <w:jc w:val="center"/>
              <w:rPr>
                <w:rFonts w:cstheme="minorHAnsi"/>
                <w:b/>
                <w:bCs/>
                <w:sz w:val="28"/>
                <w:szCs w:val="28"/>
              </w:rPr>
            </w:pPr>
            <w:r w:rsidRPr="00F10DCA">
              <w:rPr>
                <w:rFonts w:cstheme="minorHAnsi"/>
                <w:b/>
                <w:bCs/>
                <w:sz w:val="28"/>
                <w:szCs w:val="28"/>
              </w:rPr>
              <w:t>1,338</w:t>
            </w:r>
          </w:p>
        </w:tc>
        <w:tc>
          <w:tcPr>
            <w:tcW w:w="1282" w:type="dxa"/>
            <w:vAlign w:val="center"/>
          </w:tcPr>
          <w:p w14:paraId="1E79584E" w14:textId="77777777" w:rsidR="005C6B2D" w:rsidRPr="00F10DCA" w:rsidRDefault="005C6B2D" w:rsidP="00F10DCA">
            <w:pPr>
              <w:autoSpaceDE w:val="0"/>
              <w:autoSpaceDN w:val="0"/>
              <w:adjustRightInd w:val="0"/>
              <w:ind w:left="426"/>
              <w:jc w:val="center"/>
              <w:rPr>
                <w:rFonts w:cstheme="minorHAnsi"/>
                <w:b/>
                <w:bCs/>
                <w:sz w:val="28"/>
                <w:szCs w:val="28"/>
              </w:rPr>
            </w:pPr>
            <w:r w:rsidRPr="00F10DCA">
              <w:rPr>
                <w:rFonts w:cstheme="minorHAnsi"/>
                <w:b/>
                <w:bCs/>
                <w:sz w:val="28"/>
                <w:szCs w:val="28"/>
              </w:rPr>
              <w:t>3,834</w:t>
            </w:r>
          </w:p>
        </w:tc>
      </w:tr>
    </w:tbl>
    <w:p w14:paraId="3F4B1177" w14:textId="77777777" w:rsidR="005C6B2D" w:rsidRPr="00F10DCA" w:rsidRDefault="005C6B2D" w:rsidP="00F10DCA">
      <w:pPr>
        <w:autoSpaceDE w:val="0"/>
        <w:autoSpaceDN w:val="0"/>
        <w:adjustRightInd w:val="0"/>
        <w:spacing w:after="0" w:line="240" w:lineRule="auto"/>
        <w:ind w:left="426"/>
        <w:rPr>
          <w:rFonts w:cstheme="minorHAnsi"/>
          <w:sz w:val="28"/>
          <w:szCs w:val="28"/>
        </w:rPr>
      </w:pPr>
    </w:p>
    <w:p w14:paraId="3DE9D28E" w14:textId="77777777" w:rsidR="005C6B2D" w:rsidRPr="00F10DCA" w:rsidRDefault="005C6B2D" w:rsidP="00F10DCA">
      <w:pPr>
        <w:numPr>
          <w:ilvl w:val="0"/>
          <w:numId w:val="1"/>
        </w:numPr>
        <w:autoSpaceDE w:val="0"/>
        <w:autoSpaceDN w:val="0"/>
        <w:spacing w:after="0" w:line="240" w:lineRule="auto"/>
        <w:ind w:left="426"/>
        <w:contextualSpacing/>
        <w:rPr>
          <w:rFonts w:cstheme="minorHAnsi"/>
          <w:sz w:val="28"/>
          <w:szCs w:val="28"/>
          <w:lang w:eastAsia="en-IE"/>
        </w:rPr>
      </w:pPr>
      <w:r w:rsidRPr="00F10DCA">
        <w:rPr>
          <w:rFonts w:cstheme="minorHAnsi"/>
          <w:sz w:val="28"/>
          <w:szCs w:val="28"/>
          <w:lang w:eastAsia="en-IE"/>
        </w:rPr>
        <w:t>Per MHC, involuntary admissions to approved centres increased from 1,825 in 2019 to 1,920 in 2020.</w:t>
      </w:r>
    </w:p>
    <w:p w14:paraId="4E3F60A2" w14:textId="77777777" w:rsidR="005C6B2D" w:rsidRPr="00F10DCA" w:rsidRDefault="005C6B2D" w:rsidP="00F10DCA">
      <w:pPr>
        <w:autoSpaceDE w:val="0"/>
        <w:autoSpaceDN w:val="0"/>
        <w:spacing w:after="0" w:line="240" w:lineRule="auto"/>
        <w:ind w:left="426"/>
        <w:contextualSpacing/>
        <w:rPr>
          <w:rFonts w:cstheme="minorHAnsi"/>
          <w:sz w:val="28"/>
          <w:szCs w:val="28"/>
          <w:lang w:eastAsia="en-IE"/>
        </w:rPr>
      </w:pPr>
    </w:p>
    <w:p w14:paraId="706B18E4" w14:textId="203D17D4" w:rsidR="005C6B2D" w:rsidRPr="00F10DCA" w:rsidRDefault="005C6B2D" w:rsidP="00F10DCA">
      <w:pPr>
        <w:numPr>
          <w:ilvl w:val="0"/>
          <w:numId w:val="1"/>
        </w:numPr>
        <w:autoSpaceDE w:val="0"/>
        <w:autoSpaceDN w:val="0"/>
        <w:spacing w:after="0" w:line="240" w:lineRule="auto"/>
        <w:ind w:left="426"/>
        <w:contextualSpacing/>
        <w:rPr>
          <w:rFonts w:cstheme="minorHAnsi"/>
          <w:sz w:val="28"/>
          <w:szCs w:val="28"/>
          <w:lang w:eastAsia="en-IE"/>
        </w:rPr>
      </w:pPr>
      <w:r w:rsidRPr="00F10DCA">
        <w:rPr>
          <w:rFonts w:cstheme="minorHAnsi"/>
          <w:sz w:val="28"/>
          <w:szCs w:val="28"/>
          <w:lang w:eastAsia="en-IE"/>
        </w:rPr>
        <w:t>Under STV, a review of inpatient</w:t>
      </w:r>
      <w:r w:rsidR="00B04099" w:rsidRPr="00F10DCA">
        <w:rPr>
          <w:rFonts w:cstheme="minorHAnsi"/>
          <w:sz w:val="28"/>
          <w:szCs w:val="28"/>
          <w:lang w:eastAsia="en-IE"/>
        </w:rPr>
        <w:t xml:space="preserve"> bed </w:t>
      </w:r>
      <w:r w:rsidRPr="00F10DCA">
        <w:rPr>
          <w:rFonts w:cstheme="minorHAnsi"/>
          <w:sz w:val="28"/>
          <w:szCs w:val="28"/>
          <w:lang w:eastAsia="en-IE"/>
        </w:rPr>
        <w:t xml:space="preserve">capacity will be conducted. </w:t>
      </w:r>
    </w:p>
    <w:p w14:paraId="1D550A0A" w14:textId="77777777" w:rsidR="005C7DA2" w:rsidRPr="00F10DCA" w:rsidRDefault="005C7DA2" w:rsidP="00F10DCA">
      <w:pPr>
        <w:keepNext/>
        <w:keepLines/>
        <w:spacing w:before="240" w:after="0" w:line="240" w:lineRule="auto"/>
        <w:ind w:left="66"/>
        <w:outlineLvl w:val="0"/>
        <w:rPr>
          <w:rFonts w:eastAsiaTheme="majorEastAsia" w:cstheme="minorHAnsi"/>
          <w:b/>
          <w:bCs/>
          <w:sz w:val="28"/>
          <w:szCs w:val="28"/>
        </w:rPr>
      </w:pPr>
    </w:p>
    <w:p w14:paraId="5A144D9A" w14:textId="17DAB019" w:rsidR="006F7969" w:rsidRPr="00F10DCA" w:rsidRDefault="00CF4FFE" w:rsidP="00F10DCA">
      <w:pPr>
        <w:keepNext/>
        <w:keepLines/>
        <w:spacing w:before="240" w:after="0" w:line="240" w:lineRule="auto"/>
        <w:ind w:left="66"/>
        <w:outlineLvl w:val="0"/>
        <w:rPr>
          <w:rFonts w:eastAsiaTheme="majorEastAsia" w:cstheme="minorHAnsi"/>
          <w:b/>
          <w:bCs/>
          <w:sz w:val="28"/>
          <w:szCs w:val="28"/>
        </w:rPr>
      </w:pPr>
      <w:r w:rsidRPr="00F10DCA">
        <w:rPr>
          <w:rFonts w:eastAsiaTheme="majorEastAsia" w:cstheme="minorHAnsi"/>
          <w:b/>
          <w:bCs/>
          <w:sz w:val="28"/>
          <w:szCs w:val="28"/>
        </w:rPr>
        <w:t>8.</w:t>
      </w:r>
      <w:r w:rsidRPr="00F10DCA">
        <w:rPr>
          <w:rFonts w:eastAsiaTheme="majorEastAsia" w:cstheme="minorHAnsi"/>
          <w:b/>
          <w:bCs/>
          <w:sz w:val="28"/>
          <w:szCs w:val="28"/>
        </w:rPr>
        <w:tab/>
      </w:r>
      <w:r w:rsidR="00C01FC6" w:rsidRPr="000D4661">
        <w:rPr>
          <w:rFonts w:eastAsiaTheme="majorEastAsia" w:cstheme="minorHAnsi"/>
          <w:b/>
          <w:bCs/>
          <w:sz w:val="32"/>
          <w:szCs w:val="32"/>
          <w:u w:val="single"/>
        </w:rPr>
        <w:t>HSE National Forensic Mental Health Service - Portrane</w:t>
      </w:r>
    </w:p>
    <w:p w14:paraId="57F20641" w14:textId="77777777" w:rsidR="006F7969" w:rsidRPr="00F10DCA" w:rsidRDefault="006F7969" w:rsidP="00F10DCA">
      <w:pPr>
        <w:autoSpaceDE w:val="0"/>
        <w:autoSpaceDN w:val="0"/>
        <w:adjustRightInd w:val="0"/>
        <w:spacing w:after="0" w:line="240" w:lineRule="auto"/>
        <w:ind w:left="426"/>
        <w:rPr>
          <w:rFonts w:eastAsia="Times New Roman" w:cstheme="minorHAnsi"/>
          <w:b/>
          <w:bCs/>
          <w:sz w:val="28"/>
          <w:szCs w:val="28"/>
        </w:rPr>
      </w:pPr>
    </w:p>
    <w:p w14:paraId="7AE6C85F" w14:textId="4CEC46E6" w:rsidR="006F7969" w:rsidRPr="00F10DCA" w:rsidRDefault="006F7969"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shd w:val="clear" w:color="auto" w:fill="FFFFFF"/>
        </w:rPr>
        <w:t>The new 170-bed hospital complex in Portrane will replace CMH (</w:t>
      </w:r>
      <w:r w:rsidR="00C01FC6" w:rsidRPr="00F10DCA">
        <w:rPr>
          <w:rFonts w:cstheme="minorHAnsi"/>
          <w:sz w:val="28"/>
          <w:szCs w:val="28"/>
          <w:shd w:val="clear" w:color="auto" w:fill="FFFFFF"/>
        </w:rPr>
        <w:t>c.95</w:t>
      </w:r>
      <w:r w:rsidRPr="00F10DCA">
        <w:rPr>
          <w:rFonts w:cstheme="minorHAnsi"/>
          <w:sz w:val="28"/>
          <w:szCs w:val="28"/>
          <w:shd w:val="clear" w:color="auto" w:fill="FFFFFF"/>
        </w:rPr>
        <w:t xml:space="preserve"> beds) with a modernised National Forensic Mental Health Service. The new facility will include a 130-bed adult unit, a 10-bed forensic child and adolescent unit and a 30-bed intensive care rehabilitation unit</w:t>
      </w:r>
      <w:r w:rsidRPr="00F10DCA">
        <w:rPr>
          <w:rFonts w:cstheme="minorHAnsi"/>
          <w:sz w:val="28"/>
          <w:szCs w:val="28"/>
          <w:lang w:val="en-GB" w:eastAsia="en-GB"/>
        </w:rPr>
        <w:t>.</w:t>
      </w:r>
    </w:p>
    <w:p w14:paraId="02A1DFC6" w14:textId="77777777" w:rsidR="006F7969" w:rsidRPr="00F10DCA" w:rsidRDefault="006F7969" w:rsidP="00F10DCA">
      <w:pPr>
        <w:autoSpaceDE w:val="0"/>
        <w:autoSpaceDN w:val="0"/>
        <w:spacing w:after="0" w:line="240" w:lineRule="auto"/>
        <w:ind w:left="426"/>
        <w:contextualSpacing/>
        <w:rPr>
          <w:rFonts w:cstheme="minorHAnsi"/>
          <w:sz w:val="28"/>
          <w:szCs w:val="28"/>
        </w:rPr>
      </w:pPr>
    </w:p>
    <w:p w14:paraId="17125AC4" w14:textId="54D82B92" w:rsidR="006F7969" w:rsidRPr="00F10DCA" w:rsidRDefault="006F7969" w:rsidP="00F10DCA">
      <w:pPr>
        <w:numPr>
          <w:ilvl w:val="0"/>
          <w:numId w:val="1"/>
        </w:numPr>
        <w:autoSpaceDE w:val="0"/>
        <w:autoSpaceDN w:val="0"/>
        <w:spacing w:after="0" w:line="240" w:lineRule="auto"/>
        <w:ind w:left="426"/>
        <w:contextualSpacing/>
        <w:rPr>
          <w:rFonts w:cstheme="minorHAnsi"/>
          <w:sz w:val="28"/>
          <w:szCs w:val="28"/>
        </w:rPr>
      </w:pPr>
      <w:r w:rsidRPr="00F10DCA">
        <w:rPr>
          <w:rFonts w:cstheme="minorHAnsi"/>
          <w:sz w:val="28"/>
          <w:szCs w:val="28"/>
          <w:shd w:val="clear" w:color="auto" w:fill="FFFFFF"/>
        </w:rPr>
        <w:t>Formal hand-over took place in March 2021</w:t>
      </w:r>
      <w:r w:rsidRPr="00F10DCA">
        <w:rPr>
          <w:rFonts w:cstheme="minorHAnsi"/>
          <w:sz w:val="28"/>
          <w:szCs w:val="28"/>
        </w:rPr>
        <w:t>. The HSE requires approximately three months for equipping and commissioning. The estimated opening date is</w:t>
      </w:r>
      <w:r w:rsidR="007A4D45" w:rsidRPr="00F10DCA">
        <w:rPr>
          <w:rFonts w:cstheme="minorHAnsi"/>
          <w:sz w:val="28"/>
          <w:szCs w:val="28"/>
        </w:rPr>
        <w:t xml:space="preserve"> July</w:t>
      </w:r>
      <w:r w:rsidRPr="00F10DCA">
        <w:rPr>
          <w:rFonts w:cstheme="minorHAnsi"/>
          <w:sz w:val="28"/>
          <w:szCs w:val="28"/>
        </w:rPr>
        <w:t xml:space="preserve"> 2021.</w:t>
      </w:r>
    </w:p>
    <w:p w14:paraId="4737085C" w14:textId="77777777" w:rsidR="006F7969" w:rsidRPr="00F10DCA" w:rsidRDefault="006F7969" w:rsidP="00F10DCA">
      <w:pPr>
        <w:spacing w:after="0" w:line="240" w:lineRule="auto"/>
        <w:contextualSpacing/>
        <w:rPr>
          <w:rFonts w:cstheme="minorHAnsi"/>
          <w:sz w:val="28"/>
          <w:szCs w:val="28"/>
        </w:rPr>
      </w:pPr>
    </w:p>
    <w:p w14:paraId="68E893F8" w14:textId="77777777" w:rsidR="006F7969" w:rsidRPr="00F10DCA" w:rsidRDefault="006F7969" w:rsidP="00F10DCA">
      <w:pPr>
        <w:numPr>
          <w:ilvl w:val="0"/>
          <w:numId w:val="1"/>
        </w:numPr>
        <w:autoSpaceDE w:val="0"/>
        <w:autoSpaceDN w:val="0"/>
        <w:spacing w:after="0" w:line="240" w:lineRule="auto"/>
        <w:ind w:left="426"/>
        <w:contextualSpacing/>
        <w:rPr>
          <w:rFonts w:cstheme="minorHAnsi"/>
          <w:b/>
          <w:bCs/>
          <w:sz w:val="28"/>
          <w:szCs w:val="28"/>
        </w:rPr>
      </w:pPr>
      <w:r w:rsidRPr="00F10DCA">
        <w:rPr>
          <w:rFonts w:cstheme="minorHAnsi"/>
          <w:sz w:val="28"/>
          <w:szCs w:val="28"/>
        </w:rPr>
        <w:t>The Central Mental Hospital is a health facility, not a prison. The CMH and NFMHS offer a range of therapeutic services in psychiatry, psychology, occupational therapy, nursing and social work within a secure setting. People in the CMH are treated for complex psychiatric conditions, and their detention is for care and treatment. </w:t>
      </w:r>
    </w:p>
    <w:p w14:paraId="247CBD34" w14:textId="33978140" w:rsidR="005C6B2D" w:rsidRPr="00F10DCA" w:rsidRDefault="005C6B2D" w:rsidP="00F10DCA">
      <w:pPr>
        <w:spacing w:line="240" w:lineRule="auto"/>
        <w:rPr>
          <w:rFonts w:cstheme="minorHAnsi"/>
          <w:sz w:val="28"/>
          <w:szCs w:val="28"/>
        </w:rPr>
      </w:pPr>
    </w:p>
    <w:p w14:paraId="56465236" w14:textId="62CCB2EA" w:rsidR="002B02DA" w:rsidRPr="00F10DCA" w:rsidRDefault="002B02DA" w:rsidP="00F10DCA">
      <w:pPr>
        <w:spacing w:line="240" w:lineRule="auto"/>
        <w:rPr>
          <w:rFonts w:cstheme="minorHAnsi"/>
          <w:sz w:val="28"/>
          <w:szCs w:val="28"/>
        </w:rPr>
      </w:pPr>
    </w:p>
    <w:p w14:paraId="3F1FC1B6" w14:textId="77777777" w:rsidR="005C7DA2" w:rsidRPr="00F10DCA" w:rsidRDefault="005C7DA2" w:rsidP="00F10DCA">
      <w:pPr>
        <w:spacing w:line="240" w:lineRule="auto"/>
        <w:rPr>
          <w:rFonts w:cstheme="minorHAnsi"/>
          <w:sz w:val="28"/>
          <w:szCs w:val="28"/>
        </w:rPr>
      </w:pPr>
    </w:p>
    <w:p w14:paraId="18E8F534" w14:textId="7A23A9AF" w:rsidR="002B02DA" w:rsidRPr="000D4661" w:rsidRDefault="00CF4FFE" w:rsidP="00F10DCA">
      <w:pPr>
        <w:keepNext/>
        <w:keepLines/>
        <w:spacing w:before="240" w:after="0" w:line="240" w:lineRule="auto"/>
        <w:outlineLvl w:val="0"/>
        <w:rPr>
          <w:rFonts w:eastAsiaTheme="majorEastAsia" w:cstheme="minorHAnsi"/>
          <w:b/>
          <w:bCs/>
          <w:sz w:val="32"/>
          <w:szCs w:val="32"/>
        </w:rPr>
      </w:pPr>
      <w:bookmarkStart w:id="8" w:name="_Toc70510988"/>
      <w:r w:rsidRPr="000D4661">
        <w:rPr>
          <w:rFonts w:eastAsiaTheme="majorEastAsia" w:cstheme="minorHAnsi"/>
          <w:b/>
          <w:bCs/>
          <w:sz w:val="32"/>
          <w:szCs w:val="32"/>
        </w:rPr>
        <w:t>9.</w:t>
      </w:r>
      <w:r w:rsidRPr="000D4661">
        <w:rPr>
          <w:rFonts w:eastAsiaTheme="majorEastAsia" w:cstheme="minorHAnsi"/>
          <w:b/>
          <w:bCs/>
          <w:sz w:val="32"/>
          <w:szCs w:val="32"/>
        </w:rPr>
        <w:tab/>
      </w:r>
      <w:r w:rsidR="002B02DA" w:rsidRPr="000D4661">
        <w:rPr>
          <w:rFonts w:eastAsiaTheme="majorEastAsia" w:cstheme="minorHAnsi"/>
          <w:b/>
          <w:bCs/>
          <w:sz w:val="32"/>
          <w:szCs w:val="32"/>
          <w:u w:val="single"/>
        </w:rPr>
        <w:t>MH Capital Plan/Minor Capital Upgrades</w:t>
      </w:r>
      <w:bookmarkEnd w:id="8"/>
    </w:p>
    <w:p w14:paraId="3C1395C5" w14:textId="77777777" w:rsidR="002B02DA" w:rsidRPr="00F10DCA" w:rsidRDefault="002B02DA" w:rsidP="00F10DCA">
      <w:pPr>
        <w:spacing w:after="0" w:line="240" w:lineRule="auto"/>
        <w:ind w:left="426"/>
        <w:rPr>
          <w:rFonts w:cstheme="minorHAnsi"/>
          <w:b/>
          <w:bCs/>
          <w:sz w:val="28"/>
          <w:szCs w:val="28"/>
        </w:rPr>
      </w:pPr>
    </w:p>
    <w:p w14:paraId="56658427" w14:textId="77777777" w:rsidR="002B02DA" w:rsidRPr="00F10DCA" w:rsidRDefault="002B02DA" w:rsidP="00F10DCA">
      <w:pPr>
        <w:spacing w:after="0" w:line="240" w:lineRule="auto"/>
        <w:rPr>
          <w:rFonts w:cstheme="minorHAnsi"/>
          <w:b/>
          <w:bCs/>
          <w:sz w:val="28"/>
          <w:szCs w:val="28"/>
        </w:rPr>
      </w:pPr>
      <w:r w:rsidRPr="00F10DCA">
        <w:rPr>
          <w:rFonts w:cstheme="minorHAnsi"/>
          <w:b/>
          <w:bCs/>
          <w:sz w:val="28"/>
          <w:szCs w:val="28"/>
        </w:rPr>
        <w:t>MH Capital Plan</w:t>
      </w:r>
    </w:p>
    <w:p w14:paraId="0F8BA0FD" w14:textId="77777777" w:rsidR="002B02DA" w:rsidRPr="00F10DCA" w:rsidRDefault="002B02DA" w:rsidP="00F10DCA">
      <w:pPr>
        <w:numPr>
          <w:ilvl w:val="0"/>
          <w:numId w:val="7"/>
        </w:numPr>
        <w:autoSpaceDE w:val="0"/>
        <w:autoSpaceDN w:val="0"/>
        <w:adjustRightInd w:val="0"/>
        <w:spacing w:after="0" w:line="240" w:lineRule="auto"/>
        <w:ind w:left="426"/>
        <w:contextualSpacing/>
        <w:rPr>
          <w:rFonts w:cstheme="minorHAnsi"/>
          <w:sz w:val="28"/>
          <w:szCs w:val="28"/>
        </w:rPr>
      </w:pPr>
      <w:r w:rsidRPr="00F10DCA">
        <w:rPr>
          <w:rFonts w:cstheme="minorHAnsi"/>
          <w:sz w:val="28"/>
          <w:szCs w:val="28"/>
        </w:rPr>
        <w:t xml:space="preserve">Investment continues in modernising mental health services. The HSE is committed to improving its infrastructure, from new or improved community-based facilities to those for people with more severe and enduring mental illness. The HSE Capital Programme for Mental Health underpins delivery of </w:t>
      </w:r>
      <w:r w:rsidRPr="00F10DCA">
        <w:rPr>
          <w:rFonts w:cstheme="minorHAnsi"/>
          <w:i/>
          <w:iCs/>
          <w:sz w:val="28"/>
          <w:szCs w:val="28"/>
        </w:rPr>
        <w:t>Sharing the Vision</w:t>
      </w:r>
      <w:r w:rsidRPr="00F10DCA">
        <w:rPr>
          <w:rFonts w:cstheme="minorHAnsi"/>
          <w:sz w:val="28"/>
          <w:szCs w:val="28"/>
        </w:rPr>
        <w:t xml:space="preserve"> and compliance with Mental Health Commission (MHC) requirements. </w:t>
      </w:r>
    </w:p>
    <w:p w14:paraId="7AABD50F" w14:textId="77777777" w:rsidR="002B02DA" w:rsidRPr="00F10DCA" w:rsidRDefault="002B02DA" w:rsidP="00F10DCA">
      <w:pPr>
        <w:autoSpaceDE w:val="0"/>
        <w:autoSpaceDN w:val="0"/>
        <w:adjustRightInd w:val="0"/>
        <w:spacing w:after="0" w:line="240" w:lineRule="auto"/>
        <w:ind w:left="426"/>
        <w:rPr>
          <w:rFonts w:cstheme="minorHAnsi"/>
          <w:sz w:val="28"/>
          <w:szCs w:val="28"/>
        </w:rPr>
      </w:pPr>
    </w:p>
    <w:p w14:paraId="2D19A7C5" w14:textId="77777777" w:rsidR="002B02DA" w:rsidRPr="00F10DCA" w:rsidRDefault="002B02DA" w:rsidP="00F10DCA">
      <w:pPr>
        <w:numPr>
          <w:ilvl w:val="0"/>
          <w:numId w:val="7"/>
        </w:numPr>
        <w:spacing w:after="0" w:line="240" w:lineRule="auto"/>
        <w:ind w:left="426"/>
        <w:rPr>
          <w:rFonts w:eastAsia="Times New Roman" w:cstheme="minorHAnsi"/>
          <w:sz w:val="28"/>
          <w:szCs w:val="28"/>
          <w:lang w:eastAsia="en-IE"/>
        </w:rPr>
      </w:pPr>
      <w:r w:rsidRPr="00F10DCA">
        <w:rPr>
          <w:rFonts w:eastAsia="Times New Roman" w:cstheme="minorHAnsi"/>
          <w:sz w:val="28"/>
          <w:szCs w:val="28"/>
          <w:lang w:eastAsia="en-IE"/>
        </w:rPr>
        <w:t>The major project at present is the new 170-bed national forensic mental health complex at Portrane.</w:t>
      </w:r>
    </w:p>
    <w:p w14:paraId="4C460C34" w14:textId="77777777" w:rsidR="002B02DA" w:rsidRPr="00F10DCA" w:rsidRDefault="002B02DA" w:rsidP="00F10DCA">
      <w:pPr>
        <w:spacing w:after="0" w:line="240" w:lineRule="auto"/>
        <w:ind w:left="426" w:firstLine="68"/>
        <w:rPr>
          <w:rFonts w:eastAsia="Times New Roman" w:cstheme="minorHAnsi"/>
          <w:sz w:val="28"/>
          <w:szCs w:val="28"/>
          <w:lang w:eastAsia="en-IE"/>
        </w:rPr>
      </w:pPr>
    </w:p>
    <w:p w14:paraId="364F065A" w14:textId="77777777" w:rsidR="002B02DA" w:rsidRPr="00F10DCA" w:rsidRDefault="002B02DA" w:rsidP="00F10DCA">
      <w:pPr>
        <w:numPr>
          <w:ilvl w:val="0"/>
          <w:numId w:val="7"/>
        </w:numPr>
        <w:spacing w:after="0" w:line="240" w:lineRule="auto"/>
        <w:ind w:left="426"/>
        <w:rPr>
          <w:rFonts w:eastAsia="Times New Roman" w:cstheme="minorHAnsi"/>
          <w:sz w:val="28"/>
          <w:szCs w:val="28"/>
          <w:lang w:eastAsia="en-IE"/>
        </w:rPr>
      </w:pPr>
      <w:r w:rsidRPr="00F10DCA">
        <w:rPr>
          <w:rFonts w:eastAsia="Times New Roman" w:cstheme="minorHAnsi"/>
          <w:sz w:val="28"/>
          <w:szCs w:val="28"/>
          <w:lang w:eastAsia="en-IE"/>
        </w:rPr>
        <w:t>Examples of new acute units opened in recent years include Cork, Galway and Drogheda.</w:t>
      </w:r>
    </w:p>
    <w:p w14:paraId="10B36DE9" w14:textId="77777777" w:rsidR="002B02DA" w:rsidRPr="00F10DCA" w:rsidRDefault="002B02DA" w:rsidP="00F10DCA">
      <w:pPr>
        <w:autoSpaceDE w:val="0"/>
        <w:autoSpaceDN w:val="0"/>
        <w:adjustRightInd w:val="0"/>
        <w:spacing w:after="0" w:line="240" w:lineRule="auto"/>
        <w:ind w:left="426"/>
        <w:rPr>
          <w:rFonts w:cstheme="minorHAnsi"/>
          <w:sz w:val="28"/>
          <w:szCs w:val="28"/>
        </w:rPr>
      </w:pPr>
    </w:p>
    <w:p w14:paraId="4E8C347F" w14:textId="57D9AC7C" w:rsidR="002B02DA" w:rsidRPr="00F10DCA" w:rsidRDefault="002B02DA" w:rsidP="00F10DCA">
      <w:pPr>
        <w:numPr>
          <w:ilvl w:val="0"/>
          <w:numId w:val="7"/>
        </w:numPr>
        <w:autoSpaceDE w:val="0"/>
        <w:autoSpaceDN w:val="0"/>
        <w:adjustRightInd w:val="0"/>
        <w:spacing w:after="0" w:line="240" w:lineRule="auto"/>
        <w:ind w:left="426"/>
        <w:contextualSpacing/>
        <w:rPr>
          <w:rFonts w:cstheme="minorHAnsi"/>
          <w:sz w:val="28"/>
          <w:szCs w:val="28"/>
        </w:rPr>
      </w:pPr>
      <w:r w:rsidRPr="00F10DCA">
        <w:rPr>
          <w:rFonts w:cstheme="minorHAnsi"/>
          <w:sz w:val="28"/>
          <w:szCs w:val="28"/>
        </w:rPr>
        <w:t>Community</w:t>
      </w:r>
      <w:r w:rsidR="007853D4" w:rsidRPr="00F10DCA">
        <w:rPr>
          <w:rFonts w:cstheme="minorHAnsi"/>
          <w:sz w:val="28"/>
          <w:szCs w:val="28"/>
        </w:rPr>
        <w:t xml:space="preserve"> MH</w:t>
      </w:r>
      <w:r w:rsidRPr="00F10DCA">
        <w:rPr>
          <w:rFonts w:cstheme="minorHAnsi"/>
          <w:sz w:val="28"/>
          <w:szCs w:val="28"/>
        </w:rPr>
        <w:t xml:space="preserve"> projects advanced in 2020</w:t>
      </w:r>
      <w:r w:rsidR="007853D4" w:rsidRPr="00F10DCA">
        <w:rPr>
          <w:rFonts w:cstheme="minorHAnsi"/>
          <w:sz w:val="28"/>
          <w:szCs w:val="28"/>
        </w:rPr>
        <w:t xml:space="preserve"> and will continue this year.</w:t>
      </w:r>
      <w:r w:rsidRPr="00F10DCA">
        <w:rPr>
          <w:rFonts w:cstheme="minorHAnsi"/>
          <w:sz w:val="28"/>
          <w:szCs w:val="28"/>
        </w:rPr>
        <w:t xml:space="preserve"> As reiterated in </w:t>
      </w:r>
      <w:r w:rsidRPr="00F10DCA">
        <w:rPr>
          <w:rFonts w:cstheme="minorHAnsi"/>
          <w:i/>
          <w:iCs/>
          <w:sz w:val="28"/>
          <w:szCs w:val="28"/>
        </w:rPr>
        <w:t>Slaintecare</w:t>
      </w:r>
      <w:r w:rsidRPr="00F10DCA">
        <w:rPr>
          <w:rFonts w:cstheme="minorHAnsi"/>
          <w:sz w:val="28"/>
          <w:szCs w:val="28"/>
        </w:rPr>
        <w:t>, the Primary Care Centre Programme provides accommodation for other services, including community mental health services.</w:t>
      </w:r>
    </w:p>
    <w:p w14:paraId="73C6D675" w14:textId="77777777" w:rsidR="002B02DA" w:rsidRPr="00F10DCA" w:rsidRDefault="002B02DA" w:rsidP="00F10DCA">
      <w:pPr>
        <w:spacing w:after="0" w:line="240" w:lineRule="auto"/>
        <w:ind w:left="426"/>
        <w:rPr>
          <w:rFonts w:eastAsia="Times New Roman" w:cstheme="minorHAnsi"/>
          <w:sz w:val="28"/>
          <w:szCs w:val="28"/>
          <w:lang w:eastAsia="en-IE"/>
        </w:rPr>
      </w:pPr>
    </w:p>
    <w:p w14:paraId="2E1E3D0B" w14:textId="77777777" w:rsidR="002B02DA" w:rsidRPr="00F10DCA" w:rsidRDefault="002B02DA" w:rsidP="00F10DCA">
      <w:pPr>
        <w:numPr>
          <w:ilvl w:val="0"/>
          <w:numId w:val="7"/>
        </w:numPr>
        <w:spacing w:after="0" w:line="240" w:lineRule="auto"/>
        <w:ind w:left="426"/>
        <w:rPr>
          <w:rFonts w:eastAsia="Times New Roman" w:cstheme="minorHAnsi"/>
          <w:sz w:val="28"/>
          <w:szCs w:val="28"/>
          <w:lang w:eastAsia="en-IE"/>
        </w:rPr>
      </w:pPr>
      <w:r w:rsidRPr="00F10DCA">
        <w:rPr>
          <w:rFonts w:eastAsia="Times New Roman" w:cstheme="minorHAnsi"/>
          <w:sz w:val="28"/>
          <w:szCs w:val="28"/>
          <w:lang w:eastAsia="en-IE"/>
        </w:rPr>
        <w:t>Projects in design/planning or construction include:</w:t>
      </w:r>
    </w:p>
    <w:p w14:paraId="59189042"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Acute mental health units at Naas General, Mater and St James’s Hospitals and upgrades at the Psychiatry Unit, Mercy Hospital, Cork</w:t>
      </w:r>
    </w:p>
    <w:p w14:paraId="1E6315D6"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Sligo: replacement of acute unit beds</w:t>
      </w:r>
    </w:p>
    <w:p w14:paraId="5A496EC2"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Three new CAMHS e-mental health hubs nationally</w:t>
      </w:r>
    </w:p>
    <w:p w14:paraId="4E2AF546"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Extension of the CAMHS unit, Merlin Park, Galway</w:t>
      </w:r>
    </w:p>
    <w:p w14:paraId="61104E60"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A new Jigsaw service in Tipperary</w:t>
      </w:r>
    </w:p>
    <w:p w14:paraId="499BB1CF"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Replacement respite house, Clonmel</w:t>
      </w:r>
    </w:p>
    <w:p w14:paraId="7501327B"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Tuam Health Campus (including Mental Health)</w:t>
      </w:r>
    </w:p>
    <w:p w14:paraId="49FA822F"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Limerick: replacement of community-based facilities</w:t>
      </w:r>
    </w:p>
    <w:p w14:paraId="2A611553" w14:textId="77777777" w:rsidR="002B02DA" w:rsidRPr="00F10DCA" w:rsidRDefault="002B02DA" w:rsidP="00F10DCA">
      <w:pPr>
        <w:numPr>
          <w:ilvl w:val="0"/>
          <w:numId w:val="8"/>
        </w:numPr>
        <w:spacing w:after="0" w:line="240" w:lineRule="auto"/>
        <w:ind w:left="851"/>
        <w:contextualSpacing/>
        <w:rPr>
          <w:rFonts w:cstheme="minorHAnsi"/>
          <w:sz w:val="28"/>
          <w:szCs w:val="28"/>
        </w:rPr>
      </w:pPr>
      <w:r w:rsidRPr="00F10DCA">
        <w:rPr>
          <w:rFonts w:cstheme="minorHAnsi"/>
          <w:sz w:val="28"/>
          <w:szCs w:val="28"/>
        </w:rPr>
        <w:t>Drogheda: new Psychiatry of Later Life facility.</w:t>
      </w:r>
    </w:p>
    <w:p w14:paraId="697BD93B" w14:textId="77777777" w:rsidR="002B02DA" w:rsidRPr="00F10DCA" w:rsidRDefault="002B02DA" w:rsidP="00F10DCA">
      <w:pPr>
        <w:tabs>
          <w:tab w:val="left" w:pos="0"/>
        </w:tabs>
        <w:spacing w:after="0" w:line="240" w:lineRule="auto"/>
        <w:rPr>
          <w:rFonts w:eastAsia="Times New Roman" w:cstheme="minorHAnsi"/>
          <w:sz w:val="28"/>
          <w:szCs w:val="28"/>
          <w:lang w:eastAsia="en-IE"/>
        </w:rPr>
      </w:pPr>
    </w:p>
    <w:p w14:paraId="71BE2E6B" w14:textId="77777777" w:rsidR="000D4661" w:rsidRDefault="000D4661" w:rsidP="00F10DCA">
      <w:pPr>
        <w:tabs>
          <w:tab w:val="left" w:pos="0"/>
        </w:tabs>
        <w:spacing w:after="0" w:line="240" w:lineRule="auto"/>
        <w:rPr>
          <w:rFonts w:cstheme="minorHAnsi"/>
          <w:b/>
          <w:bCs/>
          <w:sz w:val="28"/>
          <w:szCs w:val="28"/>
        </w:rPr>
      </w:pPr>
    </w:p>
    <w:p w14:paraId="4F49A298" w14:textId="7FCCE019" w:rsidR="002B02DA" w:rsidRPr="00F10DCA" w:rsidRDefault="002B02DA" w:rsidP="00F10DCA">
      <w:pPr>
        <w:tabs>
          <w:tab w:val="left" w:pos="0"/>
        </w:tabs>
        <w:spacing w:after="0" w:line="240" w:lineRule="auto"/>
        <w:rPr>
          <w:rFonts w:cstheme="minorHAnsi"/>
          <w:b/>
          <w:bCs/>
          <w:sz w:val="28"/>
          <w:szCs w:val="28"/>
        </w:rPr>
      </w:pPr>
      <w:r w:rsidRPr="00F10DCA">
        <w:rPr>
          <w:rFonts w:cstheme="minorHAnsi"/>
          <w:b/>
          <w:bCs/>
          <w:sz w:val="28"/>
          <w:szCs w:val="28"/>
        </w:rPr>
        <w:t>Minor Capital Upgrades</w:t>
      </w:r>
    </w:p>
    <w:p w14:paraId="56EF8C37" w14:textId="77777777" w:rsidR="002B02DA" w:rsidRPr="00F10DCA" w:rsidRDefault="002B02DA" w:rsidP="00F10DCA">
      <w:pPr>
        <w:numPr>
          <w:ilvl w:val="0"/>
          <w:numId w:val="7"/>
        </w:numPr>
        <w:spacing w:after="0" w:line="240" w:lineRule="auto"/>
        <w:ind w:left="426"/>
        <w:rPr>
          <w:rFonts w:cstheme="minorHAnsi"/>
          <w:sz w:val="28"/>
          <w:szCs w:val="28"/>
        </w:rPr>
      </w:pPr>
      <w:r w:rsidRPr="00F10DCA">
        <w:rPr>
          <w:rFonts w:cstheme="minorHAnsi"/>
          <w:sz w:val="28"/>
          <w:szCs w:val="28"/>
        </w:rPr>
        <w:t>The Budget 2021 allocation of €1.114b is an increase of €50m over 2020. Of this €50m, €7m will fund reconfiguration of mental health facilities, in line with MHC Covid risk assessment recommendations. This, plus the recurring €6m new development funding, means there is €13 million for minor works and refurbishments in 2021.</w:t>
      </w:r>
    </w:p>
    <w:p w14:paraId="359F1954" w14:textId="77777777" w:rsidR="002B02DA" w:rsidRPr="00F10DCA" w:rsidRDefault="002B02DA" w:rsidP="00F10DCA">
      <w:pPr>
        <w:autoSpaceDE w:val="0"/>
        <w:autoSpaceDN w:val="0"/>
        <w:spacing w:after="0" w:line="240" w:lineRule="auto"/>
        <w:rPr>
          <w:rFonts w:cstheme="minorHAnsi"/>
          <w:sz w:val="28"/>
          <w:szCs w:val="28"/>
        </w:rPr>
      </w:pPr>
    </w:p>
    <w:p w14:paraId="339B7672" w14:textId="77777777" w:rsidR="002B02DA" w:rsidRPr="00F10DCA" w:rsidRDefault="002B02DA" w:rsidP="00F10DCA">
      <w:pPr>
        <w:numPr>
          <w:ilvl w:val="0"/>
          <w:numId w:val="6"/>
        </w:numPr>
        <w:autoSpaceDE w:val="0"/>
        <w:autoSpaceDN w:val="0"/>
        <w:spacing w:after="0" w:line="240" w:lineRule="auto"/>
        <w:ind w:left="426"/>
        <w:rPr>
          <w:rFonts w:cstheme="minorHAnsi"/>
          <w:sz w:val="28"/>
          <w:szCs w:val="28"/>
          <w:lang w:eastAsia="en-IE"/>
        </w:rPr>
      </w:pPr>
      <w:r w:rsidRPr="00F10DCA">
        <w:rPr>
          <w:rFonts w:cstheme="minorHAnsi"/>
          <w:sz w:val="28"/>
          <w:szCs w:val="28"/>
          <w:lang w:eastAsia="en-IE"/>
        </w:rPr>
        <w:t xml:space="preserve">The MHC inspects mental health approved centre at least once a year. When significant issues arise, registration conditions may be applied. </w:t>
      </w:r>
    </w:p>
    <w:p w14:paraId="6E1BBF77" w14:textId="77777777" w:rsidR="002B02DA" w:rsidRPr="00F10DCA" w:rsidRDefault="002B02DA" w:rsidP="00F10DCA">
      <w:pPr>
        <w:spacing w:after="0" w:line="240" w:lineRule="auto"/>
        <w:ind w:left="426"/>
        <w:rPr>
          <w:rFonts w:cstheme="minorHAnsi"/>
          <w:sz w:val="28"/>
          <w:szCs w:val="28"/>
        </w:rPr>
      </w:pPr>
    </w:p>
    <w:p w14:paraId="398D2015" w14:textId="77777777" w:rsidR="002B02DA" w:rsidRPr="00F10DCA" w:rsidRDefault="002B02DA" w:rsidP="00F10DCA">
      <w:pPr>
        <w:numPr>
          <w:ilvl w:val="0"/>
          <w:numId w:val="6"/>
        </w:numPr>
        <w:autoSpaceDE w:val="0"/>
        <w:autoSpaceDN w:val="0"/>
        <w:spacing w:after="0" w:line="240" w:lineRule="auto"/>
        <w:ind w:left="426"/>
        <w:rPr>
          <w:rFonts w:cstheme="minorHAnsi"/>
          <w:sz w:val="28"/>
          <w:szCs w:val="28"/>
          <w:lang w:eastAsia="en-IE"/>
        </w:rPr>
      </w:pPr>
      <w:r w:rsidRPr="00F10DCA">
        <w:rPr>
          <w:rFonts w:cstheme="minorHAnsi"/>
          <w:sz w:val="28"/>
          <w:szCs w:val="28"/>
          <w:lang w:eastAsia="en-IE"/>
        </w:rPr>
        <w:t xml:space="preserve">At the start of the pandemic, the Department tasked the MHC with developing a risk control and monitoring framework for residential facilities, to address infection risks. In addition, the inspection process, as noted in the MHC Annual Report 2019, identified five key areas requiring HSE action, including premises and capacity. </w:t>
      </w:r>
    </w:p>
    <w:p w14:paraId="7614962D" w14:textId="77777777" w:rsidR="002B02DA" w:rsidRPr="00F10DCA" w:rsidRDefault="002B02DA" w:rsidP="00F10DCA">
      <w:pPr>
        <w:spacing w:after="0" w:line="240" w:lineRule="auto"/>
        <w:ind w:left="426"/>
        <w:rPr>
          <w:rFonts w:cstheme="minorHAnsi"/>
          <w:sz w:val="28"/>
          <w:szCs w:val="28"/>
        </w:rPr>
      </w:pPr>
    </w:p>
    <w:p w14:paraId="0ED2204E" w14:textId="77777777" w:rsidR="002B02DA" w:rsidRPr="00F10DCA" w:rsidRDefault="002B02DA" w:rsidP="00F10DCA">
      <w:pPr>
        <w:numPr>
          <w:ilvl w:val="0"/>
          <w:numId w:val="6"/>
        </w:numPr>
        <w:spacing w:after="0" w:line="240" w:lineRule="auto"/>
        <w:ind w:left="426"/>
        <w:contextualSpacing/>
        <w:rPr>
          <w:rFonts w:cstheme="minorHAnsi"/>
          <w:sz w:val="28"/>
          <w:szCs w:val="28"/>
        </w:rPr>
      </w:pPr>
      <w:r w:rsidRPr="00F10DCA">
        <w:rPr>
          <w:rFonts w:cstheme="minorHAnsi"/>
          <w:sz w:val="28"/>
          <w:szCs w:val="28"/>
        </w:rPr>
        <w:t xml:space="preserve">HSE MHS has completed analysis of work needed to meet MHC conditions. Significant infection control work has been done in premises reconfiguration and capacity, in particular multi-occupancy rooms. </w:t>
      </w:r>
    </w:p>
    <w:p w14:paraId="2E2E0FCD" w14:textId="77777777" w:rsidR="002B02DA" w:rsidRPr="00F10DCA" w:rsidRDefault="002B02DA" w:rsidP="00F10DCA">
      <w:pPr>
        <w:spacing w:after="0" w:line="240" w:lineRule="auto"/>
        <w:ind w:left="426"/>
        <w:rPr>
          <w:rFonts w:cstheme="minorHAnsi"/>
          <w:sz w:val="28"/>
          <w:szCs w:val="28"/>
        </w:rPr>
      </w:pPr>
    </w:p>
    <w:p w14:paraId="3820FF8B" w14:textId="77777777" w:rsidR="002B02DA" w:rsidRPr="00F10DCA" w:rsidRDefault="002B02DA" w:rsidP="00F10DCA">
      <w:pPr>
        <w:numPr>
          <w:ilvl w:val="0"/>
          <w:numId w:val="6"/>
        </w:numPr>
        <w:spacing w:after="0" w:line="240" w:lineRule="auto"/>
        <w:ind w:left="426"/>
        <w:contextualSpacing/>
        <w:rPr>
          <w:rFonts w:cstheme="minorHAnsi"/>
          <w:sz w:val="28"/>
          <w:szCs w:val="28"/>
        </w:rPr>
      </w:pPr>
      <w:r w:rsidRPr="00F10DCA">
        <w:rPr>
          <w:rFonts w:cstheme="minorHAnsi"/>
          <w:sz w:val="28"/>
          <w:szCs w:val="28"/>
        </w:rPr>
        <w:t>HSE MHS is in the process of identifying and agreeing, with the CHOs, €6m of works to be carried out in 2021, such as anti-ligature works.</w:t>
      </w:r>
    </w:p>
    <w:p w14:paraId="64F849B1" w14:textId="77777777" w:rsidR="002B02DA" w:rsidRPr="00F10DCA" w:rsidRDefault="002B02DA" w:rsidP="00F10DCA">
      <w:pPr>
        <w:spacing w:after="0" w:line="240" w:lineRule="auto"/>
        <w:ind w:left="426"/>
        <w:rPr>
          <w:rFonts w:cstheme="minorHAnsi"/>
          <w:sz w:val="28"/>
          <w:szCs w:val="28"/>
        </w:rPr>
      </w:pPr>
    </w:p>
    <w:p w14:paraId="242FEF1B" w14:textId="77777777" w:rsidR="002B02DA" w:rsidRPr="00F10DCA" w:rsidRDefault="002B02DA" w:rsidP="00F10DCA">
      <w:pPr>
        <w:numPr>
          <w:ilvl w:val="0"/>
          <w:numId w:val="6"/>
        </w:numPr>
        <w:spacing w:after="0" w:line="240" w:lineRule="auto"/>
        <w:ind w:left="426"/>
        <w:contextualSpacing/>
        <w:rPr>
          <w:rFonts w:cstheme="minorHAnsi"/>
          <w:sz w:val="28"/>
          <w:szCs w:val="28"/>
        </w:rPr>
      </w:pPr>
      <w:r w:rsidRPr="00F10DCA">
        <w:rPr>
          <w:rFonts w:cstheme="minorHAnsi"/>
          <w:sz w:val="28"/>
          <w:szCs w:val="28"/>
        </w:rPr>
        <w:t xml:space="preserve">€7m will be spent on Covid-related works, in line with the MHC risk control framework. These include more single occupancy bedrooms and bathroom facilities and other infection control measures. </w:t>
      </w:r>
    </w:p>
    <w:p w14:paraId="5DF4B68C" w14:textId="77777777" w:rsidR="002B02DA" w:rsidRPr="00F10DCA" w:rsidRDefault="002B02DA" w:rsidP="00F10DCA">
      <w:pPr>
        <w:autoSpaceDE w:val="0"/>
        <w:autoSpaceDN w:val="0"/>
        <w:spacing w:after="0" w:line="240" w:lineRule="auto"/>
        <w:ind w:left="426"/>
        <w:rPr>
          <w:rFonts w:cstheme="minorHAnsi"/>
          <w:sz w:val="28"/>
          <w:szCs w:val="28"/>
          <w:lang w:eastAsia="en-IE"/>
        </w:rPr>
      </w:pPr>
    </w:p>
    <w:p w14:paraId="100C0D9A" w14:textId="77777777" w:rsidR="002B02DA" w:rsidRPr="00F10DCA" w:rsidRDefault="002B02DA" w:rsidP="00F10DCA">
      <w:pPr>
        <w:numPr>
          <w:ilvl w:val="0"/>
          <w:numId w:val="6"/>
        </w:numPr>
        <w:autoSpaceDE w:val="0"/>
        <w:autoSpaceDN w:val="0"/>
        <w:spacing w:after="0" w:line="240" w:lineRule="auto"/>
        <w:ind w:left="426"/>
        <w:rPr>
          <w:rFonts w:cstheme="minorHAnsi"/>
          <w:sz w:val="28"/>
          <w:szCs w:val="28"/>
          <w:lang w:eastAsia="en-IE"/>
        </w:rPr>
      </w:pPr>
      <w:r w:rsidRPr="00F10DCA">
        <w:rPr>
          <w:rFonts w:cstheme="minorHAnsi"/>
          <w:sz w:val="28"/>
          <w:szCs w:val="28"/>
          <w:lang w:eastAsia="en-IE"/>
        </w:rPr>
        <w:t xml:space="preserve">A works programme, prioritising greatest need, will continue until all areas have been addressed. A national improvement project, to develop and roll out an HSE ligature risk reduction policy and audit, is also underway. This will meet </w:t>
      </w:r>
      <w:r w:rsidRPr="00F10DCA">
        <w:rPr>
          <w:rFonts w:cstheme="minorHAnsi"/>
          <w:i/>
          <w:iCs/>
          <w:sz w:val="28"/>
          <w:szCs w:val="28"/>
          <w:lang w:eastAsia="en-IE"/>
        </w:rPr>
        <w:t>Connecting for Life</w:t>
      </w:r>
      <w:r w:rsidRPr="00F10DCA">
        <w:rPr>
          <w:rFonts w:cstheme="minorHAnsi"/>
          <w:sz w:val="28"/>
          <w:szCs w:val="28"/>
          <w:lang w:eastAsia="en-IE"/>
        </w:rPr>
        <w:t xml:space="preserve"> recommendations.</w:t>
      </w:r>
      <w:r w:rsidRPr="00F10DCA">
        <w:rPr>
          <w:rFonts w:cstheme="minorHAnsi"/>
          <w:i/>
          <w:iCs/>
          <w:sz w:val="28"/>
          <w:szCs w:val="28"/>
          <w:lang w:eastAsia="en-IE"/>
        </w:rPr>
        <w:t xml:space="preserve"> </w:t>
      </w:r>
    </w:p>
    <w:p w14:paraId="3EE1F9FD" w14:textId="71270BB0" w:rsidR="005C6B2D" w:rsidRPr="00F10DCA" w:rsidRDefault="005C6B2D" w:rsidP="00F10DCA">
      <w:pPr>
        <w:spacing w:line="240" w:lineRule="auto"/>
        <w:rPr>
          <w:rFonts w:cstheme="minorHAnsi"/>
          <w:sz w:val="28"/>
          <w:szCs w:val="28"/>
        </w:rPr>
      </w:pPr>
    </w:p>
    <w:p w14:paraId="4E084C19" w14:textId="77777777" w:rsidR="00772738" w:rsidRPr="00F10DCA" w:rsidRDefault="00772738" w:rsidP="00F10DCA">
      <w:pPr>
        <w:keepNext/>
        <w:keepLines/>
        <w:spacing w:before="240" w:after="0" w:line="240" w:lineRule="auto"/>
        <w:outlineLvl w:val="0"/>
        <w:rPr>
          <w:rFonts w:cstheme="minorHAnsi"/>
          <w:sz w:val="28"/>
          <w:szCs w:val="28"/>
        </w:rPr>
      </w:pPr>
      <w:bookmarkStart w:id="9" w:name="_Toc70510989"/>
    </w:p>
    <w:p w14:paraId="15894A0B" w14:textId="42D83D9A" w:rsidR="00E3019E" w:rsidRPr="00FF0D3E" w:rsidRDefault="00CF4FFE" w:rsidP="00F10DCA">
      <w:pPr>
        <w:keepNext/>
        <w:keepLines/>
        <w:spacing w:before="240" w:after="0" w:line="240" w:lineRule="auto"/>
        <w:outlineLvl w:val="0"/>
        <w:rPr>
          <w:rFonts w:eastAsiaTheme="majorEastAsia" w:cstheme="minorHAnsi"/>
          <w:b/>
          <w:bCs/>
          <w:sz w:val="32"/>
          <w:szCs w:val="32"/>
        </w:rPr>
      </w:pPr>
      <w:r w:rsidRPr="00FF0D3E">
        <w:rPr>
          <w:rFonts w:eastAsiaTheme="majorEastAsia" w:cstheme="minorHAnsi"/>
          <w:b/>
          <w:bCs/>
          <w:sz w:val="32"/>
          <w:szCs w:val="32"/>
        </w:rPr>
        <w:t>10.</w:t>
      </w:r>
      <w:r w:rsidRPr="00FF0D3E">
        <w:rPr>
          <w:rFonts w:eastAsiaTheme="majorEastAsia" w:cstheme="minorHAnsi"/>
          <w:b/>
          <w:bCs/>
          <w:sz w:val="32"/>
          <w:szCs w:val="32"/>
        </w:rPr>
        <w:tab/>
      </w:r>
      <w:r w:rsidR="00E3019E" w:rsidRPr="00FF0D3E">
        <w:rPr>
          <w:rFonts w:eastAsiaTheme="majorEastAsia" w:cstheme="minorHAnsi"/>
          <w:b/>
          <w:bCs/>
          <w:sz w:val="32"/>
          <w:szCs w:val="32"/>
          <w:u w:val="single"/>
        </w:rPr>
        <w:t>Clinical Programmes/Models of Care (MoCs)</w:t>
      </w:r>
      <w:bookmarkEnd w:id="9"/>
    </w:p>
    <w:p w14:paraId="4EEA480F" w14:textId="77777777" w:rsidR="00E3019E" w:rsidRPr="00F10DCA" w:rsidRDefault="00E3019E" w:rsidP="00F10DCA">
      <w:pPr>
        <w:spacing w:after="0" w:line="240" w:lineRule="auto"/>
        <w:ind w:left="426"/>
        <w:rPr>
          <w:rFonts w:cstheme="minorHAnsi"/>
          <w:b/>
          <w:bCs/>
          <w:sz w:val="28"/>
          <w:szCs w:val="28"/>
        </w:rPr>
      </w:pPr>
    </w:p>
    <w:p w14:paraId="0CDB4CE8" w14:textId="1320DC5A" w:rsidR="00E3019E" w:rsidRPr="004C40C0" w:rsidRDefault="00E3019E" w:rsidP="00F10DCA">
      <w:pPr>
        <w:numPr>
          <w:ilvl w:val="0"/>
          <w:numId w:val="9"/>
        </w:numPr>
        <w:spacing w:after="0" w:line="240" w:lineRule="auto"/>
        <w:ind w:left="426"/>
        <w:contextualSpacing/>
        <w:rPr>
          <w:rFonts w:cstheme="minorHAnsi"/>
          <w:bCs/>
          <w:sz w:val="28"/>
          <w:szCs w:val="28"/>
          <w:lang w:val="en-GB"/>
        </w:rPr>
      </w:pPr>
      <w:r w:rsidRPr="00F10DCA">
        <w:rPr>
          <w:rFonts w:cstheme="minorHAnsi"/>
          <w:bCs/>
          <w:sz w:val="28"/>
          <w:szCs w:val="28"/>
        </w:rPr>
        <w:t xml:space="preserve">The HSE Mental Health National Clinical Programmes are service improvement programmes to address </w:t>
      </w:r>
      <w:r w:rsidRPr="00F10DCA">
        <w:rPr>
          <w:rFonts w:cstheme="minorHAnsi"/>
          <w:bCs/>
          <w:sz w:val="28"/>
          <w:szCs w:val="28"/>
          <w:u w:val="single"/>
        </w:rPr>
        <w:t>gaps</w:t>
      </w:r>
      <w:r w:rsidRPr="00F10DCA">
        <w:rPr>
          <w:rFonts w:cstheme="minorHAnsi"/>
          <w:bCs/>
          <w:sz w:val="28"/>
          <w:szCs w:val="28"/>
        </w:rPr>
        <w:t xml:space="preserve"> in accessing specialist mental health care. There are five National Clinical Programmes.</w:t>
      </w:r>
    </w:p>
    <w:p w14:paraId="6EB211FA" w14:textId="77777777" w:rsidR="004C40C0" w:rsidRPr="00F10DCA" w:rsidRDefault="004C40C0" w:rsidP="004C40C0">
      <w:pPr>
        <w:spacing w:after="0" w:line="240" w:lineRule="auto"/>
        <w:ind w:left="426"/>
        <w:contextualSpacing/>
        <w:rPr>
          <w:rFonts w:cstheme="minorHAnsi"/>
          <w:bCs/>
          <w:sz w:val="28"/>
          <w:szCs w:val="28"/>
          <w:lang w:val="en-GB"/>
        </w:rPr>
      </w:pPr>
    </w:p>
    <w:p w14:paraId="54221182" w14:textId="77777777" w:rsidR="00E3019E" w:rsidRPr="004C40C0" w:rsidRDefault="00E3019E" w:rsidP="004C40C0">
      <w:pPr>
        <w:pStyle w:val="ListParagraph"/>
        <w:numPr>
          <w:ilvl w:val="1"/>
          <w:numId w:val="28"/>
        </w:numPr>
        <w:spacing w:after="0" w:line="240" w:lineRule="auto"/>
        <w:rPr>
          <w:rFonts w:cstheme="minorHAnsi"/>
          <w:bCs/>
          <w:sz w:val="28"/>
          <w:szCs w:val="28"/>
          <w:lang w:val="en-GB"/>
        </w:rPr>
      </w:pPr>
      <w:r w:rsidRPr="004C40C0">
        <w:rPr>
          <w:rFonts w:cstheme="minorHAnsi"/>
          <w:sz w:val="28"/>
          <w:szCs w:val="28"/>
        </w:rPr>
        <w:t>Self Harm Presentations to Emergency Departments</w:t>
      </w:r>
    </w:p>
    <w:p w14:paraId="3A068F07" w14:textId="77777777" w:rsidR="00E3019E" w:rsidRPr="004C40C0" w:rsidRDefault="00E3019E" w:rsidP="004C40C0">
      <w:pPr>
        <w:pStyle w:val="ListParagraph"/>
        <w:numPr>
          <w:ilvl w:val="1"/>
          <w:numId w:val="28"/>
        </w:numPr>
        <w:spacing w:after="0" w:line="240" w:lineRule="auto"/>
        <w:rPr>
          <w:rFonts w:cstheme="minorHAnsi"/>
          <w:sz w:val="28"/>
          <w:szCs w:val="28"/>
        </w:rPr>
      </w:pPr>
      <w:r w:rsidRPr="004C40C0">
        <w:rPr>
          <w:rFonts w:cstheme="minorHAnsi"/>
          <w:sz w:val="28"/>
          <w:szCs w:val="28"/>
        </w:rPr>
        <w:t>Eating Disorders</w:t>
      </w:r>
    </w:p>
    <w:p w14:paraId="28A9E17A" w14:textId="77777777" w:rsidR="00E3019E" w:rsidRPr="004C40C0" w:rsidRDefault="00E3019E" w:rsidP="004C40C0">
      <w:pPr>
        <w:pStyle w:val="ListParagraph"/>
        <w:numPr>
          <w:ilvl w:val="1"/>
          <w:numId w:val="28"/>
        </w:numPr>
        <w:spacing w:after="0" w:line="240" w:lineRule="auto"/>
        <w:rPr>
          <w:rFonts w:cstheme="minorHAnsi"/>
          <w:sz w:val="28"/>
          <w:szCs w:val="28"/>
        </w:rPr>
      </w:pPr>
      <w:r w:rsidRPr="004C40C0">
        <w:rPr>
          <w:rFonts w:cstheme="minorHAnsi"/>
          <w:sz w:val="28"/>
          <w:szCs w:val="28"/>
        </w:rPr>
        <w:t xml:space="preserve">Early Intervention in Psychosis </w:t>
      </w:r>
    </w:p>
    <w:p w14:paraId="183BC84F" w14:textId="77777777" w:rsidR="00E3019E" w:rsidRPr="004C40C0" w:rsidRDefault="00E3019E" w:rsidP="004C40C0">
      <w:pPr>
        <w:pStyle w:val="ListParagraph"/>
        <w:numPr>
          <w:ilvl w:val="1"/>
          <w:numId w:val="28"/>
        </w:numPr>
        <w:spacing w:after="0" w:line="240" w:lineRule="auto"/>
        <w:rPr>
          <w:rFonts w:cstheme="minorHAnsi"/>
          <w:sz w:val="28"/>
          <w:szCs w:val="28"/>
        </w:rPr>
      </w:pPr>
      <w:r w:rsidRPr="004C40C0">
        <w:rPr>
          <w:rFonts w:cstheme="minorHAnsi"/>
          <w:sz w:val="28"/>
          <w:szCs w:val="28"/>
        </w:rPr>
        <w:t>ADHD- Adults</w:t>
      </w:r>
    </w:p>
    <w:p w14:paraId="48804103" w14:textId="77777777" w:rsidR="00E3019E" w:rsidRPr="004C40C0" w:rsidRDefault="00E3019E" w:rsidP="004C40C0">
      <w:pPr>
        <w:pStyle w:val="ListParagraph"/>
        <w:numPr>
          <w:ilvl w:val="1"/>
          <w:numId w:val="28"/>
        </w:numPr>
        <w:spacing w:after="0" w:line="240" w:lineRule="auto"/>
        <w:rPr>
          <w:rFonts w:cstheme="minorHAnsi"/>
          <w:sz w:val="28"/>
          <w:szCs w:val="28"/>
        </w:rPr>
      </w:pPr>
      <w:r w:rsidRPr="004C40C0">
        <w:rPr>
          <w:rFonts w:cstheme="minorHAnsi"/>
          <w:sz w:val="28"/>
          <w:szCs w:val="28"/>
        </w:rPr>
        <w:t>Dual Diagnosis (Addiction and Mental Health Support Needs)</w:t>
      </w:r>
    </w:p>
    <w:p w14:paraId="7B4AE069" w14:textId="77777777" w:rsidR="00E3019E" w:rsidRPr="00F10DCA" w:rsidRDefault="00E3019E" w:rsidP="00F10DCA">
      <w:pPr>
        <w:spacing w:after="0" w:line="240" w:lineRule="auto"/>
        <w:ind w:left="426"/>
        <w:rPr>
          <w:rFonts w:cstheme="minorHAnsi"/>
          <w:b/>
          <w:bCs/>
          <w:sz w:val="28"/>
          <w:szCs w:val="28"/>
        </w:rPr>
      </w:pPr>
    </w:p>
    <w:p w14:paraId="02901190" w14:textId="77777777" w:rsidR="00E3019E" w:rsidRPr="00F10DCA" w:rsidRDefault="00E3019E" w:rsidP="00F10DCA">
      <w:pPr>
        <w:numPr>
          <w:ilvl w:val="0"/>
          <w:numId w:val="10"/>
        </w:numPr>
        <w:spacing w:after="0" w:line="240" w:lineRule="auto"/>
        <w:ind w:left="426"/>
        <w:contextualSpacing/>
        <w:rPr>
          <w:rFonts w:cstheme="minorHAnsi"/>
          <w:sz w:val="28"/>
          <w:szCs w:val="28"/>
        </w:rPr>
      </w:pPr>
      <w:r w:rsidRPr="00F10DCA">
        <w:rPr>
          <w:rFonts w:cstheme="minorHAnsi"/>
          <w:sz w:val="28"/>
          <w:szCs w:val="28"/>
        </w:rPr>
        <w:t>The clinical programmes are developed with the College of Psychiatrists of Ireland and other relevant advocacy groups.</w:t>
      </w:r>
    </w:p>
    <w:p w14:paraId="6BFE66B3" w14:textId="77777777" w:rsidR="00E3019E" w:rsidRPr="00F10DCA" w:rsidRDefault="00E3019E" w:rsidP="00F10DCA">
      <w:pPr>
        <w:spacing w:after="0" w:line="240" w:lineRule="auto"/>
        <w:ind w:left="426"/>
        <w:rPr>
          <w:rFonts w:cstheme="minorHAnsi"/>
          <w:sz w:val="28"/>
          <w:szCs w:val="28"/>
        </w:rPr>
      </w:pPr>
    </w:p>
    <w:p w14:paraId="19B6D35F" w14:textId="071D6EDF" w:rsidR="00E3019E" w:rsidRDefault="00E3019E" w:rsidP="00F10DCA">
      <w:pPr>
        <w:numPr>
          <w:ilvl w:val="0"/>
          <w:numId w:val="10"/>
        </w:numPr>
        <w:spacing w:after="0" w:line="240" w:lineRule="auto"/>
        <w:ind w:left="426"/>
        <w:contextualSpacing/>
        <w:rPr>
          <w:rFonts w:cstheme="minorHAnsi"/>
          <w:sz w:val="28"/>
          <w:szCs w:val="28"/>
        </w:rPr>
      </w:pPr>
      <w:r w:rsidRPr="00F10DCA">
        <w:rPr>
          <w:rFonts w:cstheme="minorHAnsi"/>
          <w:sz w:val="28"/>
          <w:szCs w:val="28"/>
        </w:rPr>
        <w:t>In addition, there are three prioritised HSE mental health service improvement projects, with published and agreed models of care:</w:t>
      </w:r>
    </w:p>
    <w:p w14:paraId="0F332247" w14:textId="77777777" w:rsidR="00683BAC" w:rsidRPr="00F10DCA" w:rsidRDefault="00683BAC" w:rsidP="00683BAC">
      <w:pPr>
        <w:spacing w:after="0" w:line="240" w:lineRule="auto"/>
        <w:contextualSpacing/>
        <w:rPr>
          <w:rFonts w:cstheme="minorHAnsi"/>
          <w:sz w:val="28"/>
          <w:szCs w:val="28"/>
        </w:rPr>
      </w:pPr>
    </w:p>
    <w:p w14:paraId="15D7B51D" w14:textId="77777777" w:rsidR="00E3019E" w:rsidRPr="00683BAC" w:rsidRDefault="00E3019E" w:rsidP="00683BAC">
      <w:pPr>
        <w:pStyle w:val="ListParagraph"/>
        <w:numPr>
          <w:ilvl w:val="0"/>
          <w:numId w:val="29"/>
        </w:numPr>
        <w:spacing w:after="0" w:line="240" w:lineRule="auto"/>
        <w:rPr>
          <w:rFonts w:cstheme="minorHAnsi"/>
          <w:sz w:val="28"/>
          <w:szCs w:val="28"/>
        </w:rPr>
      </w:pPr>
      <w:r w:rsidRPr="00683BAC">
        <w:rPr>
          <w:rFonts w:cstheme="minorHAnsi"/>
          <w:sz w:val="28"/>
          <w:szCs w:val="28"/>
        </w:rPr>
        <w:t>Mental Health Intellectual Disability (Children and Adults)</w:t>
      </w:r>
    </w:p>
    <w:p w14:paraId="0F4BC599" w14:textId="77777777" w:rsidR="00E3019E" w:rsidRPr="00683BAC" w:rsidRDefault="00E3019E" w:rsidP="00683BAC">
      <w:pPr>
        <w:pStyle w:val="ListParagraph"/>
        <w:numPr>
          <w:ilvl w:val="0"/>
          <w:numId w:val="29"/>
        </w:numPr>
        <w:spacing w:after="0" w:line="240" w:lineRule="auto"/>
        <w:rPr>
          <w:rFonts w:cstheme="minorHAnsi"/>
          <w:sz w:val="28"/>
          <w:szCs w:val="28"/>
        </w:rPr>
      </w:pPr>
      <w:r w:rsidRPr="00683BAC">
        <w:rPr>
          <w:rFonts w:cstheme="minorHAnsi"/>
          <w:sz w:val="28"/>
          <w:szCs w:val="28"/>
        </w:rPr>
        <w:t>Perinatal Mental Health</w:t>
      </w:r>
    </w:p>
    <w:p w14:paraId="68E82A90" w14:textId="77777777" w:rsidR="00E3019E" w:rsidRPr="00683BAC" w:rsidRDefault="00E3019E" w:rsidP="00683BAC">
      <w:pPr>
        <w:pStyle w:val="ListParagraph"/>
        <w:numPr>
          <w:ilvl w:val="0"/>
          <w:numId w:val="29"/>
        </w:numPr>
        <w:spacing w:after="0" w:line="240" w:lineRule="auto"/>
        <w:rPr>
          <w:rFonts w:cstheme="minorHAnsi"/>
          <w:sz w:val="28"/>
          <w:szCs w:val="28"/>
        </w:rPr>
      </w:pPr>
      <w:r w:rsidRPr="00683BAC">
        <w:rPr>
          <w:rFonts w:cstheme="minorHAnsi"/>
          <w:sz w:val="28"/>
          <w:szCs w:val="28"/>
        </w:rPr>
        <w:t>Talking Therapies</w:t>
      </w:r>
    </w:p>
    <w:p w14:paraId="2DB5C80E" w14:textId="77777777" w:rsidR="00E3019E" w:rsidRPr="00F10DCA" w:rsidRDefault="00E3019E" w:rsidP="00F10DCA">
      <w:pPr>
        <w:spacing w:after="0" w:line="240" w:lineRule="auto"/>
        <w:ind w:left="851"/>
        <w:contextualSpacing/>
        <w:rPr>
          <w:rFonts w:cstheme="minorHAnsi"/>
          <w:sz w:val="28"/>
          <w:szCs w:val="28"/>
        </w:rPr>
      </w:pPr>
    </w:p>
    <w:p w14:paraId="2F864AD8" w14:textId="7C46CF39" w:rsidR="00076DC2" w:rsidRPr="00683BAC" w:rsidRDefault="00E3019E" w:rsidP="00F10DCA">
      <w:pPr>
        <w:numPr>
          <w:ilvl w:val="0"/>
          <w:numId w:val="11"/>
        </w:numPr>
        <w:spacing w:after="0" w:line="240" w:lineRule="auto"/>
        <w:ind w:left="426"/>
        <w:contextualSpacing/>
        <w:rPr>
          <w:rFonts w:cstheme="minorHAnsi"/>
          <w:sz w:val="28"/>
          <w:szCs w:val="28"/>
        </w:rPr>
      </w:pPr>
      <w:r w:rsidRPr="00F10DCA">
        <w:rPr>
          <w:rFonts w:cstheme="minorHAnsi"/>
          <w:sz w:val="28"/>
          <w:szCs w:val="28"/>
        </w:rPr>
        <w:t xml:space="preserve">All the service improvement projects and clinical programmes feature in </w:t>
      </w:r>
      <w:r w:rsidRPr="00F10DCA">
        <w:rPr>
          <w:rFonts w:cstheme="minorHAnsi"/>
          <w:i/>
          <w:iCs/>
          <w:sz w:val="28"/>
          <w:szCs w:val="28"/>
        </w:rPr>
        <w:t>Sharing the Vision</w:t>
      </w:r>
      <w:r w:rsidRPr="00F10DCA">
        <w:rPr>
          <w:rFonts w:cstheme="minorHAnsi"/>
          <w:sz w:val="28"/>
          <w:szCs w:val="28"/>
        </w:rPr>
        <w:t xml:space="preserve"> for prioritised implementation. They are all at different stages of implementation.</w:t>
      </w:r>
    </w:p>
    <w:p w14:paraId="5CE75A16" w14:textId="77777777" w:rsidR="00DA6FC1" w:rsidRPr="00F10DCA" w:rsidRDefault="00DA6FC1" w:rsidP="00F10DCA">
      <w:pPr>
        <w:spacing w:after="0" w:line="240" w:lineRule="auto"/>
        <w:rPr>
          <w:rFonts w:cstheme="minorHAnsi"/>
          <w:sz w:val="28"/>
          <w:szCs w:val="28"/>
        </w:rPr>
      </w:pPr>
      <w:r w:rsidRPr="00F10DCA">
        <w:rPr>
          <w:rFonts w:cstheme="minorHAnsi"/>
          <w:b/>
          <w:bCs/>
          <w:sz w:val="28"/>
          <w:szCs w:val="28"/>
        </w:rPr>
        <w:t>Dual Diagnosis – National Clinical Programme</w:t>
      </w:r>
    </w:p>
    <w:p w14:paraId="3277EA44" w14:textId="77777777" w:rsidR="00DA6FC1" w:rsidRPr="00F10DCA" w:rsidRDefault="00DA6FC1" w:rsidP="00F10DCA">
      <w:pPr>
        <w:pStyle w:val="ListParagraph"/>
        <w:numPr>
          <w:ilvl w:val="0"/>
          <w:numId w:val="14"/>
        </w:numPr>
        <w:autoSpaceDE w:val="0"/>
        <w:autoSpaceDN w:val="0"/>
        <w:adjustRightInd w:val="0"/>
        <w:spacing w:after="0" w:line="240" w:lineRule="auto"/>
        <w:ind w:left="426"/>
        <w:rPr>
          <w:rFonts w:cstheme="minorHAnsi"/>
          <w:sz w:val="28"/>
          <w:szCs w:val="28"/>
        </w:rPr>
      </w:pPr>
      <w:r w:rsidRPr="00F10DCA">
        <w:rPr>
          <w:rFonts w:cstheme="minorHAnsi"/>
          <w:sz w:val="28"/>
          <w:szCs w:val="28"/>
        </w:rPr>
        <w:t xml:space="preserve">The Dual Diagnosis Programme has a draft model of care, which takes account of service user views. It describes the clinical pathway for service users with substance misuse and moderate to severe mental health issues, with links to primary care substance misuse, community mental health and acute services. This is informed by international best practice and the experience of the National Working Group. </w:t>
      </w:r>
    </w:p>
    <w:p w14:paraId="3D62F83D" w14:textId="77777777" w:rsidR="00DA6FC1" w:rsidRPr="00F10DCA" w:rsidRDefault="00DA6FC1" w:rsidP="00F10DCA">
      <w:pPr>
        <w:pStyle w:val="ListParagraph"/>
        <w:autoSpaceDE w:val="0"/>
        <w:autoSpaceDN w:val="0"/>
        <w:adjustRightInd w:val="0"/>
        <w:spacing w:after="0" w:line="240" w:lineRule="auto"/>
        <w:ind w:left="426"/>
        <w:rPr>
          <w:rFonts w:cstheme="minorHAnsi"/>
          <w:sz w:val="28"/>
          <w:szCs w:val="28"/>
        </w:rPr>
      </w:pPr>
    </w:p>
    <w:p w14:paraId="18DA0538" w14:textId="77777777" w:rsidR="00DA6FC1" w:rsidRPr="00F10DCA" w:rsidRDefault="00DA6FC1" w:rsidP="00F10DCA">
      <w:pPr>
        <w:pStyle w:val="ListParagraph"/>
        <w:numPr>
          <w:ilvl w:val="0"/>
          <w:numId w:val="6"/>
        </w:numPr>
        <w:tabs>
          <w:tab w:val="left" w:pos="5961"/>
        </w:tabs>
        <w:autoSpaceDE w:val="0"/>
        <w:autoSpaceDN w:val="0"/>
        <w:adjustRightInd w:val="0"/>
        <w:spacing w:after="0" w:line="240" w:lineRule="auto"/>
        <w:ind w:left="426"/>
        <w:rPr>
          <w:rFonts w:cstheme="minorHAnsi"/>
          <w:sz w:val="28"/>
          <w:szCs w:val="28"/>
          <w:lang w:val="en-GB"/>
        </w:rPr>
      </w:pPr>
      <w:r w:rsidRPr="00F10DCA">
        <w:rPr>
          <w:rFonts w:cstheme="minorHAnsi"/>
          <w:sz w:val="28"/>
          <w:szCs w:val="28"/>
        </w:rPr>
        <w:t xml:space="preserve">A consultant psychiatrist has been appointed National Clinical Lead. A Programme Manager has also been appointed. </w:t>
      </w:r>
      <w:r w:rsidRPr="00F10DCA">
        <w:rPr>
          <w:rFonts w:cstheme="minorHAnsi"/>
          <w:sz w:val="28"/>
          <w:szCs w:val="28"/>
          <w:lang w:val="en-GB"/>
        </w:rPr>
        <w:t>They will establish a multidisciplinary steering group to finalise the MoC and select pilot sites to start the programme.</w:t>
      </w:r>
    </w:p>
    <w:p w14:paraId="7F06ECA3" w14:textId="77777777" w:rsidR="00DA6FC1" w:rsidRPr="00F10DCA" w:rsidRDefault="00DA6FC1" w:rsidP="00F10DCA">
      <w:pPr>
        <w:pStyle w:val="ListParagraph"/>
        <w:spacing w:after="0" w:line="240" w:lineRule="auto"/>
        <w:ind w:left="360"/>
        <w:rPr>
          <w:rFonts w:cstheme="minorHAnsi"/>
          <w:sz w:val="28"/>
          <w:szCs w:val="28"/>
          <w:lang w:val="en-GB"/>
        </w:rPr>
      </w:pPr>
    </w:p>
    <w:p w14:paraId="47B12B5D"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lang w:val="en-GB"/>
        </w:rPr>
      </w:pPr>
      <w:r w:rsidRPr="00F10DCA">
        <w:rPr>
          <w:rFonts w:asciiTheme="minorHAnsi" w:hAnsiTheme="minorHAnsi" w:cstheme="minorHAnsi"/>
          <w:i/>
          <w:iCs/>
          <w:color w:val="auto"/>
          <w:sz w:val="28"/>
          <w:szCs w:val="28"/>
          <w:lang w:val="en-GB"/>
        </w:rPr>
        <w:t>Sharing the Vision</w:t>
      </w:r>
      <w:r w:rsidRPr="00F10DCA">
        <w:rPr>
          <w:rFonts w:asciiTheme="minorHAnsi" w:hAnsiTheme="minorHAnsi" w:cstheme="minorHAnsi"/>
          <w:color w:val="auto"/>
          <w:sz w:val="28"/>
          <w:szCs w:val="28"/>
          <w:lang w:val="en-GB"/>
        </w:rPr>
        <w:t xml:space="preserve"> recommends several actions for Dual Diagnosis, with the implementation process led by NIMC and the HSE.</w:t>
      </w:r>
    </w:p>
    <w:p w14:paraId="72D97C41" w14:textId="77777777" w:rsidR="00DA6FC1" w:rsidRPr="00F10DCA" w:rsidRDefault="00DA6FC1" w:rsidP="00F10DCA">
      <w:pPr>
        <w:pStyle w:val="Default"/>
        <w:ind w:left="66"/>
        <w:rPr>
          <w:rFonts w:asciiTheme="minorHAnsi" w:hAnsiTheme="minorHAnsi" w:cstheme="minorHAnsi"/>
          <w:color w:val="auto"/>
          <w:sz w:val="28"/>
          <w:szCs w:val="28"/>
          <w:lang w:val="en-GB"/>
        </w:rPr>
      </w:pPr>
    </w:p>
    <w:p w14:paraId="1C80B1EA"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u w:val="single"/>
        </w:rPr>
      </w:pPr>
      <w:r w:rsidRPr="00F10DCA">
        <w:rPr>
          <w:rFonts w:asciiTheme="minorHAnsi" w:hAnsiTheme="minorHAnsi" w:cstheme="minorHAnsi"/>
          <w:color w:val="auto"/>
          <w:sz w:val="28"/>
          <w:szCs w:val="28"/>
          <w:lang w:val="en-GB"/>
        </w:rPr>
        <w:t xml:space="preserve">HSE Addiction and Mental Health Services and Mental Health Ireland have developed a resource for people affected by Dual Diagnosis, at drugs.ie. It provides advice for people on looking after their mental health during the crisis, including information about accessing mental health and addiction services. </w:t>
      </w:r>
      <w:hyperlink r:id="rId11" w:history="1">
        <w:r w:rsidRPr="00F10DCA">
          <w:rPr>
            <w:rStyle w:val="Hyperlink"/>
            <w:rFonts w:asciiTheme="minorHAnsi" w:hAnsiTheme="minorHAnsi" w:cstheme="minorHAnsi"/>
            <w:color w:val="auto"/>
            <w:sz w:val="28"/>
            <w:szCs w:val="28"/>
            <w:lang w:val="en-GB"/>
          </w:rPr>
          <w:t>http://www.drugs.ie/resources/Covid/</w:t>
        </w:r>
      </w:hyperlink>
    </w:p>
    <w:p w14:paraId="173F6AC6" w14:textId="3D49F22C" w:rsidR="00DA6FC1" w:rsidRPr="00F10DCA" w:rsidRDefault="00DA6FC1" w:rsidP="00F10DCA">
      <w:pPr>
        <w:spacing w:line="240" w:lineRule="auto"/>
        <w:rPr>
          <w:rFonts w:cstheme="minorHAnsi"/>
          <w:sz w:val="28"/>
          <w:szCs w:val="28"/>
        </w:rPr>
      </w:pPr>
    </w:p>
    <w:p w14:paraId="58DC45A5" w14:textId="1568A59C" w:rsidR="00DA6FC1" w:rsidRPr="00F10DCA" w:rsidRDefault="00DA6FC1" w:rsidP="00F10DCA">
      <w:pPr>
        <w:spacing w:line="240" w:lineRule="auto"/>
        <w:rPr>
          <w:rFonts w:cstheme="minorHAnsi"/>
          <w:sz w:val="28"/>
          <w:szCs w:val="28"/>
        </w:rPr>
      </w:pPr>
    </w:p>
    <w:p w14:paraId="3AF88F1D" w14:textId="77777777" w:rsidR="00DA6FC1" w:rsidRPr="00F10DCA" w:rsidRDefault="00DA6FC1" w:rsidP="00F10DCA">
      <w:pPr>
        <w:spacing w:after="0" w:line="240" w:lineRule="auto"/>
        <w:ind w:right="49"/>
        <w:rPr>
          <w:rFonts w:cstheme="minorHAnsi"/>
          <w:sz w:val="28"/>
          <w:szCs w:val="28"/>
        </w:rPr>
      </w:pPr>
      <w:r w:rsidRPr="00F10DCA">
        <w:rPr>
          <w:rFonts w:cstheme="minorHAnsi"/>
          <w:b/>
          <w:bCs/>
          <w:sz w:val="28"/>
          <w:szCs w:val="28"/>
        </w:rPr>
        <w:t>Mental Health Intellectual Disability</w:t>
      </w:r>
    </w:p>
    <w:p w14:paraId="6C972200"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rPr>
      </w:pPr>
      <w:r w:rsidRPr="00F10DCA">
        <w:rPr>
          <w:rFonts w:asciiTheme="minorHAnsi" w:hAnsiTheme="minorHAnsi" w:cstheme="minorHAnsi"/>
          <w:color w:val="auto"/>
          <w:sz w:val="28"/>
          <w:szCs w:val="28"/>
        </w:rPr>
        <w:t>People with intellectual disability should access support from mental health services in the same way as the general population, within a framework which is multi-disciplinary and catchment area-based. Team members should have appropriate training and expertise, and teams should be suitably resourced.</w:t>
      </w:r>
    </w:p>
    <w:p w14:paraId="7D004B5D"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rPr>
      </w:pPr>
      <w:r w:rsidRPr="00F10DCA">
        <w:rPr>
          <w:rFonts w:asciiTheme="minorHAnsi" w:hAnsiTheme="minorHAnsi" w:cstheme="minorHAnsi"/>
          <w:color w:val="auto"/>
          <w:sz w:val="28"/>
          <w:szCs w:val="28"/>
        </w:rPr>
        <w:t>3.8% of the population have intellectual disability (ID). Of this, 3% have mild ID and 0.8% moderate to severe ID. It is recognised that there is an increased prevalence of mental health problems within the ID population. Up to 25% of those with mild to moderate and up to 50% of those with severe to profound ID suffer from mental health problems.</w:t>
      </w:r>
    </w:p>
    <w:p w14:paraId="0F58283F" w14:textId="77777777" w:rsidR="00DA6FC1" w:rsidRPr="00F10DCA" w:rsidRDefault="00DA6FC1" w:rsidP="00F10DCA">
      <w:pPr>
        <w:pStyle w:val="Default"/>
        <w:ind w:left="66"/>
        <w:rPr>
          <w:rFonts w:asciiTheme="minorHAnsi" w:hAnsiTheme="minorHAnsi" w:cstheme="minorHAnsi"/>
          <w:color w:val="auto"/>
          <w:sz w:val="28"/>
          <w:szCs w:val="28"/>
        </w:rPr>
      </w:pPr>
    </w:p>
    <w:p w14:paraId="440CBD4C"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rPr>
      </w:pPr>
      <w:r w:rsidRPr="00F10DCA">
        <w:rPr>
          <w:rFonts w:asciiTheme="minorHAnsi" w:hAnsiTheme="minorHAnsi" w:cstheme="minorHAnsi"/>
          <w:color w:val="auto"/>
          <w:sz w:val="28"/>
          <w:szCs w:val="28"/>
        </w:rPr>
        <w:t xml:space="preserve">The MHID model of care was developed to provide a national vision and strategic direction for the implementation of specialist MHID teams providing person-centred services consistently across the country. </w:t>
      </w:r>
    </w:p>
    <w:p w14:paraId="37C6E03B" w14:textId="77777777" w:rsidR="00DA6FC1" w:rsidRPr="00F10DCA" w:rsidRDefault="00DA6FC1" w:rsidP="00F10DCA">
      <w:pPr>
        <w:pStyle w:val="Default"/>
        <w:ind w:left="66"/>
        <w:rPr>
          <w:rFonts w:asciiTheme="minorHAnsi" w:hAnsiTheme="minorHAnsi" w:cstheme="minorHAnsi"/>
          <w:color w:val="auto"/>
          <w:sz w:val="28"/>
          <w:szCs w:val="28"/>
        </w:rPr>
      </w:pPr>
    </w:p>
    <w:p w14:paraId="6395062E"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rPr>
      </w:pPr>
      <w:r w:rsidRPr="00F10DCA">
        <w:rPr>
          <w:rFonts w:asciiTheme="minorHAnsi" w:hAnsiTheme="minorHAnsi" w:cstheme="minorHAnsi"/>
          <w:color w:val="auto"/>
          <w:sz w:val="28"/>
          <w:szCs w:val="28"/>
        </w:rPr>
        <w:t xml:space="preserve">The model recognises the strengths of existing services while acknowledging the challenges that must be faced. </w:t>
      </w:r>
    </w:p>
    <w:p w14:paraId="671B0F3D" w14:textId="77777777" w:rsidR="00DA6FC1" w:rsidRPr="00F10DCA" w:rsidRDefault="00DA6FC1" w:rsidP="00F10DCA">
      <w:pPr>
        <w:pStyle w:val="Default"/>
        <w:ind w:left="66"/>
        <w:rPr>
          <w:rFonts w:asciiTheme="minorHAnsi" w:hAnsiTheme="minorHAnsi" w:cstheme="minorHAnsi"/>
          <w:color w:val="auto"/>
          <w:sz w:val="28"/>
          <w:szCs w:val="28"/>
        </w:rPr>
      </w:pPr>
    </w:p>
    <w:p w14:paraId="14249305"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rPr>
      </w:pPr>
      <w:r w:rsidRPr="00F10DCA">
        <w:rPr>
          <w:rFonts w:asciiTheme="minorHAnsi" w:hAnsiTheme="minorHAnsi" w:cstheme="minorHAnsi"/>
          <w:color w:val="auto"/>
          <w:sz w:val="28"/>
          <w:szCs w:val="28"/>
        </w:rPr>
        <w:t xml:space="preserve">Teams will provide mental health services to people with moderate to severe ID, and will work together with colleagues in other mental health and disability services, to provide a nationally-agreed quality of care programme. </w:t>
      </w:r>
    </w:p>
    <w:p w14:paraId="5A28E3F5" w14:textId="77777777" w:rsidR="00DA6FC1" w:rsidRPr="00F10DCA" w:rsidRDefault="00DA6FC1" w:rsidP="00F10DCA">
      <w:pPr>
        <w:pStyle w:val="Default"/>
        <w:rPr>
          <w:rFonts w:asciiTheme="minorHAnsi" w:hAnsiTheme="minorHAnsi" w:cstheme="minorHAnsi"/>
          <w:color w:val="auto"/>
          <w:sz w:val="28"/>
          <w:szCs w:val="28"/>
        </w:rPr>
      </w:pPr>
    </w:p>
    <w:p w14:paraId="6DBE103C" w14:textId="77777777" w:rsidR="00DA6FC1" w:rsidRPr="00F10DCA" w:rsidRDefault="00DA6FC1" w:rsidP="00F10DCA">
      <w:pPr>
        <w:pStyle w:val="Default"/>
        <w:numPr>
          <w:ilvl w:val="0"/>
          <w:numId w:val="6"/>
        </w:numPr>
        <w:ind w:left="426"/>
        <w:rPr>
          <w:rFonts w:asciiTheme="minorHAnsi" w:hAnsiTheme="minorHAnsi" w:cstheme="minorHAnsi"/>
          <w:color w:val="auto"/>
          <w:sz w:val="28"/>
          <w:szCs w:val="28"/>
        </w:rPr>
      </w:pPr>
      <w:r w:rsidRPr="00F10DCA">
        <w:rPr>
          <w:rFonts w:asciiTheme="minorHAnsi" w:hAnsiTheme="minorHAnsi" w:cstheme="minorHAnsi"/>
          <w:color w:val="auto"/>
          <w:sz w:val="28"/>
          <w:szCs w:val="28"/>
        </w:rPr>
        <w:t xml:space="preserve">The model also proposes that solutions for people with ID and mental health needs lie in establishing effective partnerships between healthcare providers, service users and their carers, in a community-wide context. </w:t>
      </w:r>
    </w:p>
    <w:p w14:paraId="6AA5FCE7" w14:textId="553171F6" w:rsidR="00DA6FC1" w:rsidRPr="00F10DCA" w:rsidRDefault="00DA6FC1" w:rsidP="00F10DCA">
      <w:pPr>
        <w:spacing w:line="240" w:lineRule="auto"/>
        <w:rPr>
          <w:rFonts w:cstheme="minorHAnsi"/>
          <w:sz w:val="28"/>
          <w:szCs w:val="28"/>
        </w:rPr>
      </w:pPr>
    </w:p>
    <w:p w14:paraId="64EDD118" w14:textId="127B60AF" w:rsidR="00224863" w:rsidRPr="00F10DCA" w:rsidRDefault="00224863" w:rsidP="00F10DCA">
      <w:pPr>
        <w:spacing w:line="240" w:lineRule="auto"/>
        <w:rPr>
          <w:rFonts w:cstheme="minorHAnsi"/>
          <w:sz w:val="28"/>
          <w:szCs w:val="28"/>
        </w:rPr>
      </w:pPr>
    </w:p>
    <w:p w14:paraId="5F4C7A0D" w14:textId="1EBD7772" w:rsidR="00224863" w:rsidRPr="00683BAC" w:rsidRDefault="00CF4FFE" w:rsidP="00F10DCA">
      <w:pPr>
        <w:keepNext/>
        <w:keepLines/>
        <w:spacing w:before="240" w:after="0" w:line="240" w:lineRule="auto"/>
        <w:outlineLvl w:val="0"/>
        <w:rPr>
          <w:rFonts w:eastAsiaTheme="majorEastAsia" w:cstheme="minorHAnsi"/>
          <w:b/>
          <w:bCs/>
          <w:sz w:val="32"/>
          <w:szCs w:val="32"/>
        </w:rPr>
      </w:pPr>
      <w:bookmarkStart w:id="10" w:name="_Toc70510991"/>
      <w:r w:rsidRPr="00683BAC">
        <w:rPr>
          <w:rFonts w:eastAsiaTheme="majorEastAsia" w:cstheme="minorHAnsi"/>
          <w:b/>
          <w:bCs/>
          <w:sz w:val="32"/>
          <w:szCs w:val="32"/>
        </w:rPr>
        <w:t>11.</w:t>
      </w:r>
      <w:r w:rsidRPr="00683BAC">
        <w:rPr>
          <w:rFonts w:eastAsiaTheme="majorEastAsia" w:cstheme="minorHAnsi"/>
          <w:b/>
          <w:bCs/>
          <w:sz w:val="32"/>
          <w:szCs w:val="32"/>
        </w:rPr>
        <w:tab/>
      </w:r>
      <w:r w:rsidR="00224863" w:rsidRPr="00683BAC">
        <w:rPr>
          <w:rFonts w:eastAsiaTheme="majorEastAsia" w:cstheme="minorHAnsi"/>
          <w:b/>
          <w:bCs/>
          <w:sz w:val="32"/>
          <w:szCs w:val="32"/>
          <w:u w:val="single"/>
        </w:rPr>
        <w:t>Counselling In Primary Care (CIPC)</w:t>
      </w:r>
      <w:bookmarkEnd w:id="10"/>
    </w:p>
    <w:p w14:paraId="13F33BDD" w14:textId="77777777" w:rsidR="00224863" w:rsidRPr="00F10DCA" w:rsidRDefault="00224863" w:rsidP="00F10DCA">
      <w:pPr>
        <w:spacing w:after="0" w:line="240" w:lineRule="auto"/>
        <w:ind w:left="426"/>
        <w:contextualSpacing/>
        <w:rPr>
          <w:rFonts w:cstheme="minorHAnsi"/>
          <w:sz w:val="28"/>
          <w:szCs w:val="28"/>
        </w:rPr>
      </w:pPr>
    </w:p>
    <w:p w14:paraId="754C396A" w14:textId="77777777" w:rsidR="00224863" w:rsidRPr="00F10DCA" w:rsidRDefault="00224863" w:rsidP="00F10DCA">
      <w:pPr>
        <w:numPr>
          <w:ilvl w:val="0"/>
          <w:numId w:val="1"/>
        </w:numPr>
        <w:spacing w:after="0" w:line="240" w:lineRule="auto"/>
        <w:ind w:left="426"/>
        <w:contextualSpacing/>
        <w:rPr>
          <w:rFonts w:cstheme="minorHAnsi"/>
          <w:sz w:val="28"/>
          <w:szCs w:val="28"/>
          <w:lang w:eastAsia="en-IE"/>
        </w:rPr>
      </w:pPr>
      <w:r w:rsidRPr="00F10DCA">
        <w:rPr>
          <w:rFonts w:cstheme="minorHAnsi"/>
          <w:sz w:val="28"/>
          <w:szCs w:val="28"/>
        </w:rPr>
        <w:t>CIPC is a mental health service provided in a primary care setting. It is overseen by Mental Health Unit in DH.</w:t>
      </w:r>
    </w:p>
    <w:p w14:paraId="08439730" w14:textId="77777777" w:rsidR="00224863" w:rsidRPr="00F10DCA" w:rsidRDefault="00224863" w:rsidP="00F10DCA">
      <w:pPr>
        <w:spacing w:after="0" w:line="240" w:lineRule="auto"/>
        <w:ind w:left="66"/>
        <w:rPr>
          <w:rFonts w:cstheme="minorHAnsi"/>
          <w:sz w:val="28"/>
          <w:szCs w:val="28"/>
          <w:lang w:eastAsia="en-IE"/>
        </w:rPr>
      </w:pPr>
    </w:p>
    <w:p w14:paraId="49F130BC" w14:textId="422A8EAA" w:rsidR="00224863" w:rsidRPr="007328AD" w:rsidRDefault="00224863" w:rsidP="007328AD">
      <w:pPr>
        <w:numPr>
          <w:ilvl w:val="0"/>
          <w:numId w:val="1"/>
        </w:numPr>
        <w:spacing w:after="0" w:line="240" w:lineRule="auto"/>
        <w:ind w:left="426"/>
        <w:contextualSpacing/>
        <w:rPr>
          <w:rFonts w:cstheme="minorHAnsi"/>
          <w:sz w:val="28"/>
          <w:szCs w:val="28"/>
        </w:rPr>
      </w:pPr>
      <w:r w:rsidRPr="00F10DCA">
        <w:rPr>
          <w:rFonts w:cstheme="minorHAnsi"/>
          <w:sz w:val="28"/>
          <w:szCs w:val="28"/>
        </w:rPr>
        <w:t xml:space="preserve">This service is available to </w:t>
      </w:r>
      <w:r w:rsidRPr="00F10DCA">
        <w:rPr>
          <w:rFonts w:cstheme="minorHAnsi"/>
          <w:b/>
          <w:sz w:val="28"/>
          <w:szCs w:val="28"/>
        </w:rPr>
        <w:t>adult</w:t>
      </w:r>
      <w:r w:rsidRPr="00F10DCA">
        <w:rPr>
          <w:rFonts w:cstheme="minorHAnsi"/>
          <w:sz w:val="28"/>
          <w:szCs w:val="28"/>
        </w:rPr>
        <w:t xml:space="preserve"> </w:t>
      </w:r>
      <w:r w:rsidRPr="00F10DCA">
        <w:rPr>
          <w:rFonts w:cstheme="minorHAnsi"/>
          <w:b/>
          <w:sz w:val="28"/>
          <w:szCs w:val="28"/>
        </w:rPr>
        <w:t>medical card holders</w:t>
      </w:r>
      <w:r w:rsidRPr="00F10DCA">
        <w:rPr>
          <w:rFonts w:cstheme="minorHAnsi"/>
          <w:sz w:val="28"/>
          <w:szCs w:val="28"/>
        </w:rPr>
        <w:t xml:space="preserve"> who are experiencing mild to moderate psychological and emotional difficulties, such as depression, anxiety, panic reactions, relationship problems, loss issues and stress. Many people currently attending have sought counselling to address the impact of the pandemic.</w:t>
      </w:r>
      <w:r w:rsidR="007328AD">
        <w:rPr>
          <w:rFonts w:cstheme="minorHAnsi"/>
          <w:sz w:val="28"/>
          <w:szCs w:val="28"/>
        </w:rPr>
        <w:t xml:space="preserve"> </w:t>
      </w:r>
      <w:r w:rsidRPr="007328AD">
        <w:rPr>
          <w:rFonts w:cstheme="minorHAnsi"/>
          <w:sz w:val="28"/>
          <w:szCs w:val="28"/>
          <w:lang w:eastAsia="en-IE"/>
        </w:rPr>
        <w:t>CIPC receives an average of nearly 20,000 referrals a year. Referrals are from GPs for adults with medical cards only.</w:t>
      </w:r>
    </w:p>
    <w:p w14:paraId="44E780C7" w14:textId="77777777" w:rsidR="00224863" w:rsidRPr="00F10DCA" w:rsidRDefault="00224863" w:rsidP="00F10DCA">
      <w:pPr>
        <w:spacing w:after="0" w:line="240" w:lineRule="auto"/>
        <w:ind w:left="66"/>
        <w:rPr>
          <w:rFonts w:cstheme="minorHAnsi"/>
          <w:sz w:val="28"/>
          <w:szCs w:val="28"/>
          <w:lang w:eastAsia="en-IE"/>
        </w:rPr>
      </w:pPr>
    </w:p>
    <w:p w14:paraId="00441C07" w14:textId="77777777" w:rsidR="00224863" w:rsidRPr="00F10DCA" w:rsidRDefault="00224863" w:rsidP="00F10DCA">
      <w:pPr>
        <w:numPr>
          <w:ilvl w:val="0"/>
          <w:numId w:val="1"/>
        </w:numPr>
        <w:spacing w:after="0" w:line="240" w:lineRule="auto"/>
        <w:ind w:left="426"/>
        <w:contextualSpacing/>
        <w:rPr>
          <w:rFonts w:cstheme="minorHAnsi"/>
          <w:sz w:val="28"/>
          <w:szCs w:val="28"/>
          <w:lang w:eastAsia="en-IE"/>
        </w:rPr>
      </w:pPr>
      <w:r w:rsidRPr="00F10DCA">
        <w:rPr>
          <w:rFonts w:cstheme="minorHAnsi"/>
          <w:sz w:val="28"/>
          <w:szCs w:val="28"/>
          <w:lang w:eastAsia="en-IE"/>
        </w:rPr>
        <w:t>CIPC costs €7.4m a year. Expansion of CIPC, for universal access to free counselling services on GP referral, needs to consider the direct and indirect costs of increased provision. See the table below.</w:t>
      </w:r>
    </w:p>
    <w:p w14:paraId="4FF3E1D4" w14:textId="77777777" w:rsidR="00224863" w:rsidRPr="00F10DCA" w:rsidRDefault="00224863" w:rsidP="00F10DCA">
      <w:pPr>
        <w:spacing w:after="0" w:line="240" w:lineRule="auto"/>
        <w:ind w:left="720"/>
        <w:contextualSpacing/>
        <w:rPr>
          <w:rFonts w:cstheme="minorHAnsi"/>
          <w:sz w:val="28"/>
          <w:szCs w:val="28"/>
          <w:lang w:eastAsia="en-IE"/>
        </w:rPr>
      </w:pPr>
    </w:p>
    <w:tbl>
      <w:tblPr>
        <w:tblW w:w="8819" w:type="dxa"/>
        <w:tblInd w:w="117" w:type="dxa"/>
        <w:tblLayout w:type="fixed"/>
        <w:tblCellMar>
          <w:left w:w="0" w:type="dxa"/>
          <w:right w:w="0" w:type="dxa"/>
        </w:tblCellMar>
        <w:tblLook w:val="0000" w:firstRow="0" w:lastRow="0" w:firstColumn="0" w:lastColumn="0" w:noHBand="0" w:noVBand="0"/>
      </w:tblPr>
      <w:tblGrid>
        <w:gridCol w:w="7259"/>
        <w:gridCol w:w="1560"/>
      </w:tblGrid>
      <w:tr w:rsidR="001C1818" w:rsidRPr="00F10DCA" w14:paraId="7C110B4A" w14:textId="77777777" w:rsidTr="00D33884">
        <w:trPr>
          <w:trHeight w:val="268"/>
        </w:trPr>
        <w:tc>
          <w:tcPr>
            <w:tcW w:w="725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A2B5F14" w14:textId="77777777" w:rsidR="00224863" w:rsidRPr="00F10DCA" w:rsidRDefault="00224863" w:rsidP="00F10DCA">
            <w:pPr>
              <w:kinsoku w:val="0"/>
              <w:overflowPunct w:val="0"/>
              <w:autoSpaceDE w:val="0"/>
              <w:autoSpaceDN w:val="0"/>
              <w:adjustRightInd w:val="0"/>
              <w:spacing w:after="0" w:line="240" w:lineRule="auto"/>
              <w:ind w:left="468"/>
              <w:rPr>
                <w:rFonts w:cstheme="minorHAnsi"/>
                <w:b/>
                <w:bCs/>
                <w:sz w:val="28"/>
                <w:szCs w:val="28"/>
                <w:lang w:val="en-GB"/>
              </w:rPr>
            </w:pPr>
            <w:r w:rsidRPr="00F10DCA">
              <w:rPr>
                <w:rFonts w:cstheme="minorHAnsi"/>
                <w:b/>
                <w:bCs/>
                <w:sz w:val="28"/>
                <w:szCs w:val="28"/>
                <w:lang w:val="en-GB"/>
              </w:rPr>
              <w:t>Provision</w:t>
            </w:r>
            <w:r w:rsidRPr="00F10DCA">
              <w:rPr>
                <w:rFonts w:cstheme="minorHAnsi"/>
                <w:b/>
                <w:bCs/>
                <w:spacing w:val="-2"/>
                <w:sz w:val="28"/>
                <w:szCs w:val="28"/>
                <w:lang w:val="en-GB"/>
              </w:rPr>
              <w:t xml:space="preserve"> </w:t>
            </w:r>
            <w:r w:rsidRPr="00F10DCA">
              <w:rPr>
                <w:rFonts w:cstheme="minorHAnsi"/>
                <w:b/>
                <w:bCs/>
                <w:sz w:val="28"/>
                <w:szCs w:val="28"/>
                <w:lang w:val="en-GB"/>
              </w:rPr>
              <w:t>of</w:t>
            </w:r>
            <w:r w:rsidRPr="00F10DCA">
              <w:rPr>
                <w:rFonts w:cstheme="minorHAnsi"/>
                <w:b/>
                <w:bCs/>
                <w:spacing w:val="-1"/>
                <w:sz w:val="28"/>
                <w:szCs w:val="28"/>
                <w:lang w:val="en-GB"/>
              </w:rPr>
              <w:t xml:space="preserve"> </w:t>
            </w:r>
            <w:r w:rsidRPr="00F10DCA">
              <w:rPr>
                <w:rFonts w:cstheme="minorHAnsi"/>
                <w:b/>
                <w:bCs/>
                <w:sz w:val="28"/>
                <w:szCs w:val="28"/>
                <w:lang w:val="en-GB"/>
              </w:rPr>
              <w:t>Universal</w:t>
            </w:r>
            <w:r w:rsidRPr="00F10DCA">
              <w:rPr>
                <w:rFonts w:cstheme="minorHAnsi"/>
                <w:b/>
                <w:bCs/>
                <w:spacing w:val="-3"/>
                <w:sz w:val="28"/>
                <w:szCs w:val="28"/>
                <w:lang w:val="en-GB"/>
              </w:rPr>
              <w:t xml:space="preserve"> </w:t>
            </w:r>
            <w:r w:rsidRPr="00F10DCA">
              <w:rPr>
                <w:rFonts w:cstheme="minorHAnsi"/>
                <w:b/>
                <w:bCs/>
                <w:sz w:val="28"/>
                <w:szCs w:val="28"/>
                <w:lang w:val="en-GB"/>
              </w:rPr>
              <w:t>Access to</w:t>
            </w:r>
            <w:r w:rsidRPr="00F10DCA">
              <w:rPr>
                <w:rFonts w:cstheme="minorHAnsi"/>
                <w:b/>
                <w:bCs/>
                <w:spacing w:val="-2"/>
                <w:sz w:val="28"/>
                <w:szCs w:val="28"/>
                <w:lang w:val="en-GB"/>
              </w:rPr>
              <w:t xml:space="preserve"> </w:t>
            </w:r>
            <w:r w:rsidRPr="00F10DCA">
              <w:rPr>
                <w:rFonts w:cstheme="minorHAnsi"/>
                <w:b/>
                <w:bCs/>
                <w:sz w:val="28"/>
                <w:szCs w:val="28"/>
                <w:lang w:val="en-GB"/>
              </w:rPr>
              <w:t>Free</w:t>
            </w:r>
            <w:r w:rsidRPr="00F10DCA">
              <w:rPr>
                <w:rFonts w:cstheme="minorHAnsi"/>
                <w:b/>
                <w:bCs/>
                <w:spacing w:val="-1"/>
                <w:sz w:val="28"/>
                <w:szCs w:val="28"/>
                <w:lang w:val="en-GB"/>
              </w:rPr>
              <w:t xml:space="preserve"> </w:t>
            </w:r>
            <w:r w:rsidRPr="00F10DCA">
              <w:rPr>
                <w:rFonts w:cstheme="minorHAnsi"/>
                <w:b/>
                <w:bCs/>
                <w:sz w:val="28"/>
                <w:szCs w:val="28"/>
                <w:lang w:val="en-GB"/>
              </w:rPr>
              <w:t>Counselling</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EB5B0E" w14:textId="77777777" w:rsidR="00224863" w:rsidRPr="00F10DCA" w:rsidRDefault="00224863" w:rsidP="00F10DCA">
            <w:pPr>
              <w:kinsoku w:val="0"/>
              <w:overflowPunct w:val="0"/>
              <w:autoSpaceDE w:val="0"/>
              <w:autoSpaceDN w:val="0"/>
              <w:adjustRightInd w:val="0"/>
              <w:spacing w:after="0" w:line="240" w:lineRule="auto"/>
              <w:ind w:left="370"/>
              <w:jc w:val="center"/>
              <w:rPr>
                <w:rFonts w:cstheme="minorHAnsi"/>
                <w:b/>
                <w:bCs/>
                <w:sz w:val="28"/>
                <w:szCs w:val="28"/>
                <w:lang w:val="en-GB"/>
              </w:rPr>
            </w:pPr>
            <w:r w:rsidRPr="00F10DCA">
              <w:rPr>
                <w:rFonts w:cstheme="minorHAnsi"/>
                <w:b/>
                <w:bCs/>
                <w:sz w:val="28"/>
                <w:szCs w:val="28"/>
                <w:lang w:val="en-GB"/>
              </w:rPr>
              <w:t>€</w:t>
            </w:r>
          </w:p>
        </w:tc>
      </w:tr>
      <w:tr w:rsidR="001C1818" w:rsidRPr="00F10DCA" w14:paraId="5AA07672" w14:textId="77777777" w:rsidTr="00D33884">
        <w:trPr>
          <w:trHeight w:val="268"/>
        </w:trPr>
        <w:tc>
          <w:tcPr>
            <w:tcW w:w="7259" w:type="dxa"/>
            <w:tcBorders>
              <w:top w:val="single" w:sz="4" w:space="0" w:color="000000"/>
              <w:left w:val="single" w:sz="4" w:space="0" w:color="000000"/>
              <w:bottom w:val="single" w:sz="4" w:space="0" w:color="000000"/>
              <w:right w:val="single" w:sz="4" w:space="0" w:color="000000"/>
            </w:tcBorders>
            <w:vAlign w:val="bottom"/>
          </w:tcPr>
          <w:p w14:paraId="34EB029B" w14:textId="77777777" w:rsidR="00224863" w:rsidRPr="00F10DCA" w:rsidRDefault="00224863" w:rsidP="00F10DCA">
            <w:pPr>
              <w:kinsoku w:val="0"/>
              <w:overflowPunct w:val="0"/>
              <w:autoSpaceDE w:val="0"/>
              <w:autoSpaceDN w:val="0"/>
              <w:adjustRightInd w:val="0"/>
              <w:spacing w:after="0" w:line="240" w:lineRule="auto"/>
              <w:ind w:left="468"/>
              <w:rPr>
                <w:rFonts w:cstheme="minorHAnsi"/>
                <w:sz w:val="28"/>
                <w:szCs w:val="28"/>
                <w:lang w:val="en-GB"/>
              </w:rPr>
            </w:pPr>
            <w:r w:rsidRPr="00F10DCA">
              <w:rPr>
                <w:rFonts w:cstheme="minorHAnsi"/>
                <w:sz w:val="28"/>
                <w:szCs w:val="28"/>
                <w:lang w:val="en-GB"/>
              </w:rPr>
              <w:t>Cost per counselling</w:t>
            </w:r>
            <w:r w:rsidRPr="00F10DCA">
              <w:rPr>
                <w:rFonts w:cstheme="minorHAnsi"/>
                <w:spacing w:val="-1"/>
                <w:sz w:val="28"/>
                <w:szCs w:val="28"/>
                <w:lang w:val="en-GB"/>
              </w:rPr>
              <w:t xml:space="preserve"> </w:t>
            </w:r>
            <w:r w:rsidRPr="00F10DCA">
              <w:rPr>
                <w:rFonts w:cstheme="minorHAnsi"/>
                <w:sz w:val="28"/>
                <w:szCs w:val="28"/>
                <w:lang w:val="en-GB"/>
              </w:rPr>
              <w:t>session</w:t>
            </w:r>
          </w:p>
        </w:tc>
        <w:tc>
          <w:tcPr>
            <w:tcW w:w="1560" w:type="dxa"/>
            <w:tcBorders>
              <w:top w:val="single" w:sz="4" w:space="0" w:color="000000"/>
              <w:left w:val="single" w:sz="4" w:space="0" w:color="000000"/>
              <w:bottom w:val="single" w:sz="4" w:space="0" w:color="000000"/>
              <w:right w:val="single" w:sz="4" w:space="0" w:color="000000"/>
            </w:tcBorders>
            <w:vAlign w:val="center"/>
          </w:tcPr>
          <w:p w14:paraId="36CFBD5D" w14:textId="77777777" w:rsidR="00224863" w:rsidRPr="00F10DCA" w:rsidRDefault="00224863" w:rsidP="00F10DCA">
            <w:pPr>
              <w:kinsoku w:val="0"/>
              <w:overflowPunct w:val="0"/>
              <w:autoSpaceDE w:val="0"/>
              <w:autoSpaceDN w:val="0"/>
              <w:adjustRightInd w:val="0"/>
              <w:spacing w:after="0" w:line="240" w:lineRule="auto"/>
              <w:ind w:right="94"/>
              <w:jc w:val="center"/>
              <w:rPr>
                <w:rFonts w:cstheme="minorHAnsi"/>
                <w:sz w:val="28"/>
                <w:szCs w:val="28"/>
                <w:lang w:val="en-GB"/>
              </w:rPr>
            </w:pPr>
            <w:r w:rsidRPr="00F10DCA">
              <w:rPr>
                <w:rFonts w:cstheme="minorHAnsi"/>
                <w:sz w:val="28"/>
                <w:szCs w:val="28"/>
                <w:lang w:val="en-GB"/>
              </w:rPr>
              <w:t>78.15</w:t>
            </w:r>
          </w:p>
        </w:tc>
      </w:tr>
      <w:tr w:rsidR="001C1818" w:rsidRPr="00F10DCA" w14:paraId="16F07312" w14:textId="77777777" w:rsidTr="00D33884">
        <w:trPr>
          <w:trHeight w:val="537"/>
        </w:trPr>
        <w:tc>
          <w:tcPr>
            <w:tcW w:w="7259" w:type="dxa"/>
            <w:tcBorders>
              <w:top w:val="single" w:sz="4" w:space="0" w:color="000000"/>
              <w:left w:val="single" w:sz="4" w:space="0" w:color="000000"/>
              <w:bottom w:val="single" w:sz="4" w:space="0" w:color="000000"/>
              <w:right w:val="single" w:sz="4" w:space="0" w:color="000000"/>
            </w:tcBorders>
            <w:vAlign w:val="bottom"/>
          </w:tcPr>
          <w:p w14:paraId="58ECCF33" w14:textId="77777777" w:rsidR="00224863" w:rsidRPr="00F10DCA" w:rsidRDefault="00224863" w:rsidP="00F10DCA">
            <w:pPr>
              <w:kinsoku w:val="0"/>
              <w:overflowPunct w:val="0"/>
              <w:autoSpaceDE w:val="0"/>
              <w:autoSpaceDN w:val="0"/>
              <w:adjustRightInd w:val="0"/>
              <w:spacing w:after="0" w:line="240" w:lineRule="auto"/>
              <w:ind w:left="468"/>
              <w:rPr>
                <w:rFonts w:cstheme="minorHAnsi"/>
                <w:sz w:val="28"/>
                <w:szCs w:val="28"/>
                <w:lang w:val="en-GB"/>
              </w:rPr>
            </w:pPr>
            <w:r w:rsidRPr="00F10DCA">
              <w:rPr>
                <w:rFonts w:cstheme="minorHAnsi"/>
                <w:sz w:val="28"/>
                <w:szCs w:val="28"/>
                <w:lang w:val="en-GB"/>
              </w:rPr>
              <w:t>Cost</w:t>
            </w:r>
            <w:r w:rsidRPr="00F10DCA">
              <w:rPr>
                <w:rFonts w:cstheme="minorHAnsi"/>
                <w:spacing w:val="31"/>
                <w:sz w:val="28"/>
                <w:szCs w:val="28"/>
                <w:lang w:val="en-GB"/>
              </w:rPr>
              <w:t xml:space="preserve"> </w:t>
            </w:r>
            <w:r w:rsidRPr="00F10DCA">
              <w:rPr>
                <w:rFonts w:cstheme="minorHAnsi"/>
                <w:sz w:val="28"/>
                <w:szCs w:val="28"/>
                <w:lang w:val="en-GB"/>
              </w:rPr>
              <w:t>per</w:t>
            </w:r>
            <w:r w:rsidRPr="00F10DCA">
              <w:rPr>
                <w:rFonts w:cstheme="minorHAnsi"/>
                <w:spacing w:val="34"/>
                <w:sz w:val="28"/>
                <w:szCs w:val="28"/>
                <w:lang w:val="en-GB"/>
              </w:rPr>
              <w:t xml:space="preserve"> </w:t>
            </w:r>
            <w:r w:rsidRPr="00F10DCA">
              <w:rPr>
                <w:rFonts w:cstheme="minorHAnsi"/>
                <w:sz w:val="28"/>
                <w:szCs w:val="28"/>
                <w:lang w:val="en-GB"/>
              </w:rPr>
              <w:t>completed</w:t>
            </w:r>
            <w:r w:rsidRPr="00F10DCA">
              <w:rPr>
                <w:rFonts w:cstheme="minorHAnsi"/>
                <w:spacing w:val="33"/>
                <w:sz w:val="28"/>
                <w:szCs w:val="28"/>
                <w:lang w:val="en-GB"/>
              </w:rPr>
              <w:t xml:space="preserve"> </w:t>
            </w:r>
            <w:r w:rsidRPr="00F10DCA">
              <w:rPr>
                <w:rFonts w:cstheme="minorHAnsi"/>
                <w:sz w:val="28"/>
                <w:szCs w:val="28"/>
                <w:lang w:val="en-GB"/>
              </w:rPr>
              <w:t>course</w:t>
            </w:r>
            <w:r w:rsidRPr="00F10DCA">
              <w:rPr>
                <w:rFonts w:cstheme="minorHAnsi"/>
                <w:spacing w:val="34"/>
                <w:sz w:val="28"/>
                <w:szCs w:val="28"/>
                <w:lang w:val="en-GB"/>
              </w:rPr>
              <w:t xml:space="preserve"> </w:t>
            </w:r>
            <w:r w:rsidRPr="00F10DCA">
              <w:rPr>
                <w:rFonts w:cstheme="minorHAnsi"/>
                <w:sz w:val="28"/>
                <w:szCs w:val="28"/>
                <w:lang w:val="en-GB"/>
              </w:rPr>
              <w:t>of</w:t>
            </w:r>
            <w:r w:rsidRPr="00F10DCA">
              <w:rPr>
                <w:rFonts w:cstheme="minorHAnsi"/>
                <w:spacing w:val="31"/>
                <w:sz w:val="28"/>
                <w:szCs w:val="28"/>
                <w:lang w:val="en-GB"/>
              </w:rPr>
              <w:t xml:space="preserve"> </w:t>
            </w:r>
            <w:r w:rsidRPr="00F10DCA">
              <w:rPr>
                <w:rFonts w:cstheme="minorHAnsi"/>
                <w:sz w:val="28"/>
                <w:szCs w:val="28"/>
                <w:lang w:val="en-GB"/>
              </w:rPr>
              <w:t>counselling</w:t>
            </w:r>
            <w:r w:rsidRPr="00F10DCA">
              <w:rPr>
                <w:rFonts w:cstheme="minorHAnsi"/>
                <w:spacing w:val="32"/>
                <w:sz w:val="28"/>
                <w:szCs w:val="28"/>
                <w:lang w:val="en-GB"/>
              </w:rPr>
              <w:t xml:space="preserve"> </w:t>
            </w:r>
            <w:r w:rsidRPr="00F10DCA">
              <w:rPr>
                <w:rFonts w:cstheme="minorHAnsi"/>
                <w:sz w:val="28"/>
                <w:szCs w:val="28"/>
                <w:lang w:val="en-GB"/>
              </w:rPr>
              <w:t>(average</w:t>
            </w:r>
            <w:r w:rsidRPr="00F10DCA">
              <w:rPr>
                <w:rFonts w:cstheme="minorHAnsi"/>
                <w:spacing w:val="31"/>
                <w:sz w:val="28"/>
                <w:szCs w:val="28"/>
                <w:lang w:val="en-GB"/>
              </w:rPr>
              <w:t xml:space="preserve"> </w:t>
            </w:r>
            <w:r w:rsidRPr="00F10DCA">
              <w:rPr>
                <w:rFonts w:cstheme="minorHAnsi"/>
                <w:sz w:val="28"/>
                <w:szCs w:val="28"/>
                <w:lang w:val="en-GB"/>
              </w:rPr>
              <w:t>6</w:t>
            </w:r>
            <w:r w:rsidRPr="00F10DCA">
              <w:rPr>
                <w:rFonts w:cstheme="minorHAnsi"/>
                <w:spacing w:val="35"/>
                <w:sz w:val="28"/>
                <w:szCs w:val="28"/>
                <w:lang w:val="en-GB"/>
              </w:rPr>
              <w:t xml:space="preserve"> </w:t>
            </w:r>
            <w:r w:rsidRPr="00F10DCA">
              <w:rPr>
                <w:rFonts w:cstheme="minorHAnsi"/>
                <w:sz w:val="28"/>
                <w:szCs w:val="28"/>
                <w:lang w:val="en-GB"/>
              </w:rPr>
              <w:t>sessions for</w:t>
            </w:r>
            <w:r w:rsidRPr="00F10DCA">
              <w:rPr>
                <w:rFonts w:cstheme="minorHAnsi"/>
                <w:spacing w:val="-1"/>
                <w:sz w:val="28"/>
                <w:szCs w:val="28"/>
                <w:lang w:val="en-GB"/>
              </w:rPr>
              <w:t xml:space="preserve"> </w:t>
            </w:r>
            <w:r w:rsidRPr="00F10DCA">
              <w:rPr>
                <w:rFonts w:cstheme="minorHAnsi"/>
                <w:sz w:val="28"/>
                <w:szCs w:val="28"/>
                <w:lang w:val="en-GB"/>
              </w:rPr>
              <w:t>an additional</w:t>
            </w:r>
            <w:r w:rsidRPr="00F10DCA">
              <w:rPr>
                <w:rFonts w:cstheme="minorHAnsi"/>
                <w:spacing w:val="-3"/>
                <w:sz w:val="28"/>
                <w:szCs w:val="28"/>
                <w:lang w:val="en-GB"/>
              </w:rPr>
              <w:t xml:space="preserve"> </w:t>
            </w:r>
            <w:r w:rsidRPr="00F10DCA">
              <w:rPr>
                <w:rFonts w:cstheme="minorHAnsi"/>
                <w:sz w:val="28"/>
                <w:szCs w:val="28"/>
                <w:lang w:val="en-GB"/>
              </w:rPr>
              <w:t>40,000 referrals per</w:t>
            </w:r>
            <w:r w:rsidRPr="00F10DCA">
              <w:rPr>
                <w:rFonts w:cstheme="minorHAnsi"/>
                <w:spacing w:val="-3"/>
                <w:sz w:val="28"/>
                <w:szCs w:val="28"/>
                <w:lang w:val="en-GB"/>
              </w:rPr>
              <w:t xml:space="preserve"> </w:t>
            </w:r>
            <w:r w:rsidRPr="00F10DCA">
              <w:rPr>
                <w:rFonts w:cstheme="minorHAnsi"/>
                <w:sz w:val="28"/>
                <w:szCs w:val="28"/>
                <w:lang w:val="en-GB"/>
              </w:rPr>
              <w:t>year)</w:t>
            </w:r>
          </w:p>
        </w:tc>
        <w:tc>
          <w:tcPr>
            <w:tcW w:w="1560" w:type="dxa"/>
            <w:tcBorders>
              <w:top w:val="single" w:sz="4" w:space="0" w:color="000000"/>
              <w:left w:val="single" w:sz="4" w:space="0" w:color="000000"/>
              <w:bottom w:val="single" w:sz="4" w:space="0" w:color="000000"/>
              <w:right w:val="single" w:sz="4" w:space="0" w:color="000000"/>
            </w:tcBorders>
            <w:vAlign w:val="center"/>
          </w:tcPr>
          <w:p w14:paraId="0FD5C4ED" w14:textId="77777777" w:rsidR="00224863" w:rsidRPr="00F10DCA" w:rsidRDefault="00224863" w:rsidP="00F10DCA">
            <w:pPr>
              <w:kinsoku w:val="0"/>
              <w:overflowPunct w:val="0"/>
              <w:autoSpaceDE w:val="0"/>
              <w:autoSpaceDN w:val="0"/>
              <w:adjustRightInd w:val="0"/>
              <w:spacing w:after="0" w:line="240" w:lineRule="auto"/>
              <w:ind w:right="94"/>
              <w:jc w:val="center"/>
              <w:rPr>
                <w:rFonts w:cstheme="minorHAnsi"/>
                <w:sz w:val="28"/>
                <w:szCs w:val="28"/>
                <w:lang w:val="en-GB"/>
              </w:rPr>
            </w:pPr>
            <w:r w:rsidRPr="00F10DCA">
              <w:rPr>
                <w:rFonts w:cstheme="minorHAnsi"/>
                <w:sz w:val="28"/>
                <w:szCs w:val="28"/>
                <w:lang w:val="en-GB"/>
              </w:rPr>
              <w:t>18,756,000</w:t>
            </w:r>
          </w:p>
        </w:tc>
      </w:tr>
      <w:tr w:rsidR="001C1818" w:rsidRPr="00F10DCA" w14:paraId="74E281BF" w14:textId="77777777" w:rsidTr="00D33884">
        <w:trPr>
          <w:trHeight w:val="268"/>
        </w:trPr>
        <w:tc>
          <w:tcPr>
            <w:tcW w:w="7259" w:type="dxa"/>
            <w:tcBorders>
              <w:top w:val="single" w:sz="4" w:space="0" w:color="000000"/>
              <w:left w:val="single" w:sz="4" w:space="0" w:color="000000"/>
              <w:bottom w:val="single" w:sz="4" w:space="0" w:color="000000"/>
              <w:right w:val="single" w:sz="4" w:space="0" w:color="000000"/>
            </w:tcBorders>
            <w:vAlign w:val="bottom"/>
          </w:tcPr>
          <w:p w14:paraId="217B2B25" w14:textId="77777777" w:rsidR="00224863" w:rsidRPr="00F10DCA" w:rsidRDefault="00224863" w:rsidP="00F10DCA">
            <w:pPr>
              <w:kinsoku w:val="0"/>
              <w:overflowPunct w:val="0"/>
              <w:autoSpaceDE w:val="0"/>
              <w:autoSpaceDN w:val="0"/>
              <w:adjustRightInd w:val="0"/>
              <w:spacing w:after="0" w:line="240" w:lineRule="auto"/>
              <w:ind w:left="468"/>
              <w:rPr>
                <w:rFonts w:cstheme="minorHAnsi"/>
                <w:sz w:val="28"/>
                <w:szCs w:val="28"/>
                <w:lang w:val="en-GB"/>
              </w:rPr>
            </w:pPr>
            <w:r w:rsidRPr="00F10DCA">
              <w:rPr>
                <w:rFonts w:cstheme="minorHAnsi"/>
                <w:sz w:val="28"/>
                <w:szCs w:val="28"/>
                <w:lang w:val="en-GB"/>
              </w:rPr>
              <w:t>30</w:t>
            </w:r>
            <w:r w:rsidRPr="00F10DCA">
              <w:rPr>
                <w:rFonts w:cstheme="minorHAnsi"/>
                <w:spacing w:val="-1"/>
                <w:sz w:val="28"/>
                <w:szCs w:val="28"/>
                <w:lang w:val="en-GB"/>
              </w:rPr>
              <w:t xml:space="preserve"> </w:t>
            </w:r>
            <w:r w:rsidRPr="00F10DCA">
              <w:rPr>
                <w:rFonts w:cstheme="minorHAnsi"/>
                <w:sz w:val="28"/>
                <w:szCs w:val="28"/>
                <w:lang w:val="en-GB"/>
              </w:rPr>
              <w:t>senior</w:t>
            </w:r>
            <w:r w:rsidRPr="00F10DCA">
              <w:rPr>
                <w:rFonts w:cstheme="minorHAnsi"/>
                <w:spacing w:val="-2"/>
                <w:sz w:val="28"/>
                <w:szCs w:val="28"/>
                <w:lang w:val="en-GB"/>
              </w:rPr>
              <w:t xml:space="preserve"> </w:t>
            </w:r>
            <w:r w:rsidRPr="00F10DCA">
              <w:rPr>
                <w:rFonts w:cstheme="minorHAnsi"/>
                <w:sz w:val="28"/>
                <w:szCs w:val="28"/>
                <w:lang w:val="en-GB"/>
              </w:rPr>
              <w:t>counsellor/therapists @</w:t>
            </w:r>
            <w:r w:rsidRPr="00F10DCA">
              <w:rPr>
                <w:rFonts w:cstheme="minorHAnsi"/>
                <w:spacing w:val="-4"/>
                <w:sz w:val="28"/>
                <w:szCs w:val="28"/>
                <w:lang w:val="en-GB"/>
              </w:rPr>
              <w:t xml:space="preserve"> </w:t>
            </w:r>
            <w:r w:rsidRPr="00F10DCA">
              <w:rPr>
                <w:rFonts w:cstheme="minorHAnsi"/>
                <w:sz w:val="28"/>
                <w:szCs w:val="28"/>
                <w:lang w:val="en-GB"/>
              </w:rPr>
              <w:t>88,000</w:t>
            </w:r>
          </w:p>
        </w:tc>
        <w:tc>
          <w:tcPr>
            <w:tcW w:w="1560" w:type="dxa"/>
            <w:tcBorders>
              <w:top w:val="single" w:sz="4" w:space="0" w:color="000000"/>
              <w:left w:val="single" w:sz="4" w:space="0" w:color="000000"/>
              <w:bottom w:val="single" w:sz="4" w:space="0" w:color="000000"/>
              <w:right w:val="single" w:sz="4" w:space="0" w:color="000000"/>
            </w:tcBorders>
            <w:vAlign w:val="center"/>
          </w:tcPr>
          <w:p w14:paraId="0D32E75D" w14:textId="77777777" w:rsidR="00224863" w:rsidRPr="00F10DCA" w:rsidRDefault="00224863" w:rsidP="00F10DCA">
            <w:pPr>
              <w:kinsoku w:val="0"/>
              <w:overflowPunct w:val="0"/>
              <w:autoSpaceDE w:val="0"/>
              <w:autoSpaceDN w:val="0"/>
              <w:adjustRightInd w:val="0"/>
              <w:spacing w:after="0" w:line="240" w:lineRule="auto"/>
              <w:ind w:right="94"/>
              <w:jc w:val="center"/>
              <w:rPr>
                <w:rFonts w:cstheme="minorHAnsi"/>
                <w:sz w:val="28"/>
                <w:szCs w:val="28"/>
                <w:lang w:val="en-GB"/>
              </w:rPr>
            </w:pPr>
            <w:r w:rsidRPr="00F10DCA">
              <w:rPr>
                <w:rFonts w:cstheme="minorHAnsi"/>
                <w:sz w:val="28"/>
                <w:szCs w:val="28"/>
                <w:lang w:val="en-GB"/>
              </w:rPr>
              <w:t>2,640,000</w:t>
            </w:r>
          </w:p>
        </w:tc>
      </w:tr>
      <w:tr w:rsidR="001C1818" w:rsidRPr="00F10DCA" w14:paraId="5C31E8EB" w14:textId="77777777" w:rsidTr="00D33884">
        <w:trPr>
          <w:trHeight w:val="537"/>
        </w:trPr>
        <w:tc>
          <w:tcPr>
            <w:tcW w:w="7259" w:type="dxa"/>
            <w:tcBorders>
              <w:top w:val="single" w:sz="4" w:space="0" w:color="000000"/>
              <w:left w:val="single" w:sz="4" w:space="0" w:color="000000"/>
              <w:bottom w:val="single" w:sz="4" w:space="0" w:color="000000"/>
              <w:right w:val="single" w:sz="4" w:space="0" w:color="000000"/>
            </w:tcBorders>
            <w:vAlign w:val="bottom"/>
          </w:tcPr>
          <w:p w14:paraId="3098679C" w14:textId="77777777" w:rsidR="00224863" w:rsidRPr="00F10DCA" w:rsidRDefault="00224863" w:rsidP="00F10DCA">
            <w:pPr>
              <w:kinsoku w:val="0"/>
              <w:overflowPunct w:val="0"/>
              <w:autoSpaceDE w:val="0"/>
              <w:autoSpaceDN w:val="0"/>
              <w:adjustRightInd w:val="0"/>
              <w:spacing w:after="0" w:line="240" w:lineRule="auto"/>
              <w:ind w:left="468"/>
              <w:rPr>
                <w:rFonts w:cstheme="minorHAnsi"/>
                <w:sz w:val="28"/>
                <w:szCs w:val="28"/>
                <w:lang w:val="en-GB"/>
              </w:rPr>
            </w:pPr>
            <w:r w:rsidRPr="00F10DCA">
              <w:rPr>
                <w:rFonts w:cstheme="minorHAnsi"/>
                <w:sz w:val="28"/>
                <w:szCs w:val="28"/>
                <w:lang w:val="en-GB"/>
              </w:rPr>
              <w:t>Accommodation</w:t>
            </w:r>
            <w:r w:rsidRPr="00F10DCA">
              <w:rPr>
                <w:rFonts w:cstheme="minorHAnsi"/>
                <w:spacing w:val="33"/>
                <w:sz w:val="28"/>
                <w:szCs w:val="28"/>
                <w:lang w:val="en-GB"/>
              </w:rPr>
              <w:t xml:space="preserve"> </w:t>
            </w:r>
            <w:r w:rsidRPr="00F10DCA">
              <w:rPr>
                <w:rFonts w:cstheme="minorHAnsi"/>
                <w:sz w:val="28"/>
                <w:szCs w:val="28"/>
                <w:lang w:val="en-GB"/>
              </w:rPr>
              <w:t>[average</w:t>
            </w:r>
            <w:r w:rsidRPr="00F10DCA">
              <w:rPr>
                <w:rFonts w:cstheme="minorHAnsi"/>
                <w:spacing w:val="32"/>
                <w:sz w:val="28"/>
                <w:szCs w:val="28"/>
                <w:lang w:val="en-GB"/>
              </w:rPr>
              <w:t xml:space="preserve"> </w:t>
            </w:r>
            <w:r w:rsidRPr="00F10DCA">
              <w:rPr>
                <w:rFonts w:cstheme="minorHAnsi"/>
                <w:sz w:val="28"/>
                <w:szCs w:val="28"/>
                <w:lang w:val="en-GB"/>
              </w:rPr>
              <w:t>cost</w:t>
            </w:r>
            <w:r w:rsidRPr="00F10DCA">
              <w:rPr>
                <w:rFonts w:cstheme="minorHAnsi"/>
                <w:spacing w:val="32"/>
                <w:sz w:val="28"/>
                <w:szCs w:val="28"/>
                <w:lang w:val="en-GB"/>
              </w:rPr>
              <w:t xml:space="preserve"> </w:t>
            </w:r>
            <w:r w:rsidRPr="00F10DCA">
              <w:rPr>
                <w:rFonts w:cstheme="minorHAnsi"/>
                <w:sz w:val="28"/>
                <w:szCs w:val="28"/>
                <w:lang w:val="en-GB"/>
              </w:rPr>
              <w:t>of</w:t>
            </w:r>
            <w:r w:rsidRPr="00F10DCA">
              <w:rPr>
                <w:rFonts w:cstheme="minorHAnsi"/>
                <w:spacing w:val="34"/>
                <w:sz w:val="28"/>
                <w:szCs w:val="28"/>
                <w:lang w:val="en-GB"/>
              </w:rPr>
              <w:t xml:space="preserve"> </w:t>
            </w:r>
            <w:r w:rsidRPr="00F10DCA">
              <w:rPr>
                <w:rFonts w:cstheme="minorHAnsi"/>
                <w:sz w:val="28"/>
                <w:szCs w:val="28"/>
                <w:lang w:val="en-GB"/>
              </w:rPr>
              <w:t>renting</w:t>
            </w:r>
            <w:r w:rsidRPr="00F10DCA">
              <w:rPr>
                <w:rFonts w:cstheme="minorHAnsi"/>
                <w:spacing w:val="33"/>
                <w:sz w:val="28"/>
                <w:szCs w:val="28"/>
                <w:lang w:val="en-GB"/>
              </w:rPr>
              <w:t xml:space="preserve"> </w:t>
            </w:r>
            <w:r w:rsidRPr="00F10DCA">
              <w:rPr>
                <w:rFonts w:cstheme="minorHAnsi"/>
                <w:sz w:val="28"/>
                <w:szCs w:val="28"/>
                <w:lang w:val="en-GB"/>
              </w:rPr>
              <w:t>ten</w:t>
            </w:r>
            <w:r w:rsidRPr="00F10DCA">
              <w:rPr>
                <w:rFonts w:cstheme="minorHAnsi"/>
                <w:spacing w:val="32"/>
                <w:sz w:val="28"/>
                <w:szCs w:val="28"/>
                <w:lang w:val="en-GB"/>
              </w:rPr>
              <w:t xml:space="preserve"> </w:t>
            </w:r>
            <w:r w:rsidRPr="00F10DCA">
              <w:rPr>
                <w:rFonts w:cstheme="minorHAnsi"/>
                <w:sz w:val="28"/>
                <w:szCs w:val="28"/>
                <w:lang w:val="en-GB"/>
              </w:rPr>
              <w:t>additional premises</w:t>
            </w:r>
            <w:r w:rsidRPr="00F10DCA">
              <w:rPr>
                <w:rFonts w:cstheme="minorHAnsi"/>
                <w:spacing w:val="-1"/>
                <w:sz w:val="28"/>
                <w:szCs w:val="28"/>
                <w:lang w:val="en-GB"/>
              </w:rPr>
              <w:t xml:space="preserve"> </w:t>
            </w:r>
            <w:r w:rsidRPr="00F10DCA">
              <w:rPr>
                <w:rFonts w:cstheme="minorHAnsi"/>
                <w:sz w:val="28"/>
                <w:szCs w:val="28"/>
                <w:lang w:val="en-GB"/>
              </w:rPr>
              <w:t>per</w:t>
            </w:r>
            <w:r w:rsidRPr="00F10DCA">
              <w:rPr>
                <w:rFonts w:cstheme="minorHAnsi"/>
                <w:spacing w:val="-2"/>
                <w:sz w:val="28"/>
                <w:szCs w:val="28"/>
                <w:lang w:val="en-GB"/>
              </w:rPr>
              <w:t xml:space="preserve"> </w:t>
            </w:r>
            <w:r w:rsidRPr="00F10DCA">
              <w:rPr>
                <w:rFonts w:cstheme="minorHAnsi"/>
                <w:sz w:val="28"/>
                <w:szCs w:val="28"/>
                <w:lang w:val="en-GB"/>
              </w:rPr>
              <w:t>CIPC</w:t>
            </w:r>
            <w:r w:rsidRPr="00F10DCA">
              <w:rPr>
                <w:rFonts w:cstheme="minorHAnsi"/>
                <w:spacing w:val="-2"/>
                <w:sz w:val="28"/>
                <w:szCs w:val="28"/>
                <w:lang w:val="en-GB"/>
              </w:rPr>
              <w:t xml:space="preserve"> </w:t>
            </w:r>
            <w:r w:rsidRPr="00F10DCA">
              <w:rPr>
                <w:rFonts w:cstheme="minorHAnsi"/>
                <w:sz w:val="28"/>
                <w:szCs w:val="28"/>
                <w:lang w:val="en-GB"/>
              </w:rPr>
              <w:t>service]</w:t>
            </w:r>
          </w:p>
        </w:tc>
        <w:tc>
          <w:tcPr>
            <w:tcW w:w="1560" w:type="dxa"/>
            <w:tcBorders>
              <w:top w:val="single" w:sz="4" w:space="0" w:color="000000"/>
              <w:left w:val="single" w:sz="4" w:space="0" w:color="000000"/>
              <w:bottom w:val="single" w:sz="4" w:space="0" w:color="000000"/>
              <w:right w:val="single" w:sz="4" w:space="0" w:color="000000"/>
            </w:tcBorders>
            <w:vAlign w:val="center"/>
          </w:tcPr>
          <w:p w14:paraId="61CBA2D0" w14:textId="77777777" w:rsidR="00224863" w:rsidRPr="00F10DCA" w:rsidRDefault="00224863" w:rsidP="00F10DCA">
            <w:pPr>
              <w:kinsoku w:val="0"/>
              <w:overflowPunct w:val="0"/>
              <w:autoSpaceDE w:val="0"/>
              <w:autoSpaceDN w:val="0"/>
              <w:adjustRightInd w:val="0"/>
              <w:spacing w:after="0" w:line="240" w:lineRule="auto"/>
              <w:ind w:right="94"/>
              <w:jc w:val="center"/>
              <w:rPr>
                <w:rFonts w:cstheme="minorHAnsi"/>
                <w:sz w:val="28"/>
                <w:szCs w:val="28"/>
                <w:lang w:val="en-GB"/>
              </w:rPr>
            </w:pPr>
            <w:r w:rsidRPr="00F10DCA">
              <w:rPr>
                <w:rFonts w:cstheme="minorHAnsi"/>
                <w:sz w:val="28"/>
                <w:szCs w:val="28"/>
                <w:lang w:val="en-GB"/>
              </w:rPr>
              <w:t>3,000,000</w:t>
            </w:r>
          </w:p>
        </w:tc>
      </w:tr>
      <w:tr w:rsidR="001C1818" w:rsidRPr="00F10DCA" w14:paraId="326FDA5E" w14:textId="77777777" w:rsidTr="00D33884">
        <w:trPr>
          <w:trHeight w:val="268"/>
        </w:trPr>
        <w:tc>
          <w:tcPr>
            <w:tcW w:w="7259" w:type="dxa"/>
            <w:tcBorders>
              <w:top w:val="single" w:sz="4" w:space="0" w:color="000000"/>
              <w:left w:val="single" w:sz="4" w:space="0" w:color="000000"/>
              <w:bottom w:val="single" w:sz="4" w:space="0" w:color="000000"/>
              <w:right w:val="single" w:sz="4" w:space="0" w:color="000000"/>
            </w:tcBorders>
            <w:vAlign w:val="bottom"/>
          </w:tcPr>
          <w:p w14:paraId="01C153AB" w14:textId="77777777" w:rsidR="00224863" w:rsidRPr="00F10DCA" w:rsidRDefault="00224863" w:rsidP="00F10DCA">
            <w:pPr>
              <w:kinsoku w:val="0"/>
              <w:overflowPunct w:val="0"/>
              <w:autoSpaceDE w:val="0"/>
              <w:autoSpaceDN w:val="0"/>
              <w:adjustRightInd w:val="0"/>
              <w:spacing w:after="0" w:line="240" w:lineRule="auto"/>
              <w:ind w:left="468"/>
              <w:rPr>
                <w:rFonts w:cstheme="minorHAnsi"/>
                <w:sz w:val="28"/>
                <w:szCs w:val="28"/>
                <w:lang w:val="en-GB"/>
              </w:rPr>
            </w:pPr>
            <w:r w:rsidRPr="00F10DCA">
              <w:rPr>
                <w:rFonts w:cstheme="minorHAnsi"/>
                <w:sz w:val="28"/>
                <w:szCs w:val="28"/>
                <w:lang w:val="en-GB"/>
              </w:rPr>
              <w:t>Trainee</w:t>
            </w:r>
            <w:r w:rsidRPr="00F10DCA">
              <w:rPr>
                <w:rFonts w:cstheme="minorHAnsi"/>
                <w:spacing w:val="-1"/>
                <w:sz w:val="28"/>
                <w:szCs w:val="28"/>
                <w:lang w:val="en-GB"/>
              </w:rPr>
              <w:t xml:space="preserve"> </w:t>
            </w:r>
            <w:r w:rsidRPr="00F10DCA">
              <w:rPr>
                <w:rFonts w:cstheme="minorHAnsi"/>
                <w:sz w:val="28"/>
                <w:szCs w:val="28"/>
                <w:lang w:val="en-GB"/>
              </w:rPr>
              <w:t>scheme</w:t>
            </w:r>
          </w:p>
        </w:tc>
        <w:tc>
          <w:tcPr>
            <w:tcW w:w="1560" w:type="dxa"/>
            <w:tcBorders>
              <w:top w:val="single" w:sz="4" w:space="0" w:color="000000"/>
              <w:left w:val="single" w:sz="4" w:space="0" w:color="000000"/>
              <w:bottom w:val="single" w:sz="4" w:space="0" w:color="000000"/>
              <w:right w:val="single" w:sz="4" w:space="0" w:color="000000"/>
            </w:tcBorders>
            <w:vAlign w:val="center"/>
          </w:tcPr>
          <w:p w14:paraId="70B387DB" w14:textId="77777777" w:rsidR="00224863" w:rsidRPr="00F10DCA" w:rsidRDefault="00224863" w:rsidP="00F10DCA">
            <w:pPr>
              <w:kinsoku w:val="0"/>
              <w:overflowPunct w:val="0"/>
              <w:autoSpaceDE w:val="0"/>
              <w:autoSpaceDN w:val="0"/>
              <w:adjustRightInd w:val="0"/>
              <w:spacing w:after="0" w:line="240" w:lineRule="auto"/>
              <w:ind w:right="94"/>
              <w:jc w:val="center"/>
              <w:rPr>
                <w:rFonts w:cstheme="minorHAnsi"/>
                <w:sz w:val="28"/>
                <w:szCs w:val="28"/>
                <w:lang w:val="en-GB"/>
              </w:rPr>
            </w:pPr>
            <w:r w:rsidRPr="00F10DCA">
              <w:rPr>
                <w:rFonts w:cstheme="minorHAnsi"/>
                <w:sz w:val="28"/>
                <w:szCs w:val="28"/>
                <w:lang w:val="en-GB"/>
              </w:rPr>
              <w:t>1,000,000</w:t>
            </w:r>
          </w:p>
        </w:tc>
      </w:tr>
      <w:tr w:rsidR="001C1818" w:rsidRPr="00F10DCA" w14:paraId="2474D95B" w14:textId="77777777" w:rsidTr="00D33884">
        <w:trPr>
          <w:trHeight w:val="268"/>
        </w:trPr>
        <w:tc>
          <w:tcPr>
            <w:tcW w:w="7259"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81911A8" w14:textId="77777777" w:rsidR="00224863" w:rsidRPr="00F10DCA" w:rsidRDefault="00224863" w:rsidP="00F10DCA">
            <w:pPr>
              <w:kinsoku w:val="0"/>
              <w:overflowPunct w:val="0"/>
              <w:autoSpaceDE w:val="0"/>
              <w:autoSpaceDN w:val="0"/>
              <w:adjustRightInd w:val="0"/>
              <w:spacing w:after="0" w:line="240" w:lineRule="auto"/>
              <w:ind w:left="468"/>
              <w:rPr>
                <w:rFonts w:cstheme="minorHAnsi"/>
                <w:b/>
                <w:bCs/>
                <w:sz w:val="28"/>
                <w:szCs w:val="28"/>
                <w:lang w:val="en-GB"/>
              </w:rPr>
            </w:pPr>
            <w:r w:rsidRPr="00F10DCA">
              <w:rPr>
                <w:rFonts w:cstheme="minorHAnsi"/>
                <w:b/>
                <w:bCs/>
                <w:sz w:val="28"/>
                <w:szCs w:val="28"/>
                <w:lang w:val="en-GB"/>
              </w:rPr>
              <w:t>Total</w:t>
            </w:r>
            <w:r w:rsidRPr="00F10DCA">
              <w:rPr>
                <w:rFonts w:cstheme="minorHAnsi"/>
                <w:b/>
                <w:bCs/>
                <w:spacing w:val="-1"/>
                <w:sz w:val="28"/>
                <w:szCs w:val="28"/>
                <w:lang w:val="en-GB"/>
              </w:rPr>
              <w:t xml:space="preserve"> </w:t>
            </w:r>
            <w:r w:rsidRPr="00F10DCA">
              <w:rPr>
                <w:rFonts w:cstheme="minorHAnsi"/>
                <w:b/>
                <w:bCs/>
                <w:sz w:val="28"/>
                <w:szCs w:val="28"/>
                <w:lang w:val="en-GB"/>
              </w:rPr>
              <w:t>Estimated</w:t>
            </w:r>
            <w:r w:rsidRPr="00F10DCA">
              <w:rPr>
                <w:rFonts w:cstheme="minorHAnsi"/>
                <w:b/>
                <w:bCs/>
                <w:spacing w:val="-1"/>
                <w:sz w:val="28"/>
                <w:szCs w:val="28"/>
                <w:lang w:val="en-GB"/>
              </w:rPr>
              <w:t xml:space="preserve"> </w:t>
            </w:r>
            <w:r w:rsidRPr="00F10DCA">
              <w:rPr>
                <w:rFonts w:cstheme="minorHAnsi"/>
                <w:b/>
                <w:bCs/>
                <w:sz w:val="28"/>
                <w:szCs w:val="28"/>
                <w:lang w:val="en-GB"/>
              </w:rPr>
              <w:t>Cost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C714C6" w14:textId="77777777" w:rsidR="00224863" w:rsidRPr="00F10DCA" w:rsidRDefault="00224863" w:rsidP="00F10DCA">
            <w:pPr>
              <w:kinsoku w:val="0"/>
              <w:overflowPunct w:val="0"/>
              <w:autoSpaceDE w:val="0"/>
              <w:autoSpaceDN w:val="0"/>
              <w:adjustRightInd w:val="0"/>
              <w:spacing w:after="0" w:line="240" w:lineRule="auto"/>
              <w:ind w:right="94"/>
              <w:jc w:val="center"/>
              <w:rPr>
                <w:rFonts w:cstheme="minorHAnsi"/>
                <w:b/>
                <w:bCs/>
                <w:sz w:val="28"/>
                <w:szCs w:val="28"/>
                <w:lang w:val="en-GB"/>
              </w:rPr>
            </w:pPr>
            <w:r w:rsidRPr="00F10DCA">
              <w:rPr>
                <w:rFonts w:cstheme="minorHAnsi"/>
                <w:b/>
                <w:bCs/>
                <w:sz w:val="28"/>
                <w:szCs w:val="28"/>
                <w:lang w:val="en-GB"/>
              </w:rPr>
              <w:t>25,396,000</w:t>
            </w:r>
          </w:p>
        </w:tc>
      </w:tr>
    </w:tbl>
    <w:p w14:paraId="31C34157" w14:textId="77777777" w:rsidR="00224863" w:rsidRPr="00F10DCA" w:rsidRDefault="00224863" w:rsidP="00F10DCA">
      <w:pPr>
        <w:spacing w:after="0" w:line="240" w:lineRule="auto"/>
        <w:rPr>
          <w:rFonts w:cstheme="minorHAnsi"/>
          <w:sz w:val="28"/>
          <w:szCs w:val="28"/>
          <w:lang w:eastAsia="en-IE"/>
        </w:rPr>
      </w:pPr>
    </w:p>
    <w:p w14:paraId="2AAE72CF" w14:textId="77777777" w:rsidR="00224863" w:rsidRPr="00F10DCA" w:rsidRDefault="00224863" w:rsidP="00F10DCA">
      <w:pPr>
        <w:numPr>
          <w:ilvl w:val="0"/>
          <w:numId w:val="1"/>
        </w:numPr>
        <w:spacing w:after="0" w:line="240" w:lineRule="auto"/>
        <w:ind w:left="426"/>
        <w:contextualSpacing/>
        <w:rPr>
          <w:rFonts w:cstheme="minorHAnsi"/>
          <w:sz w:val="28"/>
          <w:szCs w:val="28"/>
        </w:rPr>
      </w:pPr>
      <w:r w:rsidRPr="00F10DCA">
        <w:rPr>
          <w:rFonts w:cstheme="minorHAnsi"/>
          <w:sz w:val="28"/>
          <w:szCs w:val="28"/>
          <w:lang w:eastAsia="en-IE"/>
        </w:rPr>
        <w:t xml:space="preserve">The HSE National Counselling Service (NCS), </w:t>
      </w:r>
      <w:r w:rsidRPr="00F10DCA">
        <w:rPr>
          <w:rFonts w:cstheme="minorHAnsi"/>
          <w:sz w:val="28"/>
          <w:szCs w:val="28"/>
        </w:rPr>
        <w:t xml:space="preserve">established in 2000, provides counselling and medium and long-term psychotherapy to adults who experienced childhood abuse. There are 2,500 referrals per year on average, with over 40,000 referrals received since it started. </w:t>
      </w:r>
    </w:p>
    <w:p w14:paraId="01773EA1" w14:textId="77777777" w:rsidR="00224863" w:rsidRPr="00F10DCA" w:rsidRDefault="00224863" w:rsidP="00F10DCA">
      <w:pPr>
        <w:spacing w:after="0" w:line="240" w:lineRule="auto"/>
        <w:ind w:left="426"/>
        <w:rPr>
          <w:rFonts w:cstheme="minorHAnsi"/>
          <w:sz w:val="28"/>
          <w:szCs w:val="28"/>
        </w:rPr>
      </w:pPr>
    </w:p>
    <w:p w14:paraId="56AA4848" w14:textId="77777777" w:rsidR="00224863" w:rsidRPr="00F10DCA" w:rsidRDefault="00224863" w:rsidP="00F10DCA">
      <w:pPr>
        <w:numPr>
          <w:ilvl w:val="0"/>
          <w:numId w:val="1"/>
        </w:numPr>
        <w:spacing w:after="0" w:line="240" w:lineRule="auto"/>
        <w:ind w:left="426"/>
        <w:rPr>
          <w:rFonts w:cstheme="minorHAnsi"/>
          <w:sz w:val="28"/>
          <w:szCs w:val="28"/>
        </w:rPr>
      </w:pPr>
      <w:r w:rsidRPr="00F10DCA">
        <w:rPr>
          <w:rFonts w:cstheme="minorHAnsi"/>
          <w:sz w:val="28"/>
          <w:szCs w:val="28"/>
        </w:rPr>
        <w:t xml:space="preserve">In 2013, the NCS remit widened with the establishment of CIPC. CIPC provides up to 8 counselling sessions per person referred. CIPC operates from over 240 locations, including primary care centres, NCS locations and community/voluntary sector centres. </w:t>
      </w:r>
    </w:p>
    <w:p w14:paraId="5DA3C8EC" w14:textId="77777777" w:rsidR="00224863" w:rsidRPr="00F10DCA" w:rsidRDefault="00224863" w:rsidP="00F10DCA">
      <w:pPr>
        <w:spacing w:after="0" w:line="240" w:lineRule="auto"/>
        <w:ind w:left="426"/>
        <w:contextualSpacing/>
        <w:rPr>
          <w:rFonts w:cstheme="minorHAnsi"/>
          <w:sz w:val="28"/>
          <w:szCs w:val="28"/>
        </w:rPr>
      </w:pPr>
    </w:p>
    <w:p w14:paraId="6F5FF813" w14:textId="77777777" w:rsidR="00224863" w:rsidRPr="00F10DCA" w:rsidRDefault="00224863" w:rsidP="00F10DCA">
      <w:pPr>
        <w:numPr>
          <w:ilvl w:val="0"/>
          <w:numId w:val="1"/>
        </w:numPr>
        <w:spacing w:after="0" w:line="240" w:lineRule="auto"/>
        <w:ind w:left="426"/>
        <w:rPr>
          <w:rFonts w:cstheme="minorHAnsi"/>
          <w:sz w:val="28"/>
          <w:szCs w:val="28"/>
        </w:rPr>
      </w:pPr>
      <w:r w:rsidRPr="00F10DCA">
        <w:rPr>
          <w:rFonts w:cstheme="minorHAnsi"/>
          <w:sz w:val="28"/>
          <w:szCs w:val="28"/>
        </w:rPr>
        <w:t xml:space="preserve">CIPC is overseen by NCS Directors of Counselling and coordinated by CIPC counselling coordinators. Counselling is delivered by employed counsellor/therapists and sessional contracts. Minimum criteria include a counselling or psychotherapy qualification recognised by a professional body (Irish Association for Counselling and Psychotherapy, Irish Council for Psychotherapy, Psychological Society of Ireland). </w:t>
      </w:r>
    </w:p>
    <w:p w14:paraId="4FBCD1C9" w14:textId="77777777" w:rsidR="00224863" w:rsidRPr="00F10DCA" w:rsidRDefault="00224863" w:rsidP="00F10DCA">
      <w:pPr>
        <w:spacing w:after="0" w:line="240" w:lineRule="auto"/>
        <w:ind w:left="426"/>
        <w:rPr>
          <w:rFonts w:cstheme="minorHAnsi"/>
          <w:sz w:val="28"/>
          <w:szCs w:val="28"/>
        </w:rPr>
      </w:pPr>
    </w:p>
    <w:p w14:paraId="19C8E09E" w14:textId="77777777" w:rsidR="00224863" w:rsidRPr="00F10DCA" w:rsidRDefault="00224863" w:rsidP="00F10DCA">
      <w:pPr>
        <w:numPr>
          <w:ilvl w:val="0"/>
          <w:numId w:val="1"/>
        </w:numPr>
        <w:spacing w:after="0" w:line="240" w:lineRule="auto"/>
        <w:ind w:left="426"/>
        <w:rPr>
          <w:rFonts w:cstheme="minorHAnsi"/>
          <w:sz w:val="28"/>
          <w:szCs w:val="28"/>
        </w:rPr>
      </w:pPr>
      <w:r w:rsidRPr="00F10DCA">
        <w:rPr>
          <w:rFonts w:cstheme="minorHAnsi"/>
          <w:sz w:val="28"/>
          <w:szCs w:val="28"/>
        </w:rPr>
        <w:t>In 2019, CIPC received1 9,700 referrals, with an average 2,040 clients attending at any one time. While referrals have been affected by Covid in 2020, up to the end of December 2020 over 64,000 counselling sessions were offered to more than 5,000 clients.</w:t>
      </w:r>
    </w:p>
    <w:p w14:paraId="4A5DC3A5" w14:textId="77777777" w:rsidR="00224863" w:rsidRPr="00F10DCA" w:rsidRDefault="00224863" w:rsidP="00F10DCA">
      <w:pPr>
        <w:spacing w:after="0" w:line="240" w:lineRule="auto"/>
        <w:ind w:left="426"/>
        <w:contextualSpacing/>
        <w:rPr>
          <w:rFonts w:cstheme="minorHAnsi"/>
          <w:sz w:val="28"/>
          <w:szCs w:val="28"/>
        </w:rPr>
      </w:pPr>
    </w:p>
    <w:p w14:paraId="744173F8" w14:textId="77777777" w:rsidR="00067BED" w:rsidRPr="00F10DCA" w:rsidRDefault="00224863" w:rsidP="00F10DCA">
      <w:pPr>
        <w:numPr>
          <w:ilvl w:val="0"/>
          <w:numId w:val="1"/>
        </w:numPr>
        <w:spacing w:after="0" w:line="240" w:lineRule="auto"/>
        <w:ind w:left="426"/>
        <w:rPr>
          <w:rFonts w:cstheme="minorHAnsi"/>
          <w:sz w:val="28"/>
          <w:szCs w:val="28"/>
        </w:rPr>
      </w:pPr>
      <w:r w:rsidRPr="00F10DCA">
        <w:rPr>
          <w:rFonts w:cstheme="minorHAnsi"/>
          <w:sz w:val="28"/>
          <w:szCs w:val="28"/>
        </w:rPr>
        <w:t xml:space="preserve">At end 2020, the CIPC waiting list was 2,893, including 889 who rejected an online appointment, instead awaiting face-to-face counselling. This is down from 5,044 in January 2020, but numbers waiting more than six months have increased from 729 to 898. </w:t>
      </w:r>
    </w:p>
    <w:p w14:paraId="0E0AD4E7" w14:textId="77777777" w:rsidR="00067BED" w:rsidRPr="00F10DCA" w:rsidRDefault="00067BED" w:rsidP="00F10DCA">
      <w:pPr>
        <w:pStyle w:val="ListParagraph"/>
        <w:spacing w:line="240" w:lineRule="auto"/>
        <w:rPr>
          <w:rFonts w:cstheme="minorHAnsi"/>
          <w:color w:val="000000"/>
          <w:sz w:val="28"/>
          <w:szCs w:val="28"/>
        </w:rPr>
      </w:pPr>
    </w:p>
    <w:p w14:paraId="4C342B82" w14:textId="300CC07E" w:rsidR="00067BED" w:rsidRPr="003C7E4A" w:rsidRDefault="00672597" w:rsidP="00F10DCA">
      <w:pPr>
        <w:numPr>
          <w:ilvl w:val="0"/>
          <w:numId w:val="1"/>
        </w:numPr>
        <w:spacing w:after="0" w:line="240" w:lineRule="auto"/>
        <w:ind w:left="426"/>
        <w:rPr>
          <w:rFonts w:cstheme="minorHAnsi"/>
          <w:sz w:val="28"/>
          <w:szCs w:val="28"/>
        </w:rPr>
      </w:pPr>
      <w:r w:rsidRPr="00F10DCA">
        <w:rPr>
          <w:rFonts w:cstheme="minorHAnsi"/>
          <w:color w:val="000000"/>
          <w:sz w:val="28"/>
          <w:szCs w:val="28"/>
        </w:rPr>
        <w:t xml:space="preserve"> Recent research by BMC</w:t>
      </w:r>
      <w:r w:rsidR="00284747" w:rsidRPr="00F10DCA">
        <w:rPr>
          <w:rFonts w:cstheme="minorHAnsi"/>
          <w:color w:val="000000"/>
          <w:sz w:val="28"/>
          <w:szCs w:val="28"/>
        </w:rPr>
        <w:t xml:space="preserve"> Psychia</w:t>
      </w:r>
      <w:r w:rsidR="00D63245" w:rsidRPr="00F10DCA">
        <w:rPr>
          <w:rFonts w:cstheme="minorHAnsi"/>
          <w:color w:val="000000"/>
          <w:sz w:val="28"/>
          <w:szCs w:val="28"/>
        </w:rPr>
        <w:t>try</w:t>
      </w:r>
      <w:r w:rsidRPr="00F10DCA">
        <w:rPr>
          <w:rFonts w:cstheme="minorHAnsi"/>
          <w:color w:val="000000"/>
          <w:sz w:val="28"/>
          <w:szCs w:val="28"/>
        </w:rPr>
        <w:t xml:space="preserve"> indicates that outcomes for clients in the CIPC service compared favourably with large scale counselling and psychotherapy services in jurisdictions in the U.K., the U.S.A., Norway and Sweden. This study expands the international primary care psychotherapy research base to include the entire Republic of Ireland jurisdiction.</w:t>
      </w:r>
      <w:r w:rsidR="00D63245" w:rsidRPr="00F10DCA">
        <w:rPr>
          <w:rFonts w:cstheme="minorHAnsi"/>
          <w:color w:val="000000"/>
          <w:sz w:val="28"/>
          <w:szCs w:val="28"/>
        </w:rPr>
        <w:t xml:space="preserve"> </w:t>
      </w:r>
      <w:r w:rsidR="00067BED" w:rsidRPr="003C7E4A">
        <w:rPr>
          <w:rFonts w:cstheme="minorHAnsi"/>
          <w:sz w:val="28"/>
          <w:szCs w:val="28"/>
        </w:rPr>
        <w:t>CIPC is currently undergoing a national evaluation study, the results of which will be published later this year.</w:t>
      </w:r>
    </w:p>
    <w:p w14:paraId="2238E0AF" w14:textId="19AEFB60" w:rsidR="00224863" w:rsidRPr="003C7E4A" w:rsidRDefault="00224863" w:rsidP="003C7E4A">
      <w:pPr>
        <w:spacing w:after="0" w:line="240" w:lineRule="auto"/>
        <w:ind w:left="426"/>
        <w:rPr>
          <w:rFonts w:cstheme="minorHAnsi"/>
          <w:sz w:val="28"/>
          <w:szCs w:val="28"/>
        </w:rPr>
      </w:pPr>
    </w:p>
    <w:p w14:paraId="68EE5A54" w14:textId="1B0C3B29" w:rsidR="000A7828" w:rsidRPr="00F10DCA" w:rsidRDefault="000A7828" w:rsidP="00F10DCA">
      <w:pPr>
        <w:spacing w:line="240" w:lineRule="auto"/>
        <w:rPr>
          <w:rFonts w:cstheme="minorHAnsi"/>
          <w:sz w:val="28"/>
          <w:szCs w:val="28"/>
        </w:rPr>
      </w:pPr>
    </w:p>
    <w:p w14:paraId="30700F6B" w14:textId="77777777" w:rsidR="00CF4FFE" w:rsidRPr="00F10DCA" w:rsidRDefault="00CF4FFE" w:rsidP="00F10DCA">
      <w:pPr>
        <w:keepNext/>
        <w:keepLines/>
        <w:spacing w:before="240" w:after="0" w:line="240" w:lineRule="auto"/>
        <w:outlineLvl w:val="0"/>
        <w:rPr>
          <w:rFonts w:eastAsiaTheme="majorEastAsia" w:cstheme="minorHAnsi"/>
          <w:b/>
          <w:bCs/>
          <w:sz w:val="28"/>
          <w:szCs w:val="28"/>
          <w:shd w:val="clear" w:color="auto" w:fill="FFFFFF"/>
        </w:rPr>
      </w:pPr>
      <w:bookmarkStart w:id="11" w:name="_Toc70511000"/>
    </w:p>
    <w:p w14:paraId="325AD7A0" w14:textId="77777777" w:rsidR="00CF4FFE" w:rsidRPr="00F10DCA" w:rsidRDefault="00CF4FFE" w:rsidP="00F10DCA">
      <w:pPr>
        <w:keepNext/>
        <w:keepLines/>
        <w:spacing w:before="240" w:after="0" w:line="240" w:lineRule="auto"/>
        <w:outlineLvl w:val="0"/>
        <w:rPr>
          <w:rFonts w:eastAsiaTheme="majorEastAsia" w:cstheme="minorHAnsi"/>
          <w:b/>
          <w:bCs/>
          <w:sz w:val="28"/>
          <w:szCs w:val="28"/>
          <w:shd w:val="clear" w:color="auto" w:fill="FFFFFF"/>
        </w:rPr>
      </w:pPr>
    </w:p>
    <w:p w14:paraId="05A89F23" w14:textId="45174EB1" w:rsidR="000A7828" w:rsidRPr="0079741E" w:rsidRDefault="00491905" w:rsidP="00F10DCA">
      <w:pPr>
        <w:keepNext/>
        <w:keepLines/>
        <w:spacing w:before="240" w:after="0" w:line="240" w:lineRule="auto"/>
        <w:outlineLvl w:val="0"/>
        <w:rPr>
          <w:rFonts w:eastAsiaTheme="majorEastAsia" w:cstheme="minorHAnsi"/>
          <w:b/>
          <w:bCs/>
          <w:sz w:val="32"/>
          <w:szCs w:val="32"/>
          <w:u w:val="single"/>
        </w:rPr>
      </w:pPr>
      <w:r w:rsidRPr="0079741E">
        <w:rPr>
          <w:rFonts w:eastAsiaTheme="majorEastAsia" w:cstheme="minorHAnsi"/>
          <w:b/>
          <w:bCs/>
          <w:sz w:val="32"/>
          <w:szCs w:val="32"/>
          <w:shd w:val="clear" w:color="auto" w:fill="FFFFFF"/>
        </w:rPr>
        <w:t>12.</w:t>
      </w:r>
      <w:r w:rsidRPr="0079741E">
        <w:rPr>
          <w:rFonts w:eastAsiaTheme="majorEastAsia" w:cstheme="minorHAnsi"/>
          <w:b/>
          <w:bCs/>
          <w:sz w:val="32"/>
          <w:szCs w:val="32"/>
          <w:shd w:val="clear" w:color="auto" w:fill="FFFFFF"/>
        </w:rPr>
        <w:tab/>
      </w:r>
      <w:r w:rsidR="000A7828" w:rsidRPr="0079741E">
        <w:rPr>
          <w:rFonts w:eastAsiaTheme="majorEastAsia" w:cstheme="minorHAnsi"/>
          <w:b/>
          <w:bCs/>
          <w:sz w:val="32"/>
          <w:szCs w:val="32"/>
          <w:u w:val="single"/>
          <w:shd w:val="clear" w:color="auto" w:fill="FFFFFF"/>
        </w:rPr>
        <w:t>Homeless</w:t>
      </w:r>
      <w:r w:rsidR="000A7828" w:rsidRPr="0079741E">
        <w:rPr>
          <w:rFonts w:eastAsiaTheme="majorEastAsia" w:cstheme="minorHAnsi"/>
          <w:b/>
          <w:bCs/>
          <w:sz w:val="32"/>
          <w:szCs w:val="32"/>
          <w:u w:val="single"/>
        </w:rPr>
        <w:t xml:space="preserve"> with Mental Health Difficulties</w:t>
      </w:r>
      <w:bookmarkEnd w:id="11"/>
    </w:p>
    <w:p w14:paraId="30EDB27F" w14:textId="77777777" w:rsidR="000A7828" w:rsidRPr="00F10DCA" w:rsidRDefault="000A7828" w:rsidP="00F10DCA">
      <w:pPr>
        <w:spacing w:after="0" w:line="240" w:lineRule="auto"/>
        <w:ind w:left="360"/>
        <w:contextualSpacing/>
        <w:rPr>
          <w:rFonts w:cstheme="minorHAnsi"/>
          <w:sz w:val="28"/>
          <w:szCs w:val="28"/>
          <w:lang w:val="en-GB"/>
        </w:rPr>
      </w:pPr>
    </w:p>
    <w:p w14:paraId="29E56F21" w14:textId="77777777" w:rsidR="000A7828" w:rsidRPr="00F10DCA" w:rsidRDefault="000A7828" w:rsidP="00F10DCA">
      <w:pPr>
        <w:numPr>
          <w:ilvl w:val="0"/>
          <w:numId w:val="15"/>
        </w:numPr>
        <w:spacing w:after="0" w:line="240" w:lineRule="auto"/>
        <w:ind w:left="426"/>
        <w:contextualSpacing/>
        <w:rPr>
          <w:rFonts w:cstheme="minorHAnsi"/>
          <w:sz w:val="28"/>
          <w:szCs w:val="28"/>
          <w:lang w:val="en-GB"/>
        </w:rPr>
      </w:pPr>
      <w:r w:rsidRPr="00F10DCA">
        <w:rPr>
          <w:rFonts w:cstheme="minorHAnsi"/>
          <w:sz w:val="28"/>
          <w:szCs w:val="28"/>
          <w:lang w:val="en-GB"/>
        </w:rPr>
        <w:t xml:space="preserve">Currently, there are two specialist community mental health teams in Dublin for people who are homeless and experiencing severe or complex mental health issues. </w:t>
      </w:r>
    </w:p>
    <w:p w14:paraId="61E51948" w14:textId="77777777" w:rsidR="000A7828" w:rsidRPr="00F10DCA" w:rsidRDefault="000A7828" w:rsidP="00F10DCA">
      <w:pPr>
        <w:spacing w:after="0" w:line="240" w:lineRule="auto"/>
        <w:ind w:left="709"/>
        <w:contextualSpacing/>
        <w:rPr>
          <w:rFonts w:cstheme="minorHAnsi"/>
          <w:sz w:val="28"/>
          <w:szCs w:val="28"/>
          <w:lang w:val="en-GB"/>
        </w:rPr>
      </w:pPr>
    </w:p>
    <w:p w14:paraId="2D07C642" w14:textId="77777777" w:rsidR="000A7828" w:rsidRPr="00F10DCA" w:rsidRDefault="000A7828" w:rsidP="00F10DCA">
      <w:pPr>
        <w:numPr>
          <w:ilvl w:val="0"/>
          <w:numId w:val="15"/>
        </w:numPr>
        <w:spacing w:after="0" w:line="240" w:lineRule="auto"/>
        <w:ind w:left="426"/>
        <w:contextualSpacing/>
        <w:rPr>
          <w:rFonts w:cstheme="minorHAnsi"/>
          <w:sz w:val="28"/>
          <w:szCs w:val="28"/>
          <w:lang w:val="en-GB"/>
        </w:rPr>
      </w:pPr>
      <w:r w:rsidRPr="00F10DCA">
        <w:rPr>
          <w:rFonts w:cstheme="minorHAnsi"/>
          <w:sz w:val="28"/>
          <w:szCs w:val="28"/>
          <w:lang w:val="en-GB"/>
        </w:rPr>
        <w:t xml:space="preserve">Mental health development funding will be available this year to enhance specialist mental health services for people who are homeless. </w:t>
      </w:r>
    </w:p>
    <w:p w14:paraId="1E4DA96C" w14:textId="77777777" w:rsidR="000A7828" w:rsidRPr="00F10DCA" w:rsidRDefault="000A7828" w:rsidP="00F10DCA">
      <w:pPr>
        <w:spacing w:after="0" w:line="240" w:lineRule="auto"/>
        <w:ind w:left="66"/>
        <w:rPr>
          <w:rFonts w:cstheme="minorHAnsi"/>
          <w:sz w:val="28"/>
          <w:szCs w:val="28"/>
          <w:lang w:val="en-GB"/>
        </w:rPr>
      </w:pPr>
    </w:p>
    <w:p w14:paraId="246946BD" w14:textId="77777777" w:rsidR="000A7828" w:rsidRPr="00F10DCA" w:rsidRDefault="000A7828" w:rsidP="00F10DCA">
      <w:pPr>
        <w:numPr>
          <w:ilvl w:val="0"/>
          <w:numId w:val="15"/>
        </w:numPr>
        <w:spacing w:after="0" w:line="240" w:lineRule="auto"/>
        <w:ind w:left="426"/>
        <w:contextualSpacing/>
        <w:rPr>
          <w:rFonts w:cstheme="minorHAnsi"/>
          <w:sz w:val="28"/>
          <w:szCs w:val="28"/>
          <w:lang w:val="en-GB"/>
        </w:rPr>
      </w:pPr>
      <w:r w:rsidRPr="00F10DCA">
        <w:rPr>
          <w:rFonts w:cstheme="minorHAnsi"/>
          <w:sz w:val="28"/>
          <w:szCs w:val="28"/>
          <w:lang w:val="en-GB"/>
        </w:rPr>
        <w:t xml:space="preserve">This includes the appointment of a consultant in the North Dublin Homeless Mental Health Service, following approval of the post. The consultant will have access to 3 mental health inpatient units in the CHO area, to make admissions for care and treatment where required. This includes admission of individuals released from prison – the consultant will follow these individuals in terms of the provision of care. </w:t>
      </w:r>
    </w:p>
    <w:p w14:paraId="75CB8478" w14:textId="77777777" w:rsidR="000A7828" w:rsidRPr="00F10DCA" w:rsidRDefault="000A7828" w:rsidP="00F10DCA">
      <w:pPr>
        <w:spacing w:after="0" w:line="240" w:lineRule="auto"/>
        <w:ind w:left="66"/>
        <w:rPr>
          <w:rFonts w:cstheme="minorHAnsi"/>
          <w:sz w:val="28"/>
          <w:szCs w:val="28"/>
          <w:lang w:val="en-GB"/>
        </w:rPr>
      </w:pPr>
    </w:p>
    <w:p w14:paraId="1BA5D832" w14:textId="77777777" w:rsidR="000A7828" w:rsidRPr="00F10DCA" w:rsidRDefault="000A7828" w:rsidP="00F10DCA">
      <w:pPr>
        <w:numPr>
          <w:ilvl w:val="0"/>
          <w:numId w:val="15"/>
        </w:numPr>
        <w:spacing w:after="0" w:line="240" w:lineRule="auto"/>
        <w:ind w:left="426"/>
        <w:contextualSpacing/>
        <w:rPr>
          <w:rFonts w:cstheme="minorHAnsi"/>
          <w:sz w:val="28"/>
          <w:szCs w:val="28"/>
          <w:lang w:val="en-GB"/>
        </w:rPr>
      </w:pPr>
      <w:r w:rsidRPr="00F10DCA">
        <w:rPr>
          <w:rFonts w:cstheme="minorHAnsi"/>
          <w:sz w:val="28"/>
          <w:szCs w:val="28"/>
          <w:lang w:val="en-GB"/>
        </w:rPr>
        <w:t>There are similar plans for the South Dublin Homeless Mental Health Service.</w:t>
      </w:r>
    </w:p>
    <w:p w14:paraId="4463BF85" w14:textId="77777777" w:rsidR="000A7828" w:rsidRPr="00F10DCA" w:rsidRDefault="000A7828" w:rsidP="00F10DCA">
      <w:pPr>
        <w:spacing w:after="0" w:line="240" w:lineRule="auto"/>
        <w:ind w:left="66"/>
        <w:rPr>
          <w:rFonts w:cstheme="minorHAnsi"/>
          <w:sz w:val="28"/>
          <w:szCs w:val="28"/>
          <w:lang w:val="en-GB"/>
        </w:rPr>
      </w:pPr>
    </w:p>
    <w:p w14:paraId="41B7247D" w14:textId="77777777" w:rsidR="000A7828" w:rsidRPr="00F10DCA" w:rsidRDefault="000A7828" w:rsidP="00F10DCA">
      <w:pPr>
        <w:numPr>
          <w:ilvl w:val="0"/>
          <w:numId w:val="15"/>
        </w:numPr>
        <w:spacing w:after="0" w:line="240" w:lineRule="auto"/>
        <w:ind w:left="426"/>
        <w:contextualSpacing/>
        <w:rPr>
          <w:rFonts w:cstheme="minorHAnsi"/>
          <w:sz w:val="28"/>
          <w:szCs w:val="28"/>
          <w:lang w:val="en-GB"/>
        </w:rPr>
      </w:pPr>
      <w:r w:rsidRPr="00F10DCA">
        <w:rPr>
          <w:rFonts w:cstheme="minorHAnsi"/>
          <w:sz w:val="28"/>
          <w:szCs w:val="28"/>
          <w:lang w:val="en-GB"/>
        </w:rPr>
        <w:t xml:space="preserve">People experiencing homelessness can also access general community mental health teams and mental health supports in primary care. </w:t>
      </w:r>
    </w:p>
    <w:p w14:paraId="29FF9AB7" w14:textId="77777777" w:rsidR="000A7828" w:rsidRPr="00F10DCA" w:rsidRDefault="000A7828" w:rsidP="00F10DCA">
      <w:pPr>
        <w:spacing w:after="0" w:line="240" w:lineRule="auto"/>
        <w:ind w:left="66"/>
        <w:rPr>
          <w:rFonts w:cstheme="minorHAnsi"/>
          <w:sz w:val="28"/>
          <w:szCs w:val="28"/>
          <w:lang w:val="en-GB"/>
        </w:rPr>
      </w:pPr>
    </w:p>
    <w:p w14:paraId="4DDF2703" w14:textId="77777777" w:rsidR="000A7828" w:rsidRPr="00F10DCA" w:rsidRDefault="000A7828" w:rsidP="00F10DCA">
      <w:pPr>
        <w:numPr>
          <w:ilvl w:val="0"/>
          <w:numId w:val="15"/>
        </w:numPr>
        <w:spacing w:after="0" w:line="240" w:lineRule="auto"/>
        <w:ind w:left="426"/>
        <w:contextualSpacing/>
        <w:rPr>
          <w:rFonts w:cstheme="minorHAnsi"/>
          <w:sz w:val="28"/>
          <w:szCs w:val="28"/>
          <w:lang w:val="en-GB"/>
        </w:rPr>
      </w:pPr>
      <w:r w:rsidRPr="00F10DCA">
        <w:rPr>
          <w:rFonts w:cstheme="minorHAnsi"/>
          <w:sz w:val="28"/>
          <w:szCs w:val="28"/>
          <w:lang w:val="en-GB"/>
        </w:rPr>
        <w:t xml:space="preserve">A range of dedicated mental health supports for people who are homeless are also delivered through HSE-funded community and voluntary groups, including SafetyNet, Merchant’s Quay Ireland and Dublin Simon Community. </w:t>
      </w:r>
    </w:p>
    <w:p w14:paraId="77E6C4B6" w14:textId="77777777" w:rsidR="00491905" w:rsidRPr="00F10DCA" w:rsidRDefault="00491905" w:rsidP="00F10DCA">
      <w:pPr>
        <w:spacing w:line="240" w:lineRule="auto"/>
        <w:contextualSpacing/>
        <w:rPr>
          <w:rFonts w:cstheme="minorHAnsi"/>
          <w:b/>
          <w:bCs/>
          <w:sz w:val="28"/>
          <w:szCs w:val="28"/>
          <w:lang w:val="en-GB"/>
        </w:rPr>
      </w:pPr>
    </w:p>
    <w:p w14:paraId="3019C386" w14:textId="77777777" w:rsidR="00491905" w:rsidRPr="00F10DCA" w:rsidRDefault="00491905" w:rsidP="00F10DCA">
      <w:pPr>
        <w:spacing w:line="240" w:lineRule="auto"/>
        <w:contextualSpacing/>
        <w:rPr>
          <w:rFonts w:cstheme="minorHAnsi"/>
          <w:b/>
          <w:bCs/>
          <w:sz w:val="28"/>
          <w:szCs w:val="28"/>
          <w:lang w:val="en-GB"/>
        </w:rPr>
      </w:pPr>
    </w:p>
    <w:p w14:paraId="5FAF7EB5" w14:textId="31D32466" w:rsidR="00E47702" w:rsidRPr="00F10DCA" w:rsidRDefault="00491905" w:rsidP="00F10DCA">
      <w:pPr>
        <w:spacing w:line="240" w:lineRule="auto"/>
        <w:contextualSpacing/>
        <w:rPr>
          <w:rFonts w:cstheme="minorHAnsi"/>
          <w:b/>
          <w:bCs/>
          <w:sz w:val="28"/>
          <w:szCs w:val="28"/>
          <w:lang w:val="en-GB"/>
        </w:rPr>
      </w:pPr>
      <w:r w:rsidRPr="00F10DCA">
        <w:rPr>
          <w:rFonts w:cstheme="minorHAnsi"/>
          <w:b/>
          <w:bCs/>
          <w:sz w:val="28"/>
          <w:szCs w:val="28"/>
          <w:lang w:val="en-GB"/>
        </w:rPr>
        <w:t>13.</w:t>
      </w:r>
      <w:r w:rsidRPr="00F10DCA">
        <w:rPr>
          <w:rFonts w:cstheme="minorHAnsi"/>
          <w:b/>
          <w:bCs/>
          <w:sz w:val="28"/>
          <w:szCs w:val="28"/>
          <w:lang w:val="en-GB"/>
        </w:rPr>
        <w:tab/>
      </w:r>
      <w:r w:rsidR="00D772F9" w:rsidRPr="00F10DCA">
        <w:rPr>
          <w:rFonts w:cstheme="minorHAnsi"/>
          <w:b/>
          <w:bCs/>
          <w:sz w:val="28"/>
          <w:szCs w:val="28"/>
          <w:lang w:val="en-GB"/>
        </w:rPr>
        <w:t xml:space="preserve">Relevant </w:t>
      </w:r>
      <w:r w:rsidR="00B04099" w:rsidRPr="00F10DCA">
        <w:rPr>
          <w:rFonts w:cstheme="minorHAnsi"/>
          <w:b/>
          <w:bCs/>
          <w:sz w:val="28"/>
          <w:szCs w:val="28"/>
          <w:lang w:val="en-GB"/>
        </w:rPr>
        <w:t xml:space="preserve">main </w:t>
      </w:r>
      <w:r w:rsidR="00D772F9" w:rsidRPr="00F10DCA">
        <w:rPr>
          <w:rFonts w:cstheme="minorHAnsi"/>
          <w:b/>
          <w:bCs/>
          <w:sz w:val="28"/>
          <w:szCs w:val="28"/>
          <w:lang w:val="en-GB"/>
        </w:rPr>
        <w:t>CTP Recommendations</w:t>
      </w:r>
    </w:p>
    <w:p w14:paraId="322D947D" w14:textId="37FF96DA" w:rsidR="00D772F9" w:rsidRPr="00F10DCA" w:rsidRDefault="00D772F9" w:rsidP="00F10DCA">
      <w:pPr>
        <w:spacing w:line="240" w:lineRule="auto"/>
        <w:ind w:left="720"/>
        <w:contextualSpacing/>
        <w:rPr>
          <w:rFonts w:cstheme="minorHAnsi"/>
          <w:sz w:val="28"/>
          <w:szCs w:val="28"/>
          <w:lang w:val="en-GB"/>
        </w:rPr>
      </w:pPr>
    </w:p>
    <w:p w14:paraId="27DB3102" w14:textId="02A9F438" w:rsidR="00BE0D74" w:rsidRPr="00AA2BDE" w:rsidRDefault="003B0EE0" w:rsidP="00AA2BDE">
      <w:pPr>
        <w:pStyle w:val="ListParagraph"/>
        <w:numPr>
          <w:ilvl w:val="0"/>
          <w:numId w:val="16"/>
        </w:numPr>
        <w:spacing w:line="240" w:lineRule="auto"/>
        <w:rPr>
          <w:rFonts w:cstheme="minorHAnsi"/>
          <w:sz w:val="28"/>
          <w:szCs w:val="28"/>
          <w:lang w:val="en-GB"/>
        </w:rPr>
      </w:pPr>
      <w:r w:rsidRPr="00F10DCA">
        <w:rPr>
          <w:rFonts w:cstheme="minorHAnsi"/>
          <w:sz w:val="28"/>
          <w:szCs w:val="28"/>
          <w:lang w:val="en-GB"/>
        </w:rPr>
        <w:t>Progress Mental Health legislation update.</w:t>
      </w:r>
    </w:p>
    <w:p w14:paraId="08E9B6B6" w14:textId="19DDA442" w:rsidR="003B0EE0" w:rsidRPr="00AA2BDE" w:rsidRDefault="00BE0D74" w:rsidP="00AA2BDE">
      <w:pPr>
        <w:pStyle w:val="ListParagraph"/>
        <w:numPr>
          <w:ilvl w:val="0"/>
          <w:numId w:val="16"/>
        </w:numPr>
        <w:spacing w:line="240" w:lineRule="auto"/>
        <w:rPr>
          <w:rFonts w:cstheme="minorHAnsi"/>
          <w:sz w:val="28"/>
          <w:szCs w:val="28"/>
          <w:lang w:val="en-GB"/>
        </w:rPr>
      </w:pPr>
      <w:r w:rsidRPr="00F10DCA">
        <w:rPr>
          <w:rFonts w:cstheme="minorHAnsi"/>
          <w:sz w:val="28"/>
          <w:szCs w:val="28"/>
          <w:lang w:val="en-GB"/>
        </w:rPr>
        <w:t>Progress implementation of Sharing the Vision</w:t>
      </w:r>
    </w:p>
    <w:p w14:paraId="1CB002BE" w14:textId="4E025D75" w:rsidR="00D772F9" w:rsidRPr="00F10DCA" w:rsidRDefault="00D772F9" w:rsidP="00F10DCA">
      <w:pPr>
        <w:pStyle w:val="ListParagraph"/>
        <w:numPr>
          <w:ilvl w:val="0"/>
          <w:numId w:val="16"/>
        </w:numPr>
        <w:spacing w:line="240" w:lineRule="auto"/>
        <w:rPr>
          <w:rFonts w:cstheme="minorHAnsi"/>
          <w:sz w:val="28"/>
          <w:szCs w:val="28"/>
          <w:lang w:val="en-GB"/>
        </w:rPr>
      </w:pPr>
      <w:r w:rsidRPr="00F10DCA">
        <w:rPr>
          <w:rFonts w:cstheme="minorHAnsi"/>
          <w:sz w:val="28"/>
          <w:szCs w:val="28"/>
          <w:lang w:val="en-GB"/>
        </w:rPr>
        <w:t>Complete NFMHS project at Portrane to replace CMH.</w:t>
      </w:r>
    </w:p>
    <w:p w14:paraId="637EFA94" w14:textId="77777777" w:rsidR="00AA2BDE" w:rsidRDefault="00D772F9" w:rsidP="00AA2BDE">
      <w:pPr>
        <w:pStyle w:val="ListParagraph"/>
        <w:numPr>
          <w:ilvl w:val="0"/>
          <w:numId w:val="16"/>
        </w:numPr>
        <w:spacing w:line="240" w:lineRule="auto"/>
        <w:rPr>
          <w:rFonts w:cstheme="minorHAnsi"/>
          <w:sz w:val="28"/>
          <w:szCs w:val="28"/>
          <w:lang w:val="en-GB"/>
        </w:rPr>
      </w:pPr>
      <w:r w:rsidRPr="00F10DCA">
        <w:rPr>
          <w:rFonts w:cstheme="minorHAnsi"/>
          <w:sz w:val="28"/>
          <w:szCs w:val="28"/>
          <w:lang w:val="en-GB"/>
        </w:rPr>
        <w:t>Develop</w:t>
      </w:r>
      <w:r w:rsidR="0095599C" w:rsidRPr="00F10DCA">
        <w:rPr>
          <w:rFonts w:cstheme="minorHAnsi"/>
          <w:sz w:val="28"/>
          <w:szCs w:val="28"/>
          <w:lang w:val="en-GB"/>
        </w:rPr>
        <w:t xml:space="preserve"> the two planned 30 bed regional</w:t>
      </w:r>
      <w:r w:rsidRPr="00F10DCA">
        <w:rPr>
          <w:rFonts w:cstheme="minorHAnsi"/>
          <w:sz w:val="28"/>
          <w:szCs w:val="28"/>
          <w:lang w:val="en-GB"/>
        </w:rPr>
        <w:t xml:space="preserve"> ICRU/PICUs at regional level</w:t>
      </w:r>
      <w:r w:rsidR="0095599C" w:rsidRPr="00F10DCA">
        <w:rPr>
          <w:rFonts w:cstheme="minorHAnsi"/>
          <w:sz w:val="28"/>
          <w:szCs w:val="28"/>
          <w:lang w:val="en-GB"/>
        </w:rPr>
        <w:t xml:space="preserve"> under HSE Health Capital Programm</w:t>
      </w:r>
      <w:r w:rsidR="006278B2" w:rsidRPr="00F10DCA">
        <w:rPr>
          <w:rFonts w:cstheme="minorHAnsi"/>
          <w:sz w:val="28"/>
          <w:szCs w:val="28"/>
          <w:lang w:val="en-GB"/>
        </w:rPr>
        <w:t>e.</w:t>
      </w:r>
    </w:p>
    <w:p w14:paraId="0C8F8A14" w14:textId="70756A61" w:rsidR="003B0EE0" w:rsidRPr="00AA2BDE" w:rsidRDefault="003B0EE0" w:rsidP="00AA2BDE">
      <w:pPr>
        <w:pStyle w:val="ListParagraph"/>
        <w:numPr>
          <w:ilvl w:val="0"/>
          <w:numId w:val="16"/>
        </w:numPr>
        <w:spacing w:line="240" w:lineRule="auto"/>
        <w:rPr>
          <w:rFonts w:cstheme="minorHAnsi"/>
          <w:sz w:val="28"/>
          <w:szCs w:val="28"/>
          <w:lang w:val="en-GB"/>
        </w:rPr>
      </w:pPr>
      <w:r w:rsidRPr="00AA2BDE">
        <w:rPr>
          <w:rFonts w:cstheme="minorHAnsi"/>
          <w:sz w:val="28"/>
          <w:szCs w:val="28"/>
          <w:lang w:val="en-GB"/>
        </w:rPr>
        <w:t>Undertake review of inpatient bed capacity.</w:t>
      </w:r>
    </w:p>
    <w:p w14:paraId="29981254" w14:textId="4A03F6D5" w:rsidR="00772738" w:rsidRPr="00F10DCA" w:rsidRDefault="00772738" w:rsidP="00F10DCA">
      <w:pPr>
        <w:spacing w:line="240" w:lineRule="auto"/>
        <w:ind w:left="720"/>
        <w:contextualSpacing/>
        <w:rPr>
          <w:rFonts w:cstheme="minorHAnsi"/>
          <w:sz w:val="28"/>
          <w:szCs w:val="28"/>
          <w:lang w:val="en-GB"/>
        </w:rPr>
      </w:pPr>
    </w:p>
    <w:p w14:paraId="15212CD0" w14:textId="34C0DC76" w:rsidR="00772738" w:rsidRDefault="00772738" w:rsidP="000A7828">
      <w:pPr>
        <w:ind w:left="720"/>
        <w:contextualSpacing/>
        <w:rPr>
          <w:rFonts w:cstheme="minorHAnsi"/>
          <w:sz w:val="28"/>
          <w:szCs w:val="28"/>
          <w:lang w:val="en-GB"/>
        </w:rPr>
      </w:pPr>
    </w:p>
    <w:p w14:paraId="65D67DD8" w14:textId="0C281A46" w:rsidR="00772738" w:rsidRDefault="00772738" w:rsidP="000A7828">
      <w:pPr>
        <w:ind w:left="720"/>
        <w:contextualSpacing/>
        <w:rPr>
          <w:rFonts w:cstheme="minorHAnsi"/>
          <w:sz w:val="28"/>
          <w:szCs w:val="28"/>
          <w:lang w:val="en-GB"/>
        </w:rPr>
      </w:pPr>
    </w:p>
    <w:p w14:paraId="7984B243" w14:textId="1E60C3A5" w:rsidR="00491905" w:rsidRDefault="00491905" w:rsidP="000A7828">
      <w:pPr>
        <w:ind w:left="720"/>
        <w:contextualSpacing/>
        <w:rPr>
          <w:rFonts w:cstheme="minorHAnsi"/>
          <w:sz w:val="28"/>
          <w:szCs w:val="28"/>
          <w:lang w:val="en-GB"/>
        </w:rPr>
      </w:pPr>
    </w:p>
    <w:p w14:paraId="013E6684" w14:textId="51EF73B3" w:rsidR="00491905" w:rsidRDefault="00491905" w:rsidP="000A7828">
      <w:pPr>
        <w:ind w:left="720"/>
        <w:contextualSpacing/>
        <w:rPr>
          <w:rFonts w:cstheme="minorHAnsi"/>
          <w:sz w:val="28"/>
          <w:szCs w:val="28"/>
          <w:lang w:val="en-GB"/>
        </w:rPr>
      </w:pPr>
    </w:p>
    <w:p w14:paraId="6A367823" w14:textId="77777777" w:rsidR="00491905" w:rsidRDefault="00491905" w:rsidP="000A7828">
      <w:pPr>
        <w:ind w:left="720"/>
        <w:contextualSpacing/>
        <w:rPr>
          <w:rFonts w:cstheme="minorHAnsi"/>
          <w:sz w:val="28"/>
          <w:szCs w:val="28"/>
          <w:lang w:val="en-GB"/>
        </w:rPr>
      </w:pPr>
    </w:p>
    <w:p w14:paraId="48F946A6" w14:textId="77777777" w:rsidR="00772738" w:rsidRDefault="00772738" w:rsidP="000A7828">
      <w:pPr>
        <w:ind w:left="720"/>
        <w:contextualSpacing/>
        <w:rPr>
          <w:rFonts w:cstheme="minorHAnsi"/>
          <w:sz w:val="28"/>
          <w:szCs w:val="28"/>
          <w:lang w:val="en-GB"/>
        </w:rPr>
      </w:pPr>
    </w:p>
    <w:p w14:paraId="134DA359" w14:textId="77777777" w:rsidR="00E47702" w:rsidRDefault="00E47702" w:rsidP="000A7828">
      <w:pPr>
        <w:ind w:left="720"/>
        <w:contextualSpacing/>
        <w:rPr>
          <w:rFonts w:cstheme="minorHAnsi"/>
          <w:sz w:val="28"/>
          <w:szCs w:val="28"/>
          <w:lang w:val="en-GB"/>
        </w:rPr>
      </w:pPr>
    </w:p>
    <w:p w14:paraId="04E87157" w14:textId="3744E3B2" w:rsidR="000A7828" w:rsidRPr="000A7828" w:rsidRDefault="00E47702" w:rsidP="006278B2">
      <w:pPr>
        <w:contextualSpacing/>
        <w:rPr>
          <w:rFonts w:cstheme="minorHAnsi"/>
          <w:sz w:val="28"/>
          <w:szCs w:val="28"/>
          <w:lang w:val="en-GB"/>
        </w:rPr>
      </w:pPr>
      <w:r w:rsidRPr="001C1818">
        <w:rPr>
          <w:rFonts w:cstheme="minorHAnsi"/>
          <w:i/>
          <w:iCs/>
          <w:sz w:val="16"/>
          <w:szCs w:val="16"/>
          <w:lang w:val="en-GB"/>
        </w:rPr>
        <w:fldChar w:fldCharType="begin"/>
      </w:r>
      <w:r w:rsidRPr="001C1818">
        <w:rPr>
          <w:rFonts w:cstheme="minorHAnsi"/>
          <w:i/>
          <w:iCs/>
          <w:sz w:val="16"/>
          <w:szCs w:val="16"/>
          <w:lang w:val="en-GB"/>
        </w:rPr>
        <w:instrText xml:space="preserve"> FILENAME  \p  \* MERGEFORMAT </w:instrText>
      </w:r>
      <w:r w:rsidRPr="001C1818">
        <w:rPr>
          <w:rFonts w:cstheme="minorHAnsi"/>
          <w:i/>
          <w:iCs/>
          <w:sz w:val="16"/>
          <w:szCs w:val="16"/>
          <w:lang w:val="en-GB"/>
        </w:rPr>
        <w:fldChar w:fldCharType="separate"/>
      </w:r>
      <w:r w:rsidRPr="001C1818">
        <w:rPr>
          <w:rFonts w:cstheme="minorHAnsi"/>
          <w:i/>
          <w:iCs/>
          <w:noProof/>
          <w:sz w:val="16"/>
          <w:szCs w:val="16"/>
          <w:lang w:val="en-GB"/>
        </w:rPr>
        <w:t>O:\MENHLTH\Prison Healthcare Services\Health Taskforce with Justice on Prisons\2021\HLTF - Background Note on MH for 120521 meeting.docx</w:t>
      </w:r>
      <w:r w:rsidRPr="001C1818">
        <w:rPr>
          <w:rFonts w:cstheme="minorHAnsi"/>
          <w:i/>
          <w:iCs/>
          <w:sz w:val="16"/>
          <w:szCs w:val="16"/>
          <w:lang w:val="en-GB"/>
        </w:rPr>
        <w:fldChar w:fldCharType="end"/>
      </w:r>
      <w:r w:rsidR="000A7828" w:rsidRPr="000A7828">
        <w:rPr>
          <w:rFonts w:cstheme="minorHAnsi"/>
          <w:sz w:val="28"/>
          <w:szCs w:val="28"/>
          <w:lang w:val="en-GB"/>
        </w:rPr>
        <w:br w:type="page"/>
      </w:r>
    </w:p>
    <w:p w14:paraId="3F4643ED" w14:textId="77777777" w:rsidR="000A7828" w:rsidRDefault="000A7828" w:rsidP="003C3D08"/>
    <w:sectPr w:rsidR="000A7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9670A"/>
    <w:multiLevelType w:val="hybridMultilevel"/>
    <w:tmpl w:val="1F7AE5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3B14AD"/>
    <w:multiLevelType w:val="hybridMultilevel"/>
    <w:tmpl w:val="D1F41874"/>
    <w:lvl w:ilvl="0" w:tplc="5CC2F014">
      <w:start w:val="2"/>
      <w:numFmt w:val="lowerLetter"/>
      <w:lvlText w:val="(%1)"/>
      <w:lvlJc w:val="left"/>
      <w:pPr>
        <w:tabs>
          <w:tab w:val="num" w:pos="720"/>
        </w:tabs>
        <w:ind w:left="720" w:hanging="360"/>
      </w:pPr>
    </w:lvl>
    <w:lvl w:ilvl="1" w:tplc="BA1EBC10" w:tentative="1">
      <w:start w:val="1"/>
      <w:numFmt w:val="lowerLetter"/>
      <w:lvlText w:val="(%2)"/>
      <w:lvlJc w:val="left"/>
      <w:pPr>
        <w:tabs>
          <w:tab w:val="num" w:pos="1440"/>
        </w:tabs>
        <w:ind w:left="1440" w:hanging="360"/>
      </w:pPr>
    </w:lvl>
    <w:lvl w:ilvl="2" w:tplc="353A7978" w:tentative="1">
      <w:start w:val="1"/>
      <w:numFmt w:val="lowerLetter"/>
      <w:lvlText w:val="(%3)"/>
      <w:lvlJc w:val="left"/>
      <w:pPr>
        <w:tabs>
          <w:tab w:val="num" w:pos="2160"/>
        </w:tabs>
        <w:ind w:left="2160" w:hanging="360"/>
      </w:pPr>
    </w:lvl>
    <w:lvl w:ilvl="3" w:tplc="96A6C548" w:tentative="1">
      <w:start w:val="1"/>
      <w:numFmt w:val="lowerLetter"/>
      <w:lvlText w:val="(%4)"/>
      <w:lvlJc w:val="left"/>
      <w:pPr>
        <w:tabs>
          <w:tab w:val="num" w:pos="2880"/>
        </w:tabs>
        <w:ind w:left="2880" w:hanging="360"/>
      </w:pPr>
    </w:lvl>
    <w:lvl w:ilvl="4" w:tplc="D46A7E72" w:tentative="1">
      <w:start w:val="1"/>
      <w:numFmt w:val="lowerLetter"/>
      <w:lvlText w:val="(%5)"/>
      <w:lvlJc w:val="left"/>
      <w:pPr>
        <w:tabs>
          <w:tab w:val="num" w:pos="3600"/>
        </w:tabs>
        <w:ind w:left="3600" w:hanging="360"/>
      </w:pPr>
    </w:lvl>
    <w:lvl w:ilvl="5" w:tplc="7B78477E" w:tentative="1">
      <w:start w:val="1"/>
      <w:numFmt w:val="lowerLetter"/>
      <w:lvlText w:val="(%6)"/>
      <w:lvlJc w:val="left"/>
      <w:pPr>
        <w:tabs>
          <w:tab w:val="num" w:pos="4320"/>
        </w:tabs>
        <w:ind w:left="4320" w:hanging="360"/>
      </w:pPr>
    </w:lvl>
    <w:lvl w:ilvl="6" w:tplc="1AA44BF0" w:tentative="1">
      <w:start w:val="1"/>
      <w:numFmt w:val="lowerLetter"/>
      <w:lvlText w:val="(%7)"/>
      <w:lvlJc w:val="left"/>
      <w:pPr>
        <w:tabs>
          <w:tab w:val="num" w:pos="5040"/>
        </w:tabs>
        <w:ind w:left="5040" w:hanging="360"/>
      </w:pPr>
    </w:lvl>
    <w:lvl w:ilvl="7" w:tplc="C9B0E51A" w:tentative="1">
      <w:start w:val="1"/>
      <w:numFmt w:val="lowerLetter"/>
      <w:lvlText w:val="(%8)"/>
      <w:lvlJc w:val="left"/>
      <w:pPr>
        <w:tabs>
          <w:tab w:val="num" w:pos="5760"/>
        </w:tabs>
        <w:ind w:left="5760" w:hanging="360"/>
      </w:pPr>
    </w:lvl>
    <w:lvl w:ilvl="8" w:tplc="C346FE16" w:tentative="1">
      <w:start w:val="1"/>
      <w:numFmt w:val="lowerLetter"/>
      <w:lvlText w:val="(%9)"/>
      <w:lvlJc w:val="left"/>
      <w:pPr>
        <w:tabs>
          <w:tab w:val="num" w:pos="6480"/>
        </w:tabs>
        <w:ind w:left="6480" w:hanging="360"/>
      </w:pPr>
    </w:lvl>
  </w:abstractNum>
  <w:abstractNum w:abstractNumId="2" w15:restartNumberingAfterBreak="0">
    <w:nsid w:val="0C1B1B59"/>
    <w:multiLevelType w:val="hybridMultilevel"/>
    <w:tmpl w:val="861EC8FE"/>
    <w:lvl w:ilvl="0" w:tplc="1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3B47BB"/>
    <w:multiLevelType w:val="hybridMultilevel"/>
    <w:tmpl w:val="6A0A5A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525CD3"/>
    <w:multiLevelType w:val="hybridMultilevel"/>
    <w:tmpl w:val="92A651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ECC3096"/>
    <w:multiLevelType w:val="hybridMultilevel"/>
    <w:tmpl w:val="25E296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701864"/>
    <w:multiLevelType w:val="hybridMultilevel"/>
    <w:tmpl w:val="C01A1F76"/>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461873"/>
    <w:multiLevelType w:val="hybridMultilevel"/>
    <w:tmpl w:val="6BC872E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1666425"/>
    <w:multiLevelType w:val="hybridMultilevel"/>
    <w:tmpl w:val="7486A962"/>
    <w:lvl w:ilvl="0" w:tplc="B470B13C">
      <w:start w:val="1"/>
      <w:numFmt w:val="bullet"/>
      <w:lvlText w:val=""/>
      <w:lvlJc w:val="left"/>
      <w:pPr>
        <w:ind w:left="720" w:hanging="360"/>
      </w:pPr>
      <w:rPr>
        <w:rFonts w:ascii="Symbol" w:hAnsi="Symbol" w:hint="default"/>
        <w:color w:val="auto"/>
      </w:rPr>
    </w:lvl>
    <w:lvl w:ilvl="1" w:tplc="6D909BF6">
      <w:start w:val="1"/>
      <w:numFmt w:val="bullet"/>
      <w:lvlText w:val=""/>
      <w:lvlJc w:val="left"/>
      <w:pPr>
        <w:ind w:left="1440" w:hanging="360"/>
      </w:pPr>
      <w:rPr>
        <w:rFonts w:ascii="Symbol" w:hAnsi="Symbol"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325A5BE3"/>
    <w:multiLevelType w:val="hybridMultilevel"/>
    <w:tmpl w:val="B7C0DD5E"/>
    <w:lvl w:ilvl="0" w:tplc="F8E64ACE">
      <w:start w:val="1"/>
      <w:numFmt w:val="bullet"/>
      <w:lvlText w:val="•"/>
      <w:lvlJc w:val="left"/>
      <w:pPr>
        <w:tabs>
          <w:tab w:val="num" w:pos="720"/>
        </w:tabs>
        <w:ind w:left="720" w:hanging="360"/>
      </w:pPr>
      <w:rPr>
        <w:rFonts w:ascii="Arial" w:hAnsi="Arial" w:hint="default"/>
      </w:rPr>
    </w:lvl>
    <w:lvl w:ilvl="1" w:tplc="20F26906" w:tentative="1">
      <w:start w:val="1"/>
      <w:numFmt w:val="bullet"/>
      <w:lvlText w:val="•"/>
      <w:lvlJc w:val="left"/>
      <w:pPr>
        <w:tabs>
          <w:tab w:val="num" w:pos="1440"/>
        </w:tabs>
        <w:ind w:left="1440" w:hanging="360"/>
      </w:pPr>
      <w:rPr>
        <w:rFonts w:ascii="Arial" w:hAnsi="Arial" w:hint="default"/>
      </w:rPr>
    </w:lvl>
    <w:lvl w:ilvl="2" w:tplc="9A2AD312" w:tentative="1">
      <w:start w:val="1"/>
      <w:numFmt w:val="bullet"/>
      <w:lvlText w:val="•"/>
      <w:lvlJc w:val="left"/>
      <w:pPr>
        <w:tabs>
          <w:tab w:val="num" w:pos="2160"/>
        </w:tabs>
        <w:ind w:left="2160" w:hanging="360"/>
      </w:pPr>
      <w:rPr>
        <w:rFonts w:ascii="Arial" w:hAnsi="Arial" w:hint="default"/>
      </w:rPr>
    </w:lvl>
    <w:lvl w:ilvl="3" w:tplc="076613C4" w:tentative="1">
      <w:start w:val="1"/>
      <w:numFmt w:val="bullet"/>
      <w:lvlText w:val="•"/>
      <w:lvlJc w:val="left"/>
      <w:pPr>
        <w:tabs>
          <w:tab w:val="num" w:pos="2880"/>
        </w:tabs>
        <w:ind w:left="2880" w:hanging="360"/>
      </w:pPr>
      <w:rPr>
        <w:rFonts w:ascii="Arial" w:hAnsi="Arial" w:hint="default"/>
      </w:rPr>
    </w:lvl>
    <w:lvl w:ilvl="4" w:tplc="8516FE82" w:tentative="1">
      <w:start w:val="1"/>
      <w:numFmt w:val="bullet"/>
      <w:lvlText w:val="•"/>
      <w:lvlJc w:val="left"/>
      <w:pPr>
        <w:tabs>
          <w:tab w:val="num" w:pos="3600"/>
        </w:tabs>
        <w:ind w:left="3600" w:hanging="360"/>
      </w:pPr>
      <w:rPr>
        <w:rFonts w:ascii="Arial" w:hAnsi="Arial" w:hint="default"/>
      </w:rPr>
    </w:lvl>
    <w:lvl w:ilvl="5" w:tplc="8696A456" w:tentative="1">
      <w:start w:val="1"/>
      <w:numFmt w:val="bullet"/>
      <w:lvlText w:val="•"/>
      <w:lvlJc w:val="left"/>
      <w:pPr>
        <w:tabs>
          <w:tab w:val="num" w:pos="4320"/>
        </w:tabs>
        <w:ind w:left="4320" w:hanging="360"/>
      </w:pPr>
      <w:rPr>
        <w:rFonts w:ascii="Arial" w:hAnsi="Arial" w:hint="default"/>
      </w:rPr>
    </w:lvl>
    <w:lvl w:ilvl="6" w:tplc="1DF818B0" w:tentative="1">
      <w:start w:val="1"/>
      <w:numFmt w:val="bullet"/>
      <w:lvlText w:val="•"/>
      <w:lvlJc w:val="left"/>
      <w:pPr>
        <w:tabs>
          <w:tab w:val="num" w:pos="5040"/>
        </w:tabs>
        <w:ind w:left="5040" w:hanging="360"/>
      </w:pPr>
      <w:rPr>
        <w:rFonts w:ascii="Arial" w:hAnsi="Arial" w:hint="default"/>
      </w:rPr>
    </w:lvl>
    <w:lvl w:ilvl="7" w:tplc="85581A46" w:tentative="1">
      <w:start w:val="1"/>
      <w:numFmt w:val="bullet"/>
      <w:lvlText w:val="•"/>
      <w:lvlJc w:val="left"/>
      <w:pPr>
        <w:tabs>
          <w:tab w:val="num" w:pos="5760"/>
        </w:tabs>
        <w:ind w:left="5760" w:hanging="360"/>
      </w:pPr>
      <w:rPr>
        <w:rFonts w:ascii="Arial" w:hAnsi="Arial" w:hint="default"/>
      </w:rPr>
    </w:lvl>
    <w:lvl w:ilvl="8" w:tplc="6D48FDC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CD2AAE"/>
    <w:multiLevelType w:val="hybridMultilevel"/>
    <w:tmpl w:val="1DC0BCD2"/>
    <w:lvl w:ilvl="0" w:tplc="623880E8">
      <w:start w:val="1"/>
      <w:numFmt w:val="bullet"/>
      <w:lvlText w:val="•"/>
      <w:lvlJc w:val="left"/>
      <w:pPr>
        <w:tabs>
          <w:tab w:val="num" w:pos="720"/>
        </w:tabs>
        <w:ind w:left="720" w:hanging="360"/>
      </w:pPr>
      <w:rPr>
        <w:rFonts w:ascii="Arial" w:hAnsi="Arial" w:hint="default"/>
      </w:rPr>
    </w:lvl>
    <w:lvl w:ilvl="1" w:tplc="B6FC859C" w:tentative="1">
      <w:start w:val="1"/>
      <w:numFmt w:val="bullet"/>
      <w:lvlText w:val="•"/>
      <w:lvlJc w:val="left"/>
      <w:pPr>
        <w:tabs>
          <w:tab w:val="num" w:pos="1440"/>
        </w:tabs>
        <w:ind w:left="1440" w:hanging="360"/>
      </w:pPr>
      <w:rPr>
        <w:rFonts w:ascii="Arial" w:hAnsi="Arial" w:hint="default"/>
      </w:rPr>
    </w:lvl>
    <w:lvl w:ilvl="2" w:tplc="1EE6A5F6" w:tentative="1">
      <w:start w:val="1"/>
      <w:numFmt w:val="bullet"/>
      <w:lvlText w:val="•"/>
      <w:lvlJc w:val="left"/>
      <w:pPr>
        <w:tabs>
          <w:tab w:val="num" w:pos="2160"/>
        </w:tabs>
        <w:ind w:left="2160" w:hanging="360"/>
      </w:pPr>
      <w:rPr>
        <w:rFonts w:ascii="Arial" w:hAnsi="Arial" w:hint="default"/>
      </w:rPr>
    </w:lvl>
    <w:lvl w:ilvl="3" w:tplc="73F0488A" w:tentative="1">
      <w:start w:val="1"/>
      <w:numFmt w:val="bullet"/>
      <w:lvlText w:val="•"/>
      <w:lvlJc w:val="left"/>
      <w:pPr>
        <w:tabs>
          <w:tab w:val="num" w:pos="2880"/>
        </w:tabs>
        <w:ind w:left="2880" w:hanging="360"/>
      </w:pPr>
      <w:rPr>
        <w:rFonts w:ascii="Arial" w:hAnsi="Arial" w:hint="default"/>
      </w:rPr>
    </w:lvl>
    <w:lvl w:ilvl="4" w:tplc="4CC80664" w:tentative="1">
      <w:start w:val="1"/>
      <w:numFmt w:val="bullet"/>
      <w:lvlText w:val="•"/>
      <w:lvlJc w:val="left"/>
      <w:pPr>
        <w:tabs>
          <w:tab w:val="num" w:pos="3600"/>
        </w:tabs>
        <w:ind w:left="3600" w:hanging="360"/>
      </w:pPr>
      <w:rPr>
        <w:rFonts w:ascii="Arial" w:hAnsi="Arial" w:hint="default"/>
      </w:rPr>
    </w:lvl>
    <w:lvl w:ilvl="5" w:tplc="84B8F856" w:tentative="1">
      <w:start w:val="1"/>
      <w:numFmt w:val="bullet"/>
      <w:lvlText w:val="•"/>
      <w:lvlJc w:val="left"/>
      <w:pPr>
        <w:tabs>
          <w:tab w:val="num" w:pos="4320"/>
        </w:tabs>
        <w:ind w:left="4320" w:hanging="360"/>
      </w:pPr>
      <w:rPr>
        <w:rFonts w:ascii="Arial" w:hAnsi="Arial" w:hint="default"/>
      </w:rPr>
    </w:lvl>
    <w:lvl w:ilvl="6" w:tplc="89D65562" w:tentative="1">
      <w:start w:val="1"/>
      <w:numFmt w:val="bullet"/>
      <w:lvlText w:val="•"/>
      <w:lvlJc w:val="left"/>
      <w:pPr>
        <w:tabs>
          <w:tab w:val="num" w:pos="5040"/>
        </w:tabs>
        <w:ind w:left="5040" w:hanging="360"/>
      </w:pPr>
      <w:rPr>
        <w:rFonts w:ascii="Arial" w:hAnsi="Arial" w:hint="default"/>
      </w:rPr>
    </w:lvl>
    <w:lvl w:ilvl="7" w:tplc="1D92DCE8" w:tentative="1">
      <w:start w:val="1"/>
      <w:numFmt w:val="bullet"/>
      <w:lvlText w:val="•"/>
      <w:lvlJc w:val="left"/>
      <w:pPr>
        <w:tabs>
          <w:tab w:val="num" w:pos="5760"/>
        </w:tabs>
        <w:ind w:left="5760" w:hanging="360"/>
      </w:pPr>
      <w:rPr>
        <w:rFonts w:ascii="Arial" w:hAnsi="Arial" w:hint="default"/>
      </w:rPr>
    </w:lvl>
    <w:lvl w:ilvl="8" w:tplc="5BAC532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78C21F5"/>
    <w:multiLevelType w:val="hybridMultilevel"/>
    <w:tmpl w:val="D608A29C"/>
    <w:lvl w:ilvl="0" w:tplc="6D909BF6">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2" w15:restartNumberingAfterBreak="0">
    <w:nsid w:val="3F93245A"/>
    <w:multiLevelType w:val="hybridMultilevel"/>
    <w:tmpl w:val="77C0A16C"/>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3210DA3"/>
    <w:multiLevelType w:val="hybridMultilevel"/>
    <w:tmpl w:val="A4C820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214C8B"/>
    <w:multiLevelType w:val="hybridMultilevel"/>
    <w:tmpl w:val="5926A078"/>
    <w:lvl w:ilvl="0" w:tplc="87FC55C0">
      <w:start w:val="1"/>
      <w:numFmt w:val="decimal"/>
      <w:lvlText w:val="%1."/>
      <w:lvlJc w:val="left"/>
      <w:pPr>
        <w:tabs>
          <w:tab w:val="num" w:pos="720"/>
        </w:tabs>
        <w:ind w:left="720" w:hanging="360"/>
      </w:pPr>
    </w:lvl>
    <w:lvl w:ilvl="1" w:tplc="3A983196" w:tentative="1">
      <w:start w:val="1"/>
      <w:numFmt w:val="decimal"/>
      <w:lvlText w:val="%2."/>
      <w:lvlJc w:val="left"/>
      <w:pPr>
        <w:tabs>
          <w:tab w:val="num" w:pos="1440"/>
        </w:tabs>
        <w:ind w:left="1440" w:hanging="360"/>
      </w:pPr>
    </w:lvl>
    <w:lvl w:ilvl="2" w:tplc="B7107ED4" w:tentative="1">
      <w:start w:val="1"/>
      <w:numFmt w:val="decimal"/>
      <w:lvlText w:val="%3."/>
      <w:lvlJc w:val="left"/>
      <w:pPr>
        <w:tabs>
          <w:tab w:val="num" w:pos="2160"/>
        </w:tabs>
        <w:ind w:left="2160" w:hanging="360"/>
      </w:pPr>
    </w:lvl>
    <w:lvl w:ilvl="3" w:tplc="F90288F4" w:tentative="1">
      <w:start w:val="1"/>
      <w:numFmt w:val="decimal"/>
      <w:lvlText w:val="%4."/>
      <w:lvlJc w:val="left"/>
      <w:pPr>
        <w:tabs>
          <w:tab w:val="num" w:pos="2880"/>
        </w:tabs>
        <w:ind w:left="2880" w:hanging="360"/>
      </w:pPr>
    </w:lvl>
    <w:lvl w:ilvl="4" w:tplc="8B001110" w:tentative="1">
      <w:start w:val="1"/>
      <w:numFmt w:val="decimal"/>
      <w:lvlText w:val="%5."/>
      <w:lvlJc w:val="left"/>
      <w:pPr>
        <w:tabs>
          <w:tab w:val="num" w:pos="3600"/>
        </w:tabs>
        <w:ind w:left="3600" w:hanging="360"/>
      </w:pPr>
    </w:lvl>
    <w:lvl w:ilvl="5" w:tplc="F0720DDC" w:tentative="1">
      <w:start w:val="1"/>
      <w:numFmt w:val="decimal"/>
      <w:lvlText w:val="%6."/>
      <w:lvlJc w:val="left"/>
      <w:pPr>
        <w:tabs>
          <w:tab w:val="num" w:pos="4320"/>
        </w:tabs>
        <w:ind w:left="4320" w:hanging="360"/>
      </w:pPr>
    </w:lvl>
    <w:lvl w:ilvl="6" w:tplc="2334E170" w:tentative="1">
      <w:start w:val="1"/>
      <w:numFmt w:val="decimal"/>
      <w:lvlText w:val="%7."/>
      <w:lvlJc w:val="left"/>
      <w:pPr>
        <w:tabs>
          <w:tab w:val="num" w:pos="5040"/>
        </w:tabs>
        <w:ind w:left="5040" w:hanging="360"/>
      </w:pPr>
    </w:lvl>
    <w:lvl w:ilvl="7" w:tplc="48D47C18" w:tentative="1">
      <w:start w:val="1"/>
      <w:numFmt w:val="decimal"/>
      <w:lvlText w:val="%8."/>
      <w:lvlJc w:val="left"/>
      <w:pPr>
        <w:tabs>
          <w:tab w:val="num" w:pos="5760"/>
        </w:tabs>
        <w:ind w:left="5760" w:hanging="360"/>
      </w:pPr>
    </w:lvl>
    <w:lvl w:ilvl="8" w:tplc="4B72AE76" w:tentative="1">
      <w:start w:val="1"/>
      <w:numFmt w:val="decimal"/>
      <w:lvlText w:val="%9."/>
      <w:lvlJc w:val="left"/>
      <w:pPr>
        <w:tabs>
          <w:tab w:val="num" w:pos="6480"/>
        </w:tabs>
        <w:ind w:left="6480" w:hanging="360"/>
      </w:pPr>
    </w:lvl>
  </w:abstractNum>
  <w:abstractNum w:abstractNumId="15" w15:restartNumberingAfterBreak="0">
    <w:nsid w:val="53070DCA"/>
    <w:multiLevelType w:val="hybridMultilevel"/>
    <w:tmpl w:val="5636E5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6FF421B"/>
    <w:multiLevelType w:val="hybridMultilevel"/>
    <w:tmpl w:val="A06A6D3C"/>
    <w:lvl w:ilvl="0" w:tplc="37840EEA">
      <w:start w:val="1"/>
      <w:numFmt w:val="bullet"/>
      <w:lvlText w:val="•"/>
      <w:lvlJc w:val="left"/>
      <w:pPr>
        <w:tabs>
          <w:tab w:val="num" w:pos="720"/>
        </w:tabs>
        <w:ind w:left="720" w:hanging="360"/>
      </w:pPr>
      <w:rPr>
        <w:rFonts w:ascii="Arial" w:hAnsi="Arial" w:hint="default"/>
      </w:rPr>
    </w:lvl>
    <w:lvl w:ilvl="1" w:tplc="A6FC8080" w:tentative="1">
      <w:start w:val="1"/>
      <w:numFmt w:val="bullet"/>
      <w:lvlText w:val="•"/>
      <w:lvlJc w:val="left"/>
      <w:pPr>
        <w:tabs>
          <w:tab w:val="num" w:pos="1440"/>
        </w:tabs>
        <w:ind w:left="1440" w:hanging="360"/>
      </w:pPr>
      <w:rPr>
        <w:rFonts w:ascii="Arial" w:hAnsi="Arial" w:hint="default"/>
      </w:rPr>
    </w:lvl>
    <w:lvl w:ilvl="2" w:tplc="108055C6" w:tentative="1">
      <w:start w:val="1"/>
      <w:numFmt w:val="bullet"/>
      <w:lvlText w:val="•"/>
      <w:lvlJc w:val="left"/>
      <w:pPr>
        <w:tabs>
          <w:tab w:val="num" w:pos="2160"/>
        </w:tabs>
        <w:ind w:left="2160" w:hanging="360"/>
      </w:pPr>
      <w:rPr>
        <w:rFonts w:ascii="Arial" w:hAnsi="Arial" w:hint="default"/>
      </w:rPr>
    </w:lvl>
    <w:lvl w:ilvl="3" w:tplc="E94CC8DC" w:tentative="1">
      <w:start w:val="1"/>
      <w:numFmt w:val="bullet"/>
      <w:lvlText w:val="•"/>
      <w:lvlJc w:val="left"/>
      <w:pPr>
        <w:tabs>
          <w:tab w:val="num" w:pos="2880"/>
        </w:tabs>
        <w:ind w:left="2880" w:hanging="360"/>
      </w:pPr>
      <w:rPr>
        <w:rFonts w:ascii="Arial" w:hAnsi="Arial" w:hint="default"/>
      </w:rPr>
    </w:lvl>
    <w:lvl w:ilvl="4" w:tplc="3C0E6190" w:tentative="1">
      <w:start w:val="1"/>
      <w:numFmt w:val="bullet"/>
      <w:lvlText w:val="•"/>
      <w:lvlJc w:val="left"/>
      <w:pPr>
        <w:tabs>
          <w:tab w:val="num" w:pos="3600"/>
        </w:tabs>
        <w:ind w:left="3600" w:hanging="360"/>
      </w:pPr>
      <w:rPr>
        <w:rFonts w:ascii="Arial" w:hAnsi="Arial" w:hint="default"/>
      </w:rPr>
    </w:lvl>
    <w:lvl w:ilvl="5" w:tplc="567EB166" w:tentative="1">
      <w:start w:val="1"/>
      <w:numFmt w:val="bullet"/>
      <w:lvlText w:val="•"/>
      <w:lvlJc w:val="left"/>
      <w:pPr>
        <w:tabs>
          <w:tab w:val="num" w:pos="4320"/>
        </w:tabs>
        <w:ind w:left="4320" w:hanging="360"/>
      </w:pPr>
      <w:rPr>
        <w:rFonts w:ascii="Arial" w:hAnsi="Arial" w:hint="default"/>
      </w:rPr>
    </w:lvl>
    <w:lvl w:ilvl="6" w:tplc="2E4EAF36" w:tentative="1">
      <w:start w:val="1"/>
      <w:numFmt w:val="bullet"/>
      <w:lvlText w:val="•"/>
      <w:lvlJc w:val="left"/>
      <w:pPr>
        <w:tabs>
          <w:tab w:val="num" w:pos="5040"/>
        </w:tabs>
        <w:ind w:left="5040" w:hanging="360"/>
      </w:pPr>
      <w:rPr>
        <w:rFonts w:ascii="Arial" w:hAnsi="Arial" w:hint="default"/>
      </w:rPr>
    </w:lvl>
    <w:lvl w:ilvl="7" w:tplc="54A838AE" w:tentative="1">
      <w:start w:val="1"/>
      <w:numFmt w:val="bullet"/>
      <w:lvlText w:val="•"/>
      <w:lvlJc w:val="left"/>
      <w:pPr>
        <w:tabs>
          <w:tab w:val="num" w:pos="5760"/>
        </w:tabs>
        <w:ind w:left="5760" w:hanging="360"/>
      </w:pPr>
      <w:rPr>
        <w:rFonts w:ascii="Arial" w:hAnsi="Arial" w:hint="default"/>
      </w:rPr>
    </w:lvl>
    <w:lvl w:ilvl="8" w:tplc="DB7260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ED4BBD"/>
    <w:multiLevelType w:val="hybridMultilevel"/>
    <w:tmpl w:val="BA68CF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346532C"/>
    <w:multiLevelType w:val="hybridMultilevel"/>
    <w:tmpl w:val="61DA52E6"/>
    <w:lvl w:ilvl="0" w:tplc="B7166FEE">
      <w:start w:val="1"/>
      <w:numFmt w:val="decimal"/>
      <w:lvlText w:val="%1."/>
      <w:lvlJc w:val="left"/>
      <w:pPr>
        <w:ind w:left="720" w:hanging="360"/>
      </w:pPr>
      <w:rPr>
        <w:rFonts w:asciiTheme="majorHAnsi" w:hAnsiTheme="majorHAnsi" w:hint="default"/>
        <w:b/>
        <w:bCs/>
        <w:color w:val="2E74B5" w:themeColor="accent5"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3A87D0F"/>
    <w:multiLevelType w:val="hybridMultilevel"/>
    <w:tmpl w:val="18142D3C"/>
    <w:lvl w:ilvl="0" w:tplc="C21654AC">
      <w:start w:val="3"/>
      <w:numFmt w:val="lowerLetter"/>
      <w:lvlText w:val="(%1)"/>
      <w:lvlJc w:val="left"/>
      <w:pPr>
        <w:tabs>
          <w:tab w:val="num" w:pos="720"/>
        </w:tabs>
        <w:ind w:left="720" w:hanging="360"/>
      </w:pPr>
    </w:lvl>
    <w:lvl w:ilvl="1" w:tplc="A0BCD34E" w:tentative="1">
      <w:start w:val="1"/>
      <w:numFmt w:val="lowerLetter"/>
      <w:lvlText w:val="(%2)"/>
      <w:lvlJc w:val="left"/>
      <w:pPr>
        <w:tabs>
          <w:tab w:val="num" w:pos="1440"/>
        </w:tabs>
        <w:ind w:left="1440" w:hanging="360"/>
      </w:pPr>
    </w:lvl>
    <w:lvl w:ilvl="2" w:tplc="FC702106" w:tentative="1">
      <w:start w:val="1"/>
      <w:numFmt w:val="lowerLetter"/>
      <w:lvlText w:val="(%3)"/>
      <w:lvlJc w:val="left"/>
      <w:pPr>
        <w:tabs>
          <w:tab w:val="num" w:pos="2160"/>
        </w:tabs>
        <w:ind w:left="2160" w:hanging="360"/>
      </w:pPr>
    </w:lvl>
    <w:lvl w:ilvl="3" w:tplc="261424C4" w:tentative="1">
      <w:start w:val="1"/>
      <w:numFmt w:val="lowerLetter"/>
      <w:lvlText w:val="(%4)"/>
      <w:lvlJc w:val="left"/>
      <w:pPr>
        <w:tabs>
          <w:tab w:val="num" w:pos="2880"/>
        </w:tabs>
        <w:ind w:left="2880" w:hanging="360"/>
      </w:pPr>
    </w:lvl>
    <w:lvl w:ilvl="4" w:tplc="B734B8FE" w:tentative="1">
      <w:start w:val="1"/>
      <w:numFmt w:val="lowerLetter"/>
      <w:lvlText w:val="(%5)"/>
      <w:lvlJc w:val="left"/>
      <w:pPr>
        <w:tabs>
          <w:tab w:val="num" w:pos="3600"/>
        </w:tabs>
        <w:ind w:left="3600" w:hanging="360"/>
      </w:pPr>
    </w:lvl>
    <w:lvl w:ilvl="5" w:tplc="66DC9EA8" w:tentative="1">
      <w:start w:val="1"/>
      <w:numFmt w:val="lowerLetter"/>
      <w:lvlText w:val="(%6)"/>
      <w:lvlJc w:val="left"/>
      <w:pPr>
        <w:tabs>
          <w:tab w:val="num" w:pos="4320"/>
        </w:tabs>
        <w:ind w:left="4320" w:hanging="360"/>
      </w:pPr>
    </w:lvl>
    <w:lvl w:ilvl="6" w:tplc="449A3914" w:tentative="1">
      <w:start w:val="1"/>
      <w:numFmt w:val="lowerLetter"/>
      <w:lvlText w:val="(%7)"/>
      <w:lvlJc w:val="left"/>
      <w:pPr>
        <w:tabs>
          <w:tab w:val="num" w:pos="5040"/>
        </w:tabs>
        <w:ind w:left="5040" w:hanging="360"/>
      </w:pPr>
    </w:lvl>
    <w:lvl w:ilvl="7" w:tplc="096E2A58" w:tentative="1">
      <w:start w:val="1"/>
      <w:numFmt w:val="lowerLetter"/>
      <w:lvlText w:val="(%8)"/>
      <w:lvlJc w:val="left"/>
      <w:pPr>
        <w:tabs>
          <w:tab w:val="num" w:pos="5760"/>
        </w:tabs>
        <w:ind w:left="5760" w:hanging="360"/>
      </w:pPr>
    </w:lvl>
    <w:lvl w:ilvl="8" w:tplc="C6E4CA88" w:tentative="1">
      <w:start w:val="1"/>
      <w:numFmt w:val="lowerLetter"/>
      <w:lvlText w:val="(%9)"/>
      <w:lvlJc w:val="left"/>
      <w:pPr>
        <w:tabs>
          <w:tab w:val="num" w:pos="6480"/>
        </w:tabs>
        <w:ind w:left="6480" w:hanging="360"/>
      </w:pPr>
    </w:lvl>
  </w:abstractNum>
  <w:abstractNum w:abstractNumId="20" w15:restartNumberingAfterBreak="0">
    <w:nsid w:val="68BD6AAB"/>
    <w:multiLevelType w:val="hybridMultilevel"/>
    <w:tmpl w:val="BD584B74"/>
    <w:lvl w:ilvl="0" w:tplc="104A5F16">
      <w:start w:val="1"/>
      <w:numFmt w:val="bullet"/>
      <w:lvlText w:val="•"/>
      <w:lvlJc w:val="left"/>
      <w:pPr>
        <w:tabs>
          <w:tab w:val="num" w:pos="720"/>
        </w:tabs>
        <w:ind w:left="720" w:hanging="360"/>
      </w:pPr>
      <w:rPr>
        <w:rFonts w:ascii="Arial" w:hAnsi="Arial" w:hint="default"/>
      </w:rPr>
    </w:lvl>
    <w:lvl w:ilvl="1" w:tplc="6784C920" w:tentative="1">
      <w:start w:val="1"/>
      <w:numFmt w:val="bullet"/>
      <w:lvlText w:val="•"/>
      <w:lvlJc w:val="left"/>
      <w:pPr>
        <w:tabs>
          <w:tab w:val="num" w:pos="1440"/>
        </w:tabs>
        <w:ind w:left="1440" w:hanging="360"/>
      </w:pPr>
      <w:rPr>
        <w:rFonts w:ascii="Arial" w:hAnsi="Arial" w:hint="default"/>
      </w:rPr>
    </w:lvl>
    <w:lvl w:ilvl="2" w:tplc="78DAB162" w:tentative="1">
      <w:start w:val="1"/>
      <w:numFmt w:val="bullet"/>
      <w:lvlText w:val="•"/>
      <w:lvlJc w:val="left"/>
      <w:pPr>
        <w:tabs>
          <w:tab w:val="num" w:pos="2160"/>
        </w:tabs>
        <w:ind w:left="2160" w:hanging="360"/>
      </w:pPr>
      <w:rPr>
        <w:rFonts w:ascii="Arial" w:hAnsi="Arial" w:hint="default"/>
      </w:rPr>
    </w:lvl>
    <w:lvl w:ilvl="3" w:tplc="76B6B366" w:tentative="1">
      <w:start w:val="1"/>
      <w:numFmt w:val="bullet"/>
      <w:lvlText w:val="•"/>
      <w:lvlJc w:val="left"/>
      <w:pPr>
        <w:tabs>
          <w:tab w:val="num" w:pos="2880"/>
        </w:tabs>
        <w:ind w:left="2880" w:hanging="360"/>
      </w:pPr>
      <w:rPr>
        <w:rFonts w:ascii="Arial" w:hAnsi="Arial" w:hint="default"/>
      </w:rPr>
    </w:lvl>
    <w:lvl w:ilvl="4" w:tplc="F4CE3688" w:tentative="1">
      <w:start w:val="1"/>
      <w:numFmt w:val="bullet"/>
      <w:lvlText w:val="•"/>
      <w:lvlJc w:val="left"/>
      <w:pPr>
        <w:tabs>
          <w:tab w:val="num" w:pos="3600"/>
        </w:tabs>
        <w:ind w:left="3600" w:hanging="360"/>
      </w:pPr>
      <w:rPr>
        <w:rFonts w:ascii="Arial" w:hAnsi="Arial" w:hint="default"/>
      </w:rPr>
    </w:lvl>
    <w:lvl w:ilvl="5" w:tplc="79D8FABA" w:tentative="1">
      <w:start w:val="1"/>
      <w:numFmt w:val="bullet"/>
      <w:lvlText w:val="•"/>
      <w:lvlJc w:val="left"/>
      <w:pPr>
        <w:tabs>
          <w:tab w:val="num" w:pos="4320"/>
        </w:tabs>
        <w:ind w:left="4320" w:hanging="360"/>
      </w:pPr>
      <w:rPr>
        <w:rFonts w:ascii="Arial" w:hAnsi="Arial" w:hint="default"/>
      </w:rPr>
    </w:lvl>
    <w:lvl w:ilvl="6" w:tplc="70B41FDC" w:tentative="1">
      <w:start w:val="1"/>
      <w:numFmt w:val="bullet"/>
      <w:lvlText w:val="•"/>
      <w:lvlJc w:val="left"/>
      <w:pPr>
        <w:tabs>
          <w:tab w:val="num" w:pos="5040"/>
        </w:tabs>
        <w:ind w:left="5040" w:hanging="360"/>
      </w:pPr>
      <w:rPr>
        <w:rFonts w:ascii="Arial" w:hAnsi="Arial" w:hint="default"/>
      </w:rPr>
    </w:lvl>
    <w:lvl w:ilvl="7" w:tplc="BA76AF62" w:tentative="1">
      <w:start w:val="1"/>
      <w:numFmt w:val="bullet"/>
      <w:lvlText w:val="•"/>
      <w:lvlJc w:val="left"/>
      <w:pPr>
        <w:tabs>
          <w:tab w:val="num" w:pos="5760"/>
        </w:tabs>
        <w:ind w:left="5760" w:hanging="360"/>
      </w:pPr>
      <w:rPr>
        <w:rFonts w:ascii="Arial" w:hAnsi="Arial" w:hint="default"/>
      </w:rPr>
    </w:lvl>
    <w:lvl w:ilvl="8" w:tplc="BAE2298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B05DC1"/>
    <w:multiLevelType w:val="hybridMultilevel"/>
    <w:tmpl w:val="FA74EB56"/>
    <w:lvl w:ilvl="0" w:tplc="F524EF5E">
      <w:start w:val="1"/>
      <w:numFmt w:val="bullet"/>
      <w:lvlText w:val="•"/>
      <w:lvlJc w:val="left"/>
      <w:pPr>
        <w:tabs>
          <w:tab w:val="num" w:pos="720"/>
        </w:tabs>
        <w:ind w:left="720" w:hanging="360"/>
      </w:pPr>
      <w:rPr>
        <w:rFonts w:ascii="Arial" w:hAnsi="Arial" w:hint="default"/>
      </w:rPr>
    </w:lvl>
    <w:lvl w:ilvl="1" w:tplc="7ABC0D28" w:tentative="1">
      <w:start w:val="1"/>
      <w:numFmt w:val="bullet"/>
      <w:lvlText w:val="•"/>
      <w:lvlJc w:val="left"/>
      <w:pPr>
        <w:tabs>
          <w:tab w:val="num" w:pos="1440"/>
        </w:tabs>
        <w:ind w:left="1440" w:hanging="360"/>
      </w:pPr>
      <w:rPr>
        <w:rFonts w:ascii="Arial" w:hAnsi="Arial" w:hint="default"/>
      </w:rPr>
    </w:lvl>
    <w:lvl w:ilvl="2" w:tplc="24343008" w:tentative="1">
      <w:start w:val="1"/>
      <w:numFmt w:val="bullet"/>
      <w:lvlText w:val="•"/>
      <w:lvlJc w:val="left"/>
      <w:pPr>
        <w:tabs>
          <w:tab w:val="num" w:pos="2160"/>
        </w:tabs>
        <w:ind w:left="2160" w:hanging="360"/>
      </w:pPr>
      <w:rPr>
        <w:rFonts w:ascii="Arial" w:hAnsi="Arial" w:hint="default"/>
      </w:rPr>
    </w:lvl>
    <w:lvl w:ilvl="3" w:tplc="0360E8BC" w:tentative="1">
      <w:start w:val="1"/>
      <w:numFmt w:val="bullet"/>
      <w:lvlText w:val="•"/>
      <w:lvlJc w:val="left"/>
      <w:pPr>
        <w:tabs>
          <w:tab w:val="num" w:pos="2880"/>
        </w:tabs>
        <w:ind w:left="2880" w:hanging="360"/>
      </w:pPr>
      <w:rPr>
        <w:rFonts w:ascii="Arial" w:hAnsi="Arial" w:hint="default"/>
      </w:rPr>
    </w:lvl>
    <w:lvl w:ilvl="4" w:tplc="28165166" w:tentative="1">
      <w:start w:val="1"/>
      <w:numFmt w:val="bullet"/>
      <w:lvlText w:val="•"/>
      <w:lvlJc w:val="left"/>
      <w:pPr>
        <w:tabs>
          <w:tab w:val="num" w:pos="3600"/>
        </w:tabs>
        <w:ind w:left="3600" w:hanging="360"/>
      </w:pPr>
      <w:rPr>
        <w:rFonts w:ascii="Arial" w:hAnsi="Arial" w:hint="default"/>
      </w:rPr>
    </w:lvl>
    <w:lvl w:ilvl="5" w:tplc="0BB6A118" w:tentative="1">
      <w:start w:val="1"/>
      <w:numFmt w:val="bullet"/>
      <w:lvlText w:val="•"/>
      <w:lvlJc w:val="left"/>
      <w:pPr>
        <w:tabs>
          <w:tab w:val="num" w:pos="4320"/>
        </w:tabs>
        <w:ind w:left="4320" w:hanging="360"/>
      </w:pPr>
      <w:rPr>
        <w:rFonts w:ascii="Arial" w:hAnsi="Arial" w:hint="default"/>
      </w:rPr>
    </w:lvl>
    <w:lvl w:ilvl="6" w:tplc="8C505EB2" w:tentative="1">
      <w:start w:val="1"/>
      <w:numFmt w:val="bullet"/>
      <w:lvlText w:val="•"/>
      <w:lvlJc w:val="left"/>
      <w:pPr>
        <w:tabs>
          <w:tab w:val="num" w:pos="5040"/>
        </w:tabs>
        <w:ind w:left="5040" w:hanging="360"/>
      </w:pPr>
      <w:rPr>
        <w:rFonts w:ascii="Arial" w:hAnsi="Arial" w:hint="default"/>
      </w:rPr>
    </w:lvl>
    <w:lvl w:ilvl="7" w:tplc="4A8AFFD6" w:tentative="1">
      <w:start w:val="1"/>
      <w:numFmt w:val="bullet"/>
      <w:lvlText w:val="•"/>
      <w:lvlJc w:val="left"/>
      <w:pPr>
        <w:tabs>
          <w:tab w:val="num" w:pos="5760"/>
        </w:tabs>
        <w:ind w:left="5760" w:hanging="360"/>
      </w:pPr>
      <w:rPr>
        <w:rFonts w:ascii="Arial" w:hAnsi="Arial" w:hint="default"/>
      </w:rPr>
    </w:lvl>
    <w:lvl w:ilvl="8" w:tplc="3A6E154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510676"/>
    <w:multiLevelType w:val="hybridMultilevel"/>
    <w:tmpl w:val="26144634"/>
    <w:lvl w:ilvl="0" w:tplc="6D909BF6">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23" w15:restartNumberingAfterBreak="0">
    <w:nsid w:val="6F776D42"/>
    <w:multiLevelType w:val="hybridMultilevel"/>
    <w:tmpl w:val="742A07F6"/>
    <w:lvl w:ilvl="0" w:tplc="BE86925C">
      <w:start w:val="1"/>
      <w:numFmt w:val="bullet"/>
      <w:lvlText w:val="•"/>
      <w:lvlJc w:val="left"/>
      <w:pPr>
        <w:tabs>
          <w:tab w:val="num" w:pos="720"/>
        </w:tabs>
        <w:ind w:left="720" w:hanging="360"/>
      </w:pPr>
      <w:rPr>
        <w:rFonts w:ascii="Arial" w:hAnsi="Arial" w:hint="default"/>
      </w:rPr>
    </w:lvl>
    <w:lvl w:ilvl="1" w:tplc="435A47BA" w:tentative="1">
      <w:start w:val="1"/>
      <w:numFmt w:val="bullet"/>
      <w:lvlText w:val="•"/>
      <w:lvlJc w:val="left"/>
      <w:pPr>
        <w:tabs>
          <w:tab w:val="num" w:pos="1440"/>
        </w:tabs>
        <w:ind w:left="1440" w:hanging="360"/>
      </w:pPr>
      <w:rPr>
        <w:rFonts w:ascii="Arial" w:hAnsi="Arial" w:hint="default"/>
      </w:rPr>
    </w:lvl>
    <w:lvl w:ilvl="2" w:tplc="09209284" w:tentative="1">
      <w:start w:val="1"/>
      <w:numFmt w:val="bullet"/>
      <w:lvlText w:val="•"/>
      <w:lvlJc w:val="left"/>
      <w:pPr>
        <w:tabs>
          <w:tab w:val="num" w:pos="2160"/>
        </w:tabs>
        <w:ind w:left="2160" w:hanging="360"/>
      </w:pPr>
      <w:rPr>
        <w:rFonts w:ascii="Arial" w:hAnsi="Arial" w:hint="default"/>
      </w:rPr>
    </w:lvl>
    <w:lvl w:ilvl="3" w:tplc="347CE75C" w:tentative="1">
      <w:start w:val="1"/>
      <w:numFmt w:val="bullet"/>
      <w:lvlText w:val="•"/>
      <w:lvlJc w:val="left"/>
      <w:pPr>
        <w:tabs>
          <w:tab w:val="num" w:pos="2880"/>
        </w:tabs>
        <w:ind w:left="2880" w:hanging="360"/>
      </w:pPr>
      <w:rPr>
        <w:rFonts w:ascii="Arial" w:hAnsi="Arial" w:hint="default"/>
      </w:rPr>
    </w:lvl>
    <w:lvl w:ilvl="4" w:tplc="497ED1D0" w:tentative="1">
      <w:start w:val="1"/>
      <w:numFmt w:val="bullet"/>
      <w:lvlText w:val="•"/>
      <w:lvlJc w:val="left"/>
      <w:pPr>
        <w:tabs>
          <w:tab w:val="num" w:pos="3600"/>
        </w:tabs>
        <w:ind w:left="3600" w:hanging="360"/>
      </w:pPr>
      <w:rPr>
        <w:rFonts w:ascii="Arial" w:hAnsi="Arial" w:hint="default"/>
      </w:rPr>
    </w:lvl>
    <w:lvl w:ilvl="5" w:tplc="C93ED330" w:tentative="1">
      <w:start w:val="1"/>
      <w:numFmt w:val="bullet"/>
      <w:lvlText w:val="•"/>
      <w:lvlJc w:val="left"/>
      <w:pPr>
        <w:tabs>
          <w:tab w:val="num" w:pos="4320"/>
        </w:tabs>
        <w:ind w:left="4320" w:hanging="360"/>
      </w:pPr>
      <w:rPr>
        <w:rFonts w:ascii="Arial" w:hAnsi="Arial" w:hint="default"/>
      </w:rPr>
    </w:lvl>
    <w:lvl w:ilvl="6" w:tplc="64F479AA" w:tentative="1">
      <w:start w:val="1"/>
      <w:numFmt w:val="bullet"/>
      <w:lvlText w:val="•"/>
      <w:lvlJc w:val="left"/>
      <w:pPr>
        <w:tabs>
          <w:tab w:val="num" w:pos="5040"/>
        </w:tabs>
        <w:ind w:left="5040" w:hanging="360"/>
      </w:pPr>
      <w:rPr>
        <w:rFonts w:ascii="Arial" w:hAnsi="Arial" w:hint="default"/>
      </w:rPr>
    </w:lvl>
    <w:lvl w:ilvl="7" w:tplc="FAA428D6" w:tentative="1">
      <w:start w:val="1"/>
      <w:numFmt w:val="bullet"/>
      <w:lvlText w:val="•"/>
      <w:lvlJc w:val="left"/>
      <w:pPr>
        <w:tabs>
          <w:tab w:val="num" w:pos="5760"/>
        </w:tabs>
        <w:ind w:left="5760" w:hanging="360"/>
      </w:pPr>
      <w:rPr>
        <w:rFonts w:ascii="Arial" w:hAnsi="Arial" w:hint="default"/>
      </w:rPr>
    </w:lvl>
    <w:lvl w:ilvl="8" w:tplc="00787D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0250B96"/>
    <w:multiLevelType w:val="hybridMultilevel"/>
    <w:tmpl w:val="0298B9AC"/>
    <w:lvl w:ilvl="0" w:tplc="B470B13C">
      <w:start w:val="1"/>
      <w:numFmt w:val="bullet"/>
      <w:lvlText w:val=""/>
      <w:lvlJc w:val="left"/>
      <w:pPr>
        <w:ind w:left="720" w:hanging="360"/>
      </w:pPr>
      <w:rPr>
        <w:rFonts w:ascii="Symbol" w:hAnsi="Symbol" w:hint="default"/>
        <w:color w:val="auto"/>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5" w15:restartNumberingAfterBreak="0">
    <w:nsid w:val="73D201D8"/>
    <w:multiLevelType w:val="hybridMultilevel"/>
    <w:tmpl w:val="D61C9566"/>
    <w:lvl w:ilvl="0" w:tplc="18090003">
      <w:start w:val="1"/>
      <w:numFmt w:val="bullet"/>
      <w:lvlText w:val="o"/>
      <w:lvlJc w:val="left"/>
      <w:pPr>
        <w:ind w:left="1571" w:hanging="360"/>
      </w:pPr>
      <w:rPr>
        <w:rFonts w:ascii="Courier New" w:hAnsi="Courier New" w:cs="Courier New"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26" w15:restartNumberingAfterBreak="0">
    <w:nsid w:val="74D84E8D"/>
    <w:multiLevelType w:val="hybridMultilevel"/>
    <w:tmpl w:val="79CAB3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71075CE"/>
    <w:multiLevelType w:val="hybridMultilevel"/>
    <w:tmpl w:val="6AA002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B025ADD"/>
    <w:multiLevelType w:val="hybridMultilevel"/>
    <w:tmpl w:val="147C2BDC"/>
    <w:lvl w:ilvl="0" w:tplc="6D909BF6">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864254278">
    <w:abstractNumId w:val="3"/>
  </w:num>
  <w:num w:numId="2" w16cid:durableId="1747220581">
    <w:abstractNumId w:val="18"/>
  </w:num>
  <w:num w:numId="3" w16cid:durableId="968168646">
    <w:abstractNumId w:val="2"/>
  </w:num>
  <w:num w:numId="4" w16cid:durableId="956718646">
    <w:abstractNumId w:val="24"/>
  </w:num>
  <w:num w:numId="5" w16cid:durableId="1148398282">
    <w:abstractNumId w:val="8"/>
  </w:num>
  <w:num w:numId="6" w16cid:durableId="1193806612">
    <w:abstractNumId w:val="27"/>
  </w:num>
  <w:num w:numId="7" w16cid:durableId="1551577398">
    <w:abstractNumId w:val="17"/>
  </w:num>
  <w:num w:numId="8" w16cid:durableId="562329137">
    <w:abstractNumId w:val="22"/>
  </w:num>
  <w:num w:numId="9" w16cid:durableId="636304839">
    <w:abstractNumId w:val="4"/>
  </w:num>
  <w:num w:numId="10" w16cid:durableId="2142260420">
    <w:abstractNumId w:val="13"/>
  </w:num>
  <w:num w:numId="11" w16cid:durableId="885290346">
    <w:abstractNumId w:val="0"/>
  </w:num>
  <w:num w:numId="12" w16cid:durableId="182280894">
    <w:abstractNumId w:val="28"/>
  </w:num>
  <w:num w:numId="13" w16cid:durableId="1163425424">
    <w:abstractNumId w:val="11"/>
  </w:num>
  <w:num w:numId="14" w16cid:durableId="1989701545">
    <w:abstractNumId w:val="15"/>
  </w:num>
  <w:num w:numId="15" w16cid:durableId="1367679228">
    <w:abstractNumId w:val="5"/>
  </w:num>
  <w:num w:numId="16" w16cid:durableId="1855873221">
    <w:abstractNumId w:val="7"/>
  </w:num>
  <w:num w:numId="17" w16cid:durableId="1462918276">
    <w:abstractNumId w:val="26"/>
  </w:num>
  <w:num w:numId="18" w16cid:durableId="254246022">
    <w:abstractNumId w:val="14"/>
  </w:num>
  <w:num w:numId="19" w16cid:durableId="1160972780">
    <w:abstractNumId w:val="9"/>
  </w:num>
  <w:num w:numId="20" w16cid:durableId="1371303332">
    <w:abstractNumId w:val="1"/>
  </w:num>
  <w:num w:numId="21" w16cid:durableId="169570492">
    <w:abstractNumId w:val="19"/>
  </w:num>
  <w:num w:numId="22" w16cid:durableId="762919231">
    <w:abstractNumId w:val="16"/>
  </w:num>
  <w:num w:numId="23" w16cid:durableId="499808041">
    <w:abstractNumId w:val="10"/>
  </w:num>
  <w:num w:numId="24" w16cid:durableId="30418732">
    <w:abstractNumId w:val="21"/>
  </w:num>
  <w:num w:numId="25" w16cid:durableId="1001156313">
    <w:abstractNumId w:val="23"/>
  </w:num>
  <w:num w:numId="26" w16cid:durableId="14308128">
    <w:abstractNumId w:val="20"/>
  </w:num>
  <w:num w:numId="27" w16cid:durableId="1882816263">
    <w:abstractNumId w:val="12"/>
  </w:num>
  <w:num w:numId="28" w16cid:durableId="149635543">
    <w:abstractNumId w:val="6"/>
  </w:num>
  <w:num w:numId="29" w16cid:durableId="20071315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010A6"/>
    <w:rsid w:val="000124D3"/>
    <w:rsid w:val="00024778"/>
    <w:rsid w:val="00067BED"/>
    <w:rsid w:val="00076DC2"/>
    <w:rsid w:val="00084E84"/>
    <w:rsid w:val="000A7828"/>
    <w:rsid w:val="000C2E0A"/>
    <w:rsid w:val="000D4661"/>
    <w:rsid w:val="001003CE"/>
    <w:rsid w:val="001311DE"/>
    <w:rsid w:val="00170468"/>
    <w:rsid w:val="001C1818"/>
    <w:rsid w:val="001C48AB"/>
    <w:rsid w:val="001E3D4A"/>
    <w:rsid w:val="00224863"/>
    <w:rsid w:val="002443AC"/>
    <w:rsid w:val="00284747"/>
    <w:rsid w:val="002B02DA"/>
    <w:rsid w:val="002B5BE5"/>
    <w:rsid w:val="002C7277"/>
    <w:rsid w:val="00356A81"/>
    <w:rsid w:val="003B0EE0"/>
    <w:rsid w:val="003C3D08"/>
    <w:rsid w:val="003C7E4A"/>
    <w:rsid w:val="00413F8F"/>
    <w:rsid w:val="00427356"/>
    <w:rsid w:val="00480EF4"/>
    <w:rsid w:val="00491905"/>
    <w:rsid w:val="004A09B0"/>
    <w:rsid w:val="004B2BE8"/>
    <w:rsid w:val="004C40C0"/>
    <w:rsid w:val="004D54F8"/>
    <w:rsid w:val="004F5F88"/>
    <w:rsid w:val="00506987"/>
    <w:rsid w:val="00521EAD"/>
    <w:rsid w:val="005A2BED"/>
    <w:rsid w:val="005C6B2D"/>
    <w:rsid w:val="005C7DA2"/>
    <w:rsid w:val="006278B2"/>
    <w:rsid w:val="00666CB1"/>
    <w:rsid w:val="00672597"/>
    <w:rsid w:val="00683BAC"/>
    <w:rsid w:val="006F7969"/>
    <w:rsid w:val="007328AD"/>
    <w:rsid w:val="00760539"/>
    <w:rsid w:val="0076080C"/>
    <w:rsid w:val="00772738"/>
    <w:rsid w:val="007853D4"/>
    <w:rsid w:val="0079741E"/>
    <w:rsid w:val="007A4D45"/>
    <w:rsid w:val="007D4133"/>
    <w:rsid w:val="007F6D45"/>
    <w:rsid w:val="007F6F6B"/>
    <w:rsid w:val="008001DD"/>
    <w:rsid w:val="0080445B"/>
    <w:rsid w:val="008451FF"/>
    <w:rsid w:val="00850F7B"/>
    <w:rsid w:val="00865E1A"/>
    <w:rsid w:val="008D3AD3"/>
    <w:rsid w:val="008E680D"/>
    <w:rsid w:val="009048EB"/>
    <w:rsid w:val="00905D73"/>
    <w:rsid w:val="00906336"/>
    <w:rsid w:val="00914604"/>
    <w:rsid w:val="0095599C"/>
    <w:rsid w:val="00971793"/>
    <w:rsid w:val="009929CA"/>
    <w:rsid w:val="00A82076"/>
    <w:rsid w:val="00A93829"/>
    <w:rsid w:val="00AA2BDE"/>
    <w:rsid w:val="00AB17F5"/>
    <w:rsid w:val="00AC3559"/>
    <w:rsid w:val="00AE65EE"/>
    <w:rsid w:val="00B04099"/>
    <w:rsid w:val="00B10064"/>
    <w:rsid w:val="00B22F0D"/>
    <w:rsid w:val="00B25315"/>
    <w:rsid w:val="00B631AB"/>
    <w:rsid w:val="00BA17FA"/>
    <w:rsid w:val="00BE0D74"/>
    <w:rsid w:val="00BF7F2F"/>
    <w:rsid w:val="00C01671"/>
    <w:rsid w:val="00C01FC6"/>
    <w:rsid w:val="00C02C3A"/>
    <w:rsid w:val="00C31B3E"/>
    <w:rsid w:val="00C54C40"/>
    <w:rsid w:val="00C67A37"/>
    <w:rsid w:val="00CC2B37"/>
    <w:rsid w:val="00CD68AB"/>
    <w:rsid w:val="00CF4FFE"/>
    <w:rsid w:val="00D63245"/>
    <w:rsid w:val="00D772F9"/>
    <w:rsid w:val="00DA5052"/>
    <w:rsid w:val="00DA5478"/>
    <w:rsid w:val="00DA6FC1"/>
    <w:rsid w:val="00DB1E29"/>
    <w:rsid w:val="00E279C4"/>
    <w:rsid w:val="00E3019E"/>
    <w:rsid w:val="00E47702"/>
    <w:rsid w:val="00F10DCA"/>
    <w:rsid w:val="00F11AD0"/>
    <w:rsid w:val="00F423B5"/>
    <w:rsid w:val="00F57157"/>
    <w:rsid w:val="00FF0D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8ADE5"/>
  <w15:chartTrackingRefBased/>
  <w15:docId w15:val="{325C4BB2-029B-452B-84B0-93B9A957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Dot pt,No Spacing1,List Paragraph Char Char Char,Indicator Text,Numbered Para 1,List Paragraph1,Bullet 1,Bullet Points,MAIN CONTENT,List Paragraph2,OBC Bullet,List Paragraph11,List Paragraph12,F5 List Paragraph,Colorful List - Accent 11,L"/>
    <w:basedOn w:val="Normal"/>
    <w:link w:val="ListParagraphChar"/>
    <w:uiPriority w:val="34"/>
    <w:qFormat/>
    <w:rsid w:val="00DA6FC1"/>
    <w:pPr>
      <w:ind w:left="720"/>
      <w:contextualSpacing/>
    </w:pPr>
  </w:style>
  <w:style w:type="character" w:customStyle="1" w:styleId="ListParagraphChar">
    <w:name w:val="List Paragraph Char"/>
    <w:aliases w:val="Dot pt Char,No Spacing1 Char,List Paragraph Char Char Char Char,Indicator Text Char,Numbered Para 1 Char,List Paragraph1 Char,Bullet 1 Char,Bullet Points Char,MAIN CONTENT Char,List Paragraph2 Char,OBC Bullet Char,L Char"/>
    <w:link w:val="ListParagraph"/>
    <w:uiPriority w:val="34"/>
    <w:qFormat/>
    <w:locked/>
    <w:rsid w:val="00DA6FC1"/>
  </w:style>
  <w:style w:type="paragraph" w:customStyle="1" w:styleId="Default">
    <w:name w:val="Default"/>
    <w:basedOn w:val="Normal"/>
    <w:rsid w:val="00DA6FC1"/>
    <w:pPr>
      <w:autoSpaceDE w:val="0"/>
      <w:autoSpaceDN w:val="0"/>
      <w:spacing w:after="0" w:line="240" w:lineRule="auto"/>
    </w:pPr>
    <w:rPr>
      <w:rFonts w:ascii="Calibri" w:hAnsi="Calibri" w:cs="Calibri"/>
      <w:color w:val="000000"/>
      <w:sz w:val="24"/>
      <w:szCs w:val="24"/>
      <w:lang w:eastAsia="en-IE"/>
    </w:rPr>
  </w:style>
  <w:style w:type="character" w:styleId="Hyperlink">
    <w:name w:val="Hyperlink"/>
    <w:basedOn w:val="DefaultParagraphFont"/>
    <w:uiPriority w:val="99"/>
    <w:unhideWhenUsed/>
    <w:rsid w:val="00DA6FC1"/>
    <w:rPr>
      <w:color w:val="0563C1"/>
      <w:u w:val="single"/>
    </w:rPr>
  </w:style>
  <w:style w:type="paragraph" w:styleId="NormalWeb">
    <w:name w:val="Normal (Web)"/>
    <w:basedOn w:val="Normal"/>
    <w:uiPriority w:val="99"/>
    <w:unhideWhenUsed/>
    <w:rsid w:val="008451FF"/>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8841">
      <w:bodyDiv w:val="1"/>
      <w:marLeft w:val="0"/>
      <w:marRight w:val="0"/>
      <w:marTop w:val="0"/>
      <w:marBottom w:val="0"/>
      <w:divBdr>
        <w:top w:val="none" w:sz="0" w:space="0" w:color="auto"/>
        <w:left w:val="none" w:sz="0" w:space="0" w:color="auto"/>
        <w:bottom w:val="none" w:sz="0" w:space="0" w:color="auto"/>
        <w:right w:val="none" w:sz="0" w:space="0" w:color="auto"/>
      </w:divBdr>
    </w:div>
    <w:div w:id="97457845">
      <w:bodyDiv w:val="1"/>
      <w:marLeft w:val="0"/>
      <w:marRight w:val="0"/>
      <w:marTop w:val="0"/>
      <w:marBottom w:val="0"/>
      <w:divBdr>
        <w:top w:val="none" w:sz="0" w:space="0" w:color="auto"/>
        <w:left w:val="none" w:sz="0" w:space="0" w:color="auto"/>
        <w:bottom w:val="none" w:sz="0" w:space="0" w:color="auto"/>
        <w:right w:val="none" w:sz="0" w:space="0" w:color="auto"/>
      </w:divBdr>
    </w:div>
    <w:div w:id="519319097">
      <w:bodyDiv w:val="1"/>
      <w:marLeft w:val="0"/>
      <w:marRight w:val="0"/>
      <w:marTop w:val="0"/>
      <w:marBottom w:val="0"/>
      <w:divBdr>
        <w:top w:val="none" w:sz="0" w:space="0" w:color="auto"/>
        <w:left w:val="none" w:sz="0" w:space="0" w:color="auto"/>
        <w:bottom w:val="none" w:sz="0" w:space="0" w:color="auto"/>
        <w:right w:val="none" w:sz="0" w:space="0" w:color="auto"/>
      </w:divBdr>
      <w:divsChild>
        <w:div w:id="909120912">
          <w:marLeft w:val="360"/>
          <w:marRight w:val="0"/>
          <w:marTop w:val="200"/>
          <w:marBottom w:val="0"/>
          <w:divBdr>
            <w:top w:val="none" w:sz="0" w:space="0" w:color="auto"/>
            <w:left w:val="none" w:sz="0" w:space="0" w:color="auto"/>
            <w:bottom w:val="none" w:sz="0" w:space="0" w:color="auto"/>
            <w:right w:val="none" w:sz="0" w:space="0" w:color="auto"/>
          </w:divBdr>
        </w:div>
        <w:div w:id="1688369348">
          <w:marLeft w:val="360"/>
          <w:marRight w:val="0"/>
          <w:marTop w:val="200"/>
          <w:marBottom w:val="0"/>
          <w:divBdr>
            <w:top w:val="none" w:sz="0" w:space="0" w:color="auto"/>
            <w:left w:val="none" w:sz="0" w:space="0" w:color="auto"/>
            <w:bottom w:val="none" w:sz="0" w:space="0" w:color="auto"/>
            <w:right w:val="none" w:sz="0" w:space="0" w:color="auto"/>
          </w:divBdr>
        </w:div>
        <w:div w:id="1336767631">
          <w:marLeft w:val="360"/>
          <w:marRight w:val="0"/>
          <w:marTop w:val="200"/>
          <w:marBottom w:val="0"/>
          <w:divBdr>
            <w:top w:val="none" w:sz="0" w:space="0" w:color="auto"/>
            <w:left w:val="none" w:sz="0" w:space="0" w:color="auto"/>
            <w:bottom w:val="none" w:sz="0" w:space="0" w:color="auto"/>
            <w:right w:val="none" w:sz="0" w:space="0" w:color="auto"/>
          </w:divBdr>
        </w:div>
        <w:div w:id="2056850460">
          <w:marLeft w:val="360"/>
          <w:marRight w:val="0"/>
          <w:marTop w:val="200"/>
          <w:marBottom w:val="0"/>
          <w:divBdr>
            <w:top w:val="none" w:sz="0" w:space="0" w:color="auto"/>
            <w:left w:val="none" w:sz="0" w:space="0" w:color="auto"/>
            <w:bottom w:val="none" w:sz="0" w:space="0" w:color="auto"/>
            <w:right w:val="none" w:sz="0" w:space="0" w:color="auto"/>
          </w:divBdr>
        </w:div>
      </w:divsChild>
    </w:div>
    <w:div w:id="745540878">
      <w:bodyDiv w:val="1"/>
      <w:marLeft w:val="0"/>
      <w:marRight w:val="0"/>
      <w:marTop w:val="0"/>
      <w:marBottom w:val="0"/>
      <w:divBdr>
        <w:top w:val="none" w:sz="0" w:space="0" w:color="auto"/>
        <w:left w:val="none" w:sz="0" w:space="0" w:color="auto"/>
        <w:bottom w:val="none" w:sz="0" w:space="0" w:color="auto"/>
        <w:right w:val="none" w:sz="0" w:space="0" w:color="auto"/>
      </w:divBdr>
    </w:div>
    <w:div w:id="943608702">
      <w:bodyDiv w:val="1"/>
      <w:marLeft w:val="0"/>
      <w:marRight w:val="0"/>
      <w:marTop w:val="0"/>
      <w:marBottom w:val="0"/>
      <w:divBdr>
        <w:top w:val="none" w:sz="0" w:space="0" w:color="auto"/>
        <w:left w:val="none" w:sz="0" w:space="0" w:color="auto"/>
        <w:bottom w:val="none" w:sz="0" w:space="0" w:color="auto"/>
        <w:right w:val="none" w:sz="0" w:space="0" w:color="auto"/>
      </w:divBdr>
      <w:divsChild>
        <w:div w:id="316737713">
          <w:marLeft w:val="360"/>
          <w:marRight w:val="0"/>
          <w:marTop w:val="200"/>
          <w:marBottom w:val="0"/>
          <w:divBdr>
            <w:top w:val="none" w:sz="0" w:space="0" w:color="auto"/>
            <w:left w:val="none" w:sz="0" w:space="0" w:color="auto"/>
            <w:bottom w:val="none" w:sz="0" w:space="0" w:color="auto"/>
            <w:right w:val="none" w:sz="0" w:space="0" w:color="auto"/>
          </w:divBdr>
        </w:div>
        <w:div w:id="1335765635">
          <w:marLeft w:val="360"/>
          <w:marRight w:val="0"/>
          <w:marTop w:val="200"/>
          <w:marBottom w:val="0"/>
          <w:divBdr>
            <w:top w:val="none" w:sz="0" w:space="0" w:color="auto"/>
            <w:left w:val="none" w:sz="0" w:space="0" w:color="auto"/>
            <w:bottom w:val="none" w:sz="0" w:space="0" w:color="auto"/>
            <w:right w:val="none" w:sz="0" w:space="0" w:color="auto"/>
          </w:divBdr>
        </w:div>
        <w:div w:id="1264025498">
          <w:marLeft w:val="360"/>
          <w:marRight w:val="0"/>
          <w:marTop w:val="200"/>
          <w:marBottom w:val="0"/>
          <w:divBdr>
            <w:top w:val="none" w:sz="0" w:space="0" w:color="auto"/>
            <w:left w:val="none" w:sz="0" w:space="0" w:color="auto"/>
            <w:bottom w:val="none" w:sz="0" w:space="0" w:color="auto"/>
            <w:right w:val="none" w:sz="0" w:space="0" w:color="auto"/>
          </w:divBdr>
        </w:div>
        <w:div w:id="729306046">
          <w:marLeft w:val="360"/>
          <w:marRight w:val="0"/>
          <w:marTop w:val="200"/>
          <w:marBottom w:val="0"/>
          <w:divBdr>
            <w:top w:val="none" w:sz="0" w:space="0" w:color="auto"/>
            <w:left w:val="none" w:sz="0" w:space="0" w:color="auto"/>
            <w:bottom w:val="none" w:sz="0" w:space="0" w:color="auto"/>
            <w:right w:val="none" w:sz="0" w:space="0" w:color="auto"/>
          </w:divBdr>
        </w:div>
      </w:divsChild>
    </w:div>
    <w:div w:id="1004622871">
      <w:bodyDiv w:val="1"/>
      <w:marLeft w:val="0"/>
      <w:marRight w:val="0"/>
      <w:marTop w:val="0"/>
      <w:marBottom w:val="0"/>
      <w:divBdr>
        <w:top w:val="none" w:sz="0" w:space="0" w:color="auto"/>
        <w:left w:val="none" w:sz="0" w:space="0" w:color="auto"/>
        <w:bottom w:val="none" w:sz="0" w:space="0" w:color="auto"/>
        <w:right w:val="none" w:sz="0" w:space="0" w:color="auto"/>
      </w:divBdr>
    </w:div>
    <w:div w:id="1014503700">
      <w:bodyDiv w:val="1"/>
      <w:marLeft w:val="0"/>
      <w:marRight w:val="0"/>
      <w:marTop w:val="0"/>
      <w:marBottom w:val="0"/>
      <w:divBdr>
        <w:top w:val="none" w:sz="0" w:space="0" w:color="auto"/>
        <w:left w:val="none" w:sz="0" w:space="0" w:color="auto"/>
        <w:bottom w:val="none" w:sz="0" w:space="0" w:color="auto"/>
        <w:right w:val="none" w:sz="0" w:space="0" w:color="auto"/>
      </w:divBdr>
      <w:divsChild>
        <w:div w:id="207842391">
          <w:marLeft w:val="360"/>
          <w:marRight w:val="0"/>
          <w:marTop w:val="200"/>
          <w:marBottom w:val="0"/>
          <w:divBdr>
            <w:top w:val="none" w:sz="0" w:space="0" w:color="auto"/>
            <w:left w:val="none" w:sz="0" w:space="0" w:color="auto"/>
            <w:bottom w:val="none" w:sz="0" w:space="0" w:color="auto"/>
            <w:right w:val="none" w:sz="0" w:space="0" w:color="auto"/>
          </w:divBdr>
        </w:div>
        <w:div w:id="281957552">
          <w:marLeft w:val="360"/>
          <w:marRight w:val="0"/>
          <w:marTop w:val="200"/>
          <w:marBottom w:val="0"/>
          <w:divBdr>
            <w:top w:val="none" w:sz="0" w:space="0" w:color="auto"/>
            <w:left w:val="none" w:sz="0" w:space="0" w:color="auto"/>
            <w:bottom w:val="none" w:sz="0" w:space="0" w:color="auto"/>
            <w:right w:val="none" w:sz="0" w:space="0" w:color="auto"/>
          </w:divBdr>
        </w:div>
        <w:div w:id="820462934">
          <w:marLeft w:val="360"/>
          <w:marRight w:val="0"/>
          <w:marTop w:val="200"/>
          <w:marBottom w:val="0"/>
          <w:divBdr>
            <w:top w:val="none" w:sz="0" w:space="0" w:color="auto"/>
            <w:left w:val="none" w:sz="0" w:space="0" w:color="auto"/>
            <w:bottom w:val="none" w:sz="0" w:space="0" w:color="auto"/>
            <w:right w:val="none" w:sz="0" w:space="0" w:color="auto"/>
          </w:divBdr>
        </w:div>
        <w:div w:id="552621517">
          <w:marLeft w:val="360"/>
          <w:marRight w:val="0"/>
          <w:marTop w:val="200"/>
          <w:marBottom w:val="0"/>
          <w:divBdr>
            <w:top w:val="none" w:sz="0" w:space="0" w:color="auto"/>
            <w:left w:val="none" w:sz="0" w:space="0" w:color="auto"/>
            <w:bottom w:val="none" w:sz="0" w:space="0" w:color="auto"/>
            <w:right w:val="none" w:sz="0" w:space="0" w:color="auto"/>
          </w:divBdr>
        </w:div>
      </w:divsChild>
    </w:div>
    <w:div w:id="1242445756">
      <w:bodyDiv w:val="1"/>
      <w:marLeft w:val="0"/>
      <w:marRight w:val="0"/>
      <w:marTop w:val="0"/>
      <w:marBottom w:val="0"/>
      <w:divBdr>
        <w:top w:val="none" w:sz="0" w:space="0" w:color="auto"/>
        <w:left w:val="none" w:sz="0" w:space="0" w:color="auto"/>
        <w:bottom w:val="none" w:sz="0" w:space="0" w:color="auto"/>
        <w:right w:val="none" w:sz="0" w:space="0" w:color="auto"/>
      </w:divBdr>
      <w:divsChild>
        <w:div w:id="2055806726">
          <w:marLeft w:val="720"/>
          <w:marRight w:val="0"/>
          <w:marTop w:val="200"/>
          <w:marBottom w:val="0"/>
          <w:divBdr>
            <w:top w:val="none" w:sz="0" w:space="0" w:color="auto"/>
            <w:left w:val="none" w:sz="0" w:space="0" w:color="auto"/>
            <w:bottom w:val="none" w:sz="0" w:space="0" w:color="auto"/>
            <w:right w:val="none" w:sz="0" w:space="0" w:color="auto"/>
          </w:divBdr>
        </w:div>
        <w:div w:id="1503006227">
          <w:marLeft w:val="720"/>
          <w:marRight w:val="0"/>
          <w:marTop w:val="200"/>
          <w:marBottom w:val="0"/>
          <w:divBdr>
            <w:top w:val="none" w:sz="0" w:space="0" w:color="auto"/>
            <w:left w:val="none" w:sz="0" w:space="0" w:color="auto"/>
            <w:bottom w:val="none" w:sz="0" w:space="0" w:color="auto"/>
            <w:right w:val="none" w:sz="0" w:space="0" w:color="auto"/>
          </w:divBdr>
        </w:div>
        <w:div w:id="1533423709">
          <w:marLeft w:val="720"/>
          <w:marRight w:val="0"/>
          <w:marTop w:val="200"/>
          <w:marBottom w:val="0"/>
          <w:divBdr>
            <w:top w:val="none" w:sz="0" w:space="0" w:color="auto"/>
            <w:left w:val="none" w:sz="0" w:space="0" w:color="auto"/>
            <w:bottom w:val="none" w:sz="0" w:space="0" w:color="auto"/>
            <w:right w:val="none" w:sz="0" w:space="0" w:color="auto"/>
          </w:divBdr>
        </w:div>
        <w:div w:id="2070494087">
          <w:marLeft w:val="720"/>
          <w:marRight w:val="0"/>
          <w:marTop w:val="200"/>
          <w:marBottom w:val="0"/>
          <w:divBdr>
            <w:top w:val="none" w:sz="0" w:space="0" w:color="auto"/>
            <w:left w:val="none" w:sz="0" w:space="0" w:color="auto"/>
            <w:bottom w:val="none" w:sz="0" w:space="0" w:color="auto"/>
            <w:right w:val="none" w:sz="0" w:space="0" w:color="auto"/>
          </w:divBdr>
        </w:div>
      </w:divsChild>
    </w:div>
    <w:div w:id="1267233228">
      <w:bodyDiv w:val="1"/>
      <w:marLeft w:val="0"/>
      <w:marRight w:val="0"/>
      <w:marTop w:val="0"/>
      <w:marBottom w:val="0"/>
      <w:divBdr>
        <w:top w:val="none" w:sz="0" w:space="0" w:color="auto"/>
        <w:left w:val="none" w:sz="0" w:space="0" w:color="auto"/>
        <w:bottom w:val="none" w:sz="0" w:space="0" w:color="auto"/>
        <w:right w:val="none" w:sz="0" w:space="0" w:color="auto"/>
      </w:divBdr>
    </w:div>
    <w:div w:id="1578594205">
      <w:bodyDiv w:val="1"/>
      <w:marLeft w:val="0"/>
      <w:marRight w:val="0"/>
      <w:marTop w:val="0"/>
      <w:marBottom w:val="0"/>
      <w:divBdr>
        <w:top w:val="none" w:sz="0" w:space="0" w:color="auto"/>
        <w:left w:val="none" w:sz="0" w:space="0" w:color="auto"/>
        <w:bottom w:val="none" w:sz="0" w:space="0" w:color="auto"/>
        <w:right w:val="none" w:sz="0" w:space="0" w:color="auto"/>
      </w:divBdr>
      <w:divsChild>
        <w:div w:id="743066272">
          <w:marLeft w:val="360"/>
          <w:marRight w:val="0"/>
          <w:marTop w:val="200"/>
          <w:marBottom w:val="0"/>
          <w:divBdr>
            <w:top w:val="none" w:sz="0" w:space="0" w:color="auto"/>
            <w:left w:val="none" w:sz="0" w:space="0" w:color="auto"/>
            <w:bottom w:val="none" w:sz="0" w:space="0" w:color="auto"/>
            <w:right w:val="none" w:sz="0" w:space="0" w:color="auto"/>
          </w:divBdr>
        </w:div>
        <w:div w:id="674528809">
          <w:marLeft w:val="360"/>
          <w:marRight w:val="0"/>
          <w:marTop w:val="200"/>
          <w:marBottom w:val="0"/>
          <w:divBdr>
            <w:top w:val="none" w:sz="0" w:space="0" w:color="auto"/>
            <w:left w:val="none" w:sz="0" w:space="0" w:color="auto"/>
            <w:bottom w:val="none" w:sz="0" w:space="0" w:color="auto"/>
            <w:right w:val="none" w:sz="0" w:space="0" w:color="auto"/>
          </w:divBdr>
        </w:div>
        <w:div w:id="970790689">
          <w:marLeft w:val="1267"/>
          <w:marRight w:val="0"/>
          <w:marTop w:val="200"/>
          <w:marBottom w:val="0"/>
          <w:divBdr>
            <w:top w:val="none" w:sz="0" w:space="0" w:color="auto"/>
            <w:left w:val="none" w:sz="0" w:space="0" w:color="auto"/>
            <w:bottom w:val="none" w:sz="0" w:space="0" w:color="auto"/>
            <w:right w:val="none" w:sz="0" w:space="0" w:color="auto"/>
          </w:divBdr>
        </w:div>
        <w:div w:id="40401474">
          <w:marLeft w:val="1267"/>
          <w:marRight w:val="0"/>
          <w:marTop w:val="200"/>
          <w:marBottom w:val="0"/>
          <w:divBdr>
            <w:top w:val="none" w:sz="0" w:space="0" w:color="auto"/>
            <w:left w:val="none" w:sz="0" w:space="0" w:color="auto"/>
            <w:bottom w:val="none" w:sz="0" w:space="0" w:color="auto"/>
            <w:right w:val="none" w:sz="0" w:space="0" w:color="auto"/>
          </w:divBdr>
        </w:div>
      </w:divsChild>
    </w:div>
    <w:div w:id="1873104570">
      <w:bodyDiv w:val="1"/>
      <w:marLeft w:val="0"/>
      <w:marRight w:val="0"/>
      <w:marTop w:val="0"/>
      <w:marBottom w:val="0"/>
      <w:divBdr>
        <w:top w:val="none" w:sz="0" w:space="0" w:color="auto"/>
        <w:left w:val="none" w:sz="0" w:space="0" w:color="auto"/>
        <w:bottom w:val="none" w:sz="0" w:space="0" w:color="auto"/>
        <w:right w:val="none" w:sz="0" w:space="0" w:color="auto"/>
      </w:divBdr>
    </w:div>
    <w:div w:id="1961835212">
      <w:bodyDiv w:val="1"/>
      <w:marLeft w:val="0"/>
      <w:marRight w:val="0"/>
      <w:marTop w:val="0"/>
      <w:marBottom w:val="0"/>
      <w:divBdr>
        <w:top w:val="none" w:sz="0" w:space="0" w:color="auto"/>
        <w:left w:val="none" w:sz="0" w:space="0" w:color="auto"/>
        <w:bottom w:val="none" w:sz="0" w:space="0" w:color="auto"/>
        <w:right w:val="none" w:sz="0" w:space="0" w:color="auto"/>
      </w:divBdr>
      <w:divsChild>
        <w:div w:id="1770812665">
          <w:marLeft w:val="360"/>
          <w:marRight w:val="0"/>
          <w:marTop w:val="200"/>
          <w:marBottom w:val="0"/>
          <w:divBdr>
            <w:top w:val="none" w:sz="0" w:space="0" w:color="auto"/>
            <w:left w:val="none" w:sz="0" w:space="0" w:color="auto"/>
            <w:bottom w:val="none" w:sz="0" w:space="0" w:color="auto"/>
            <w:right w:val="none" w:sz="0" w:space="0" w:color="auto"/>
          </w:divBdr>
        </w:div>
        <w:div w:id="333076641">
          <w:marLeft w:val="360"/>
          <w:marRight w:val="0"/>
          <w:marTop w:val="200"/>
          <w:marBottom w:val="0"/>
          <w:divBdr>
            <w:top w:val="none" w:sz="0" w:space="0" w:color="auto"/>
            <w:left w:val="none" w:sz="0" w:space="0" w:color="auto"/>
            <w:bottom w:val="none" w:sz="0" w:space="0" w:color="auto"/>
            <w:right w:val="none" w:sz="0" w:space="0" w:color="auto"/>
          </w:divBdr>
        </w:div>
        <w:div w:id="1833719192">
          <w:marLeft w:val="360"/>
          <w:marRight w:val="0"/>
          <w:marTop w:val="200"/>
          <w:marBottom w:val="0"/>
          <w:divBdr>
            <w:top w:val="none" w:sz="0" w:space="0" w:color="auto"/>
            <w:left w:val="none" w:sz="0" w:space="0" w:color="auto"/>
            <w:bottom w:val="none" w:sz="0" w:space="0" w:color="auto"/>
            <w:right w:val="none" w:sz="0" w:space="0" w:color="auto"/>
          </w:divBdr>
        </w:div>
        <w:div w:id="2021278951">
          <w:marLeft w:val="360"/>
          <w:marRight w:val="0"/>
          <w:marTop w:val="200"/>
          <w:marBottom w:val="0"/>
          <w:divBdr>
            <w:top w:val="none" w:sz="0" w:space="0" w:color="auto"/>
            <w:left w:val="none" w:sz="0" w:space="0" w:color="auto"/>
            <w:bottom w:val="none" w:sz="0" w:space="0" w:color="auto"/>
            <w:right w:val="none" w:sz="0" w:space="0" w:color="auto"/>
          </w:divBdr>
        </w:div>
      </w:divsChild>
    </w:div>
    <w:div w:id="2023623473">
      <w:bodyDiv w:val="1"/>
      <w:marLeft w:val="0"/>
      <w:marRight w:val="0"/>
      <w:marTop w:val="0"/>
      <w:marBottom w:val="0"/>
      <w:divBdr>
        <w:top w:val="none" w:sz="0" w:space="0" w:color="auto"/>
        <w:left w:val="none" w:sz="0" w:space="0" w:color="auto"/>
        <w:bottom w:val="none" w:sz="0" w:space="0" w:color="auto"/>
        <w:right w:val="none" w:sz="0" w:space="0" w:color="auto"/>
      </w:divBdr>
      <w:divsChild>
        <w:div w:id="287469909">
          <w:marLeft w:val="360"/>
          <w:marRight w:val="0"/>
          <w:marTop w:val="200"/>
          <w:marBottom w:val="0"/>
          <w:divBdr>
            <w:top w:val="none" w:sz="0" w:space="0" w:color="auto"/>
            <w:left w:val="none" w:sz="0" w:space="0" w:color="auto"/>
            <w:bottom w:val="none" w:sz="0" w:space="0" w:color="auto"/>
            <w:right w:val="none" w:sz="0" w:space="0" w:color="auto"/>
          </w:divBdr>
        </w:div>
        <w:div w:id="58106138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hyperlink" Target="http://www.drugs.ie/resources/covid/"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6.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CA049-6A11-45E1-80EB-0C316AD91035}"/>
</file>

<file path=customXml/itemProps2.xml><?xml version="1.0" encoding="utf-8"?>
<ds:datastoreItem xmlns:ds="http://schemas.openxmlformats.org/officeDocument/2006/customXml" ds:itemID="{00F21012-C16C-4CEB-B152-6867EDA4C0C5}">
  <ds:schemaRefs>
    <ds:schemaRef ds:uri="http://purl.org/dc/terms/"/>
    <ds:schemaRef ds:uri="http://schemas.microsoft.com/office/2006/metadata/properties"/>
    <ds:schemaRef ds:uri="http://schemas.microsoft.com/sharepoint/v3"/>
    <ds:schemaRef ds:uri="http://www.w3.org/XML/1998/namespace"/>
    <ds:schemaRef ds:uri="http://schemas.microsoft.com/office/infopath/2007/PartnerControls"/>
    <ds:schemaRef ds:uri="http://schemas.microsoft.com/office/2006/documentManagement/types"/>
    <ds:schemaRef ds:uri="http://purl.org/dc/elements/1.1/"/>
    <ds:schemaRef ds:uri="http://schemas.openxmlformats.org/package/2006/metadata/core-properties"/>
    <ds:schemaRef ds:uri="3bb6f7d8-0310-412d-bfa4-c164ed5110c6"/>
    <ds:schemaRef ds:uri="http://schemas.microsoft.com/sharepoint/v4"/>
    <ds:schemaRef ds:uri="ff4e159c-307d-4c48-ad5f-0c3c475b6cc6"/>
    <ds:schemaRef ds:uri="http://purl.org/dc/dcmitype/"/>
  </ds:schemaRefs>
</ds:datastoreItem>
</file>

<file path=customXml/itemProps3.xml><?xml version="1.0" encoding="utf-8"?>
<ds:datastoreItem xmlns:ds="http://schemas.openxmlformats.org/officeDocument/2006/customXml" ds:itemID="{9DC10674-90FD-4707-8F55-2A6B89E0DFD7}">
  <ds:schemaRefs>
    <ds:schemaRef ds:uri="http://schemas.microsoft.com/sharepoint/v3/contenttype/forms"/>
  </ds:schemaRefs>
</ds:datastoreItem>
</file>

<file path=customXml/itemProps4.xml><?xml version="1.0" encoding="utf-8"?>
<ds:datastoreItem xmlns:ds="http://schemas.openxmlformats.org/officeDocument/2006/customXml" ds:itemID="{23056CCE-9B43-49DD-9D79-393603AB7C36}">
  <ds:schemaRefs>
    <ds:schemaRef ds:uri="http://schemas.openxmlformats.org/officeDocument/2006/bibliography"/>
  </ds:schemaRefs>
</ds:datastoreItem>
</file>

<file path=customXml/itemProps5.xml><?xml version="1.0" encoding="utf-8"?>
<ds:datastoreItem xmlns:ds="http://schemas.openxmlformats.org/officeDocument/2006/customXml" ds:itemID="{054AA384-188F-41A4-9087-56319AA69C2A}">
  <ds:schemaRefs>
    <ds:schemaRef ds:uri="http://schemas.microsoft.com/sharepoint/events"/>
  </ds:schemaRefs>
</ds:datastoreItem>
</file>

<file path=customXml/itemProps6.xml><?xml version="1.0" encoding="utf-8"?>
<ds:datastoreItem xmlns:ds="http://schemas.openxmlformats.org/officeDocument/2006/customXml" ds:itemID="{093BCCC8-A269-4D14-B3BF-37B28260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5411</Words>
  <Characters>30849</Characters>
  <Application>Microsoft Office Word</Application>
  <DocSecurity>4</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Murchan</dc:creator>
  <cp:keywords/>
  <dc:description/>
  <cp:lastModifiedBy>Margaret Corroon</cp:lastModifiedBy>
  <cp:revision>2</cp:revision>
  <dcterms:created xsi:type="dcterms:W3CDTF">2023-05-23T14:55:00Z</dcterms:created>
  <dcterms:modified xsi:type="dcterms:W3CDTF">2023-05-23T14:55:00Z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_SecurityClassification">
    <vt:lpwstr>1;#Unclassified|c9f4c94a-1915-4f20-a131-4366bb1313cc</vt:lpwstr>
  </property>
  <property fmtid="{D5CDD505-2E9C-101B-9397-08002B2CF9AE}" pid="3" name="_dlc_policyId">
    <vt:lpwstr/>
  </property>
  <property fmtid="{D5CDD505-2E9C-101B-9397-08002B2CF9AE}" pid="4" name="eDocs_Year">
    <vt:lpwstr>17;#2023|efed90dc-e0b7-4aa2-9892-100d4f56bb2c</vt:lpwstr>
  </property>
  <property fmtid="{D5CDD505-2E9C-101B-9397-08002B2CF9AE}" pid="5" name="ContentTypeId">
    <vt:lpwstr>0x010100C3278AD0D5344A09B0D919B68BFF93780096FD4070660FBA4AA8CA4FA4847EC3E0</vt:lpwstr>
  </property>
  <property fmtid="{D5CDD505-2E9C-101B-9397-08002B2CF9AE}" pid="6" name="eDocs_SeriesSubSeries">
    <vt:lpwstr>9;#358|1a1a71da-b3ef-4f0a-90d7-0757ed4fb365</vt:lpwstr>
  </property>
  <property fmtid="{D5CDD505-2E9C-101B-9397-08002B2CF9AE}" pid="7" name="eDocs_FileTopics">
    <vt:lpwstr>4;#FOI|b2fb7ae0-d361-46f3-a359-4a034ea6dc33</vt:lpwstr>
  </property>
  <property fmtid="{D5CDD505-2E9C-101B-9397-08002B2CF9AE}" pid="8" name="ItemRetentionFormula">
    <vt:lpwstr/>
  </property>
  <property fmtid="{D5CDD505-2E9C-101B-9397-08002B2CF9AE}" pid="9" name="_dlc_LastRun">
    <vt:lpwstr>07/30/2022 23:23:23</vt:lpwstr>
  </property>
  <property fmtid="{D5CDD505-2E9C-101B-9397-08002B2CF9AE}" pid="11" name="_docset_NoMedatataSyncRequired">
    <vt:lpwstr>False</vt:lpwstr>
  </property>
  <property fmtid="{D5CDD505-2E9C-101B-9397-08002B2CF9AE}" pid="12" name="eDocs_DocumentTopics">
    <vt:lpwstr/>
  </property>
</Properties>
</file>