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B0A0" w:sz="10" w:space="6"/>
        </w:pBdr>
        <w:spacing w:after="40" w:before="0"/>
      </w:pPr>
      <w:r>
        <w:rPr>
          <w:rFonts w:ascii="Arial" w:cs="Arial" w:eastAsia="Arial" w:hAnsi="Arial"/>
          <w:color w:val="999999"/>
          <w:sz w:val="30"/>
          <w:szCs w:val="30"/>
        </w:rPr>
        <w:t xml:space="preserve">Arvind Fashions  —  </w:t>
      </w:r>
      <w:r>
        <w:rPr>
          <w:rFonts w:ascii="Arial" w:cs="Arial" w:eastAsia="Arial" w:hAnsi="Arial"/>
          <w:b/>
          <w:bCs/>
          <w:color w:val="1F3864"/>
          <w:sz w:val="30"/>
          <w:szCs w:val="30"/>
        </w:rPr>
        <w:t xml:space="preserve">Store Revenue Optimisation</w:t>
      </w:r>
      <w:r>
        <w:rPr>
          <w:rFonts w:ascii="Arial" w:cs="Arial" w:eastAsia="Arial" w:hAnsi="Arial"/>
          <w:color w:val="AAAAAA"/>
          <w:sz w:val="20"/>
          <w:szCs w:val="20"/>
        </w:rPr>
        <w:t xml:space="preserve">   BRD v2.0  |  April 2026</w:t>
      </w:r>
    </w:p>
    <w:p>
      <w:pPr>
        <w:spacing w:after="120" w:before="0"/>
      </w:pPr>
      <w:r>
        <w:t xml:space="preserve"/>
      </w:r>
    </w:p>
    <w:p>
      <w:pPr>
        <w:pStyle w:val="Heading1"/>
        <w:pBdr>
          <w:bottom w:val="single" w:color="2E75B6" w:sz="8" w:space="4"/>
        </w:pBdr>
        <w:spacing w:after="140" w:before="320"/>
      </w:pPr>
      <w:r>
        <w:rPr>
          <w:rFonts w:ascii="Arial" w:cs="Arial" w:eastAsia="Arial" w:hAnsi="Arial"/>
          <w:b/>
          <w:bCs/>
          <w:color w:val="1F3864"/>
          <w:sz w:val="32"/>
          <w:szCs w:val="32"/>
        </w:rPr>
        <w:t xml:space="preserve">1. What We Are Building</w:t>
      </w:r>
    </w:p>
    <w:p>
      <w:pPr>
        <w:spacing w:after="70" w:before="70"/>
      </w:pPr>
      <w:r>
        <w:rPr>
          <w:rFonts w:ascii="Arial" w:cs="Arial" w:eastAsia="Arial" w:hAnsi="Arial"/>
          <w:color w:val="1A1A1A"/>
          <w:sz w:val="22"/>
          <w:szCs w:val="22"/>
        </w:rPr>
        <w:t xml:space="preserve">A stock allocation optimisation system for 1,000+ Arvind Fashions stores across India. Each store holds a fixed total stock split across Collection × Category × Pricepoint buckets. The system computes the mathematically optimal reallocation of that stock — using a discrete optimisation model with real store display capacity as a hard constraint — to maximise total store revenue above the prior quarter.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0"/>
              <w:bottom w:val="single" w:color="2E75B6" w:sz="2"/>
              <w:right w:val="single" w:color="2E75B6" w:sz="2"/>
            </w:tcBorders>
            <w:shd w:fill="E8F4FD" w:val="clear"/>
            <w:tcMar>
              <w:top w:type="dxa" w:w="110"/>
              <w:left w:type="dxa" w:w="180"/>
              <w:bottom w:type="dxa" w:w="110"/>
              <w:right w:type="dxa" w:w="110"/>
            </w:tcMar>
          </w:tcPr>
          <w:p>
            <w:pPr>
              <w:spacing w:after="50" w:before="0"/>
            </w:pPr>
            <w:r>
              <w:rPr>
                <w:rFonts w:ascii="Arial" w:cs="Arial" w:eastAsia="Arial" w:hAnsi="Arial"/>
                <w:b/>
                <w:bCs/>
                <w:color w:val="2E75B6"/>
                <w:sz w:val="20"/>
                <w:szCs w:val="20"/>
              </w:rPr>
              <w:t xml:space="preserve">Core principle</w:t>
            </w:r>
          </w:p>
          <w:p>
            <w:pPr>
              <w:spacing w:after="0" w:before="0"/>
            </w:pPr>
            <w:r>
              <w:rPr>
                <w:rFonts w:ascii="Arial" w:cs="Arial" w:eastAsia="Arial" w:hAnsi="Arial"/>
                <w:color w:val="1A1A1A"/>
                <w:sz w:val="20"/>
                <w:szCs w:val="20"/>
              </w:rPr>
              <w:t xml:space="preserve">Every Monday, stores physically rearrange their display floor. Around 65% of total_inventory[store] is on display at any time; the remaining 35% sits in the backroom as a replenishment buffer. The optimiser decides how to allocate the display_capacity[store] style slots — the Monday display arrangement — across buckets using display_share[store, bucket]. The backroom portion flows to display automatically as display stock sells. Separately, whenever a specific size of a style sells out entirely, that size is replenished from the warehouse the next day, independent of the Monday cycle.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80"/>
            </w:tcMar>
          </w:tcPr>
          <w:p>
            <w:r>
              <w:rPr>
                <w:rFonts w:ascii="Arial" w:cs="Arial" w:eastAsia="Arial" w:hAnsi="Arial"/>
                <w:b/>
                <w:bCs/>
                <w:color w:val="FFFFFF"/>
                <w:sz w:val="19"/>
                <w:szCs w:val="19"/>
              </w:rPr>
              <w:t xml:space="preserve"/>
            </w:r>
          </w:p>
        </w:tc>
        <w:tc>
          <w:tcPr>
            <w:tcW w:type="dxa" w:w="312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80"/>
            </w:tcMar>
          </w:tcPr>
          <w:p>
            <w:r>
              <w:rPr>
                <w:rFonts w:ascii="Arial" w:cs="Arial" w:eastAsia="Arial" w:hAnsi="Arial"/>
                <w:b/>
                <w:bCs/>
                <w:color w:val="FFFFFF"/>
                <w:sz w:val="19"/>
                <w:szCs w:val="19"/>
              </w:rPr>
              <w:t xml:space="preserve">Phase 1 — Optimisation model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80"/>
            </w:tcMar>
          </w:tcPr>
          <w:p>
            <w:r>
              <w:rPr>
                <w:rFonts w:ascii="Arial" w:cs="Arial" w:eastAsia="Arial" w:hAnsi="Arial"/>
                <w:b/>
                <w:bCs/>
                <w:color w:val="FFFFFF"/>
                <w:sz w:val="19"/>
                <w:szCs w:val="19"/>
              </w:rPr>
              <w:t xml:space="preserve">Phase 2 — ML-enhanced model</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Approach</w:t>
            </w:r>
          </w:p>
        </w:tc>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Discrete optimisation (Integer Programming)</w:t>
            </w:r>
          </w:p>
        </w:tc>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ML-predicted revenue rates feed the optimiser</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Display data</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Store capacity from Excel — provided per store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Actual weekly display counts from Power App</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Output</w:t>
            </w:r>
          </w:p>
        </w:tc>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Streamlit internal tool — planners interact with recommendations</w:t>
            </w:r>
          </w:p>
        </w:tc>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Same tool, smarter inputs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When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Live within 8 weeks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After 6+ months of display data collected</w:t>
            </w:r>
          </w:p>
        </w:tc>
      </w:tr>
    </w:tbl>
    <w:p>
      <w:r>
        <w:br w:type="page"/>
      </w:r>
    </w:p>
    <w:p>
      <w:pPr>
        <w:pStyle w:val="Heading1"/>
        <w:pBdr>
          <w:bottom w:val="single" w:color="2E75B6" w:sz="8" w:space="4"/>
        </w:pBdr>
        <w:spacing w:after="140" w:before="320"/>
      </w:pPr>
      <w:r>
        <w:rPr>
          <w:rFonts w:ascii="Arial" w:cs="Arial" w:eastAsia="Arial" w:hAnsi="Arial"/>
          <w:b/>
          <w:bCs/>
          <w:color w:val="1F3864"/>
          <w:sz w:val="32"/>
          <w:szCs w:val="32"/>
        </w:rPr>
        <w:t xml:space="preserve">2. The Optimisation Model</w:t>
      </w:r>
    </w:p>
    <w:p>
      <w:pPr>
        <w:spacing w:after="70" w:before="70"/>
      </w:pPr>
      <w:r>
        <w:rPr>
          <w:rFonts w:ascii="Arial" w:cs="Arial" w:eastAsia="Arial" w:hAnsi="Arial"/>
          <w:color w:val="1A1A1A"/>
          <w:sz w:val="22"/>
          <w:szCs w:val="22"/>
        </w:rPr>
        <w:t xml:space="preserve">The system uses Integer Programming (IP) as its core method from Day 1. IP finds the globally optimal display allocation across all buckets in a store simultaneously — subject to all business constraints below.</w:t>
      </w:r>
    </w:p>
    <w:p>
      <w:pPr>
        <w:spacing w:after="120" w:before="0"/>
      </w:pPr>
      <w:r>
        <w:t xml:space="preserve"/>
      </w:r>
    </w:p>
    <w:p>
      <w:pPr>
        <w:pStyle w:val="Heading2"/>
        <w:spacing w:after="100" w:before="240"/>
      </w:pPr>
      <w:r>
        <w:rPr>
          <w:rFonts w:ascii="Arial" w:cs="Arial" w:eastAsia="Arial" w:hAnsi="Arial"/>
          <w:b/>
          <w:bCs/>
          <w:color w:val="2E75B6"/>
          <w:sz w:val="26"/>
          <w:szCs w:val="26"/>
        </w:rPr>
        <w:t xml:space="preserve">2.1  Decision Variables</w:t>
      </w:r>
    </w:p>
    <w:p>
      <w:pPr>
        <w:spacing w:after="70" w:before="70"/>
      </w:pPr>
      <w:r>
        <w:rPr>
          <w:rFonts w:ascii="Arial" w:cs="Arial" w:eastAsia="Arial" w:hAnsi="Arial"/>
          <w:color w:val="1A1A1A"/>
          <w:sz w:val="22"/>
          <w:szCs w:val="22"/>
        </w:rPr>
        <w:t xml:space="preserve">For each store and each bucket (Collection × Category × Pricepoint), the model decides: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B0A0" w:sz="18"/>
              <w:bottom w:val="single" w:color="CCCCCC" w:sz="1"/>
              <w:right w:val="single" w:color="CCCCCC" w:sz="1"/>
            </w:tcBorders>
            <w:shd w:fill="F0FBF9" w:val="clear"/>
            <w:tcMar>
              <w:top w:type="dxa" w:w="100"/>
              <w:left w:type="dxa" w:w="180"/>
              <w:bottom w:type="dxa" w:w="100"/>
              <w:right w:type="dxa" w:w="100"/>
            </w:tcMar>
          </w:tcPr>
          <w:p>
            <w:r>
              <w:rPr>
                <w:rFonts w:ascii="Courier New" w:cs="Courier New" w:eastAsia="Courier New" w:hAnsi="Courier New"/>
                <w:b/>
                <w:bCs/>
                <w:color w:val="1F3864"/>
                <w:sz w:val="20"/>
                <w:szCs w:val="20"/>
              </w:rPr>
              <w:t xml:space="preserve">display_share[store, bucket]  =  % of display floor style slots given to this bucket   (whole number, 1–45)</w:t>
            </w:r>
          </w:p>
        </w:tc>
      </w:tr>
    </w:tbl>
    <w:p>
      <w:pPr>
        <w:spacing w:after="60" w:before="0"/>
      </w:pPr>
      <w:r>
        <w:t xml:space="preserve"/>
      </w:r>
    </w:p>
    <w:p>
      <w:pPr>
        <w:spacing w:after="70" w:before="70"/>
      </w:pPr>
      <w:r>
        <w:rPr>
          <w:rFonts w:ascii="Arial" w:cs="Arial" w:eastAsia="Arial" w:hAnsi="Arial"/>
          <w:color w:val="1A1A1A"/>
          <w:sz w:val="22"/>
          <w:szCs w:val="22"/>
        </w:rPr>
        <w:t xml:space="preserve">display_share[store, bucket] is the whole-number percentage of the store's display floor allocated to this bucket on Monday. The optimiser decides how those percentages are split across all buckets. display_capacity[store] — the Min Option Count from the store capacity Excel — is used only in constraint C5 to ensure the physical fixture limit is not exceeded.</w:t>
      </w:r>
    </w:p>
    <w:p>
      <w:pPr>
        <w:spacing w:after="140" w:before="0"/>
      </w:pPr>
      <w:r>
        <w:t xml:space="preserve"/>
      </w:r>
    </w:p>
    <w:p>
      <w:pPr>
        <w:pStyle w:val="Heading2"/>
        <w:spacing w:after="100" w:before="240"/>
      </w:pPr>
      <w:r>
        <w:rPr>
          <w:rFonts w:ascii="Arial" w:cs="Arial" w:eastAsia="Arial" w:hAnsi="Arial"/>
          <w:b/>
          <w:bCs/>
          <w:color w:val="2E75B6"/>
          <w:sz w:val="26"/>
          <w:szCs w:val="26"/>
        </w:rPr>
        <w:t xml:space="preserve">2.2  Objective Function — Maximise Revenue</w:t>
      </w:r>
    </w:p>
    <w:p>
      <w:pPr>
        <w:spacing w:after="70" w:before="70"/>
      </w:pPr>
      <w:r>
        <w:rPr>
          <w:rFonts w:ascii="Arial" w:cs="Arial" w:eastAsia="Arial" w:hAnsi="Arial"/>
          <w:color w:val="1A1A1A"/>
          <w:sz w:val="22"/>
          <w:szCs w:val="22"/>
        </w:rPr>
        <w:t xml:space="preserve">The model maximises expected total revenue across all buckets by allocating higher display share to buckets whose inventory earns more revenue per unit: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B0A0" w:sz="18"/>
              <w:bottom w:val="single" w:color="CCCCCC" w:sz="1"/>
              <w:right w:val="single" w:color="CCCCCC" w:sz="1"/>
            </w:tcBorders>
            <w:shd w:fill="F0FBF9" w:val="clear"/>
            <w:tcMar>
              <w:top w:type="dxa" w:w="100"/>
              <w:left w:type="dxa" w:w="180"/>
              <w:bottom w:type="dxa" w:w="100"/>
              <w:right w:type="dxa" w:w="100"/>
            </w:tcMar>
          </w:tcPr>
          <w:p>
            <w:r>
              <w:rPr>
                <w:rFonts w:ascii="Courier New" w:cs="Courier New" w:eastAsia="Courier New" w:hAnsi="Courier New"/>
                <w:b/>
                <w:bCs/>
                <w:color w:val="1F3864"/>
                <w:sz w:val="20"/>
                <w:szCs w:val="20"/>
              </w:rPr>
              <w:t xml:space="preserve">Maximise:   SUM over all buckets  [ display_share[store, bucket]  ×  revenue_rate[store, bucket] ]</w:t>
            </w:r>
          </w:p>
        </w:tc>
      </w:tr>
    </w:tbl>
    <w:p>
      <w:pPr>
        <w:spacing w:after="60" w:before="0"/>
      </w:pPr>
      <w:r>
        <w:t xml:space="preserve"/>
      </w:r>
    </w:p>
    <w:p>
      <w:pPr>
        <w:spacing w:after="70" w:before="70"/>
      </w:pPr>
      <w:r>
        <w:rPr>
          <w:rFonts w:ascii="Arial" w:cs="Arial" w:eastAsia="Arial" w:hAnsi="Arial"/>
          <w:color w:val="1A1A1A"/>
          <w:sz w:val="22"/>
          <w:szCs w:val="22"/>
        </w:rPr>
        <w:t xml:space="preserve">Where:</w:t>
      </w:r>
    </w:p>
    <w:p>
      <w:pPr>
        <w:pStyle w:val="ListParagraph"/>
        <w:numPr>
          <w:ilvl w:val="0"/>
          <w:numId w:val="2"/>
        </w:numPr>
        <w:spacing w:after="36" w:before="36"/>
      </w:pPr>
      <w:r>
        <w:rPr>
          <w:rFonts w:ascii="Arial" w:cs="Arial" w:eastAsia="Arial" w:hAnsi="Arial"/>
          <w:color w:val="1A1A1A"/>
          <w:sz w:val="22"/>
          <w:szCs w:val="22"/>
        </w:rPr>
        <w:t xml:space="preserve">display_share[store, bucket]  =  the % of the display floor given to this bucket on Monday (the decision the model makes, whole number 1–45)</w:t>
      </w:r>
    </w:p>
    <w:p>
      <w:pPr>
        <w:pStyle w:val="ListParagraph"/>
        <w:numPr>
          <w:ilvl w:val="0"/>
          <w:numId w:val="2"/>
        </w:numPr>
        <w:spacing w:after="36" w:before="36"/>
      </w:pPr>
      <w:r>
        <w:rPr>
          <w:rFonts w:ascii="Arial" w:cs="Arial" w:eastAsia="Arial" w:hAnsi="Arial"/>
          <w:color w:val="1A1A1A"/>
          <w:sz w:val="22"/>
          <w:szCs w:val="22"/>
        </w:rPr>
        <w:t xml:space="preserve">revenue_rate[store, bucket]  =  ₹ revenue this bucket generated per unit of inventory committed to it over the last 4 weeks — computed from FACT_FNO_SALES and FACT_FNO_SOH_DAILY. See Section 3.3.</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BC0" w:sz="8"/>
              <w:left w:val="single" w:color="5C6BC0" w:sz="20"/>
              <w:bottom w:val="single" w:color="5C6BC0" w:sz="2"/>
              <w:right w:val="single" w:color="5C6BC0" w:sz="2"/>
            </w:tcBorders>
            <w:shd w:fill="EEF2FF" w:val="clear"/>
            <w:tcMar>
              <w:top w:type="dxa" w:w="110"/>
              <w:left w:type="dxa" w:w="180"/>
              <w:bottom w:type="dxa" w:w="110"/>
              <w:right w:type="dxa" w:w="110"/>
            </w:tcMar>
          </w:tcPr>
          <w:p>
            <w:pPr>
              <w:spacing w:after="50" w:before="0"/>
            </w:pPr>
            <w:r>
              <w:rPr>
                <w:rFonts w:ascii="Arial" w:cs="Arial" w:eastAsia="Arial" w:hAnsi="Arial"/>
                <w:b/>
                <w:bCs/>
                <w:color w:val="5C6BC0"/>
                <w:sz w:val="20"/>
                <w:szCs w:val="20"/>
              </w:rPr>
              <w:t xml:space="preserve">Why display_capacity[store] does not appear in the objective</w:t>
            </w:r>
          </w:p>
          <w:p>
            <w:pPr>
              <w:spacing w:after="0" w:before="0"/>
            </w:pPr>
            <w:r>
              <w:rPr>
                <w:rFonts w:ascii="Arial" w:cs="Arial" w:eastAsia="Arial" w:hAnsi="Arial"/>
                <w:color w:val="1A1A1A"/>
                <w:sz w:val="20"/>
                <w:szCs w:val="20"/>
              </w:rPr>
              <w:t xml:space="preserve">display_capacity[store] — the Min Option Count from the store capacity Excel — is a fixed constant for a given store. Multiplying every bucket's term by the same constant does not change which allocation the solver picks as optimal. It is therefore omitted from the objective and only used in constraint C5, where it enforces the physical fixture limit.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BC0" w:sz="8"/>
              <w:left w:val="single" w:color="5C6BC0" w:sz="20"/>
              <w:bottom w:val="single" w:color="5C6BC0" w:sz="2"/>
              <w:right w:val="single" w:color="5C6BC0" w:sz="2"/>
            </w:tcBorders>
            <w:shd w:fill="EEF2FF" w:val="clear"/>
            <w:tcMar>
              <w:top w:type="dxa" w:w="110"/>
              <w:left w:type="dxa" w:w="180"/>
              <w:bottom w:type="dxa" w:w="110"/>
              <w:right w:type="dxa" w:w="110"/>
            </w:tcMar>
          </w:tcPr>
          <w:p>
            <w:pPr>
              <w:spacing w:after="50" w:before="0"/>
            </w:pPr>
            <w:r>
              <w:rPr>
                <w:rFonts w:ascii="Arial" w:cs="Arial" w:eastAsia="Arial" w:hAnsi="Arial"/>
                <w:b/>
                <w:bCs/>
                <w:color w:val="5C6BC0"/>
                <w:sz w:val="20"/>
                <w:szCs w:val="20"/>
              </w:rPr>
              <w:t xml:space="preserve">How revenue_rate is calculated — summary</w:t>
            </w:r>
          </w:p>
          <w:p>
            <w:pPr>
              <w:spacing w:after="0" w:before="0"/>
            </w:pPr>
            <w:r>
              <w:rPr>
                <w:rFonts w:ascii="Arial" w:cs="Arial" w:eastAsia="Arial" w:hAnsi="Arial"/>
                <w:color w:val="1A1A1A"/>
                <w:sz w:val="20"/>
                <w:szCs w:val="20"/>
              </w:rPr>
              <w:t xml:space="preserve">revenue_rate[store, bucket] = bucket_revenue[store, bucket, last 4 weeks]  /  bucket_inventory[store, bucket, last 4 weeks]. Both figures come from existing Fabric tables. No display share data is needed for Phase 1 — the rate is computed purely from inventory and sales. Full explanation in Section 3.3.</w:t>
            </w:r>
          </w:p>
        </w:tc>
      </w:tr>
    </w:tbl>
    <w:p>
      <w:pPr>
        <w:spacing w:after="140" w:before="0"/>
      </w:pPr>
      <w:r>
        <w:t xml:space="preserve"/>
      </w:r>
    </w:p>
    <w:p>
      <w:pPr>
        <w:pStyle w:val="Heading2"/>
        <w:spacing w:after="100" w:before="240"/>
      </w:pPr>
      <w:r>
        <w:rPr>
          <w:rFonts w:ascii="Arial" w:cs="Arial" w:eastAsia="Arial" w:hAnsi="Arial"/>
          <w:b/>
          <w:bCs/>
          <w:color w:val="2E75B6"/>
          <w:sz w:val="26"/>
          <w:szCs w:val="26"/>
        </w:rPr>
        <w:t xml:space="preserve">2.3  Constraints</w:t>
      </w:r>
    </w:p>
    <w:p>
      <w:pPr>
        <w:spacing w:after="70" w:before="70"/>
      </w:pPr>
      <w:r>
        <w:rPr>
          <w:rFonts w:ascii="Arial" w:cs="Arial" w:eastAsia="Arial" w:hAnsi="Arial"/>
          <w:color w:val="1A1A1A"/>
          <w:sz w:val="22"/>
          <w:szCs w:val="22"/>
        </w:rPr>
        <w:t xml:space="preserve">Every solution must satisfy all six constraints simultaneously. The IP solver only returns allocations that are feasible across all of them.</w:t>
      </w:r>
    </w:p>
    <w:p>
      <w:pPr>
        <w:spacing w:after="80" w:before="0"/>
      </w:pPr>
      <w:r>
        <w:t xml:space="preserve"/>
      </w:r>
    </w:p>
    <w:p>
      <w:pPr>
        <w:pStyle w:val="Heading3"/>
        <w:spacing w:after="80" w:before="180"/>
      </w:pPr>
      <w:r>
        <w:rPr>
          <w:rFonts w:ascii="Arial" w:cs="Arial" w:eastAsia="Arial" w:hAnsi="Arial"/>
          <w:b/>
          <w:bCs/>
          <w:color w:val="00B0A0"/>
          <w:sz w:val="22"/>
          <w:szCs w:val="22"/>
        </w:rPr>
        <w:t xml:space="preserve">C1 — Display shares must sum to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B0A0" w:sz="18"/>
              <w:bottom w:val="single" w:color="CCCCCC" w:sz="1"/>
              <w:right w:val="single" w:color="CCCCCC" w:sz="1"/>
            </w:tcBorders>
            <w:shd w:fill="F0FBF9" w:val="clear"/>
            <w:tcMar>
              <w:top w:type="dxa" w:w="100"/>
              <w:left w:type="dxa" w:w="180"/>
              <w:bottom w:type="dxa" w:w="100"/>
              <w:right w:type="dxa" w:w="100"/>
            </w:tcMar>
          </w:tcPr>
          <w:p>
            <w:r>
              <w:rPr>
                <w:rFonts w:ascii="Courier New" w:cs="Courier New" w:eastAsia="Courier New" w:hAnsi="Courier New"/>
                <w:b/>
                <w:bCs/>
                <w:color w:val="1F3864"/>
                <w:sz w:val="20"/>
                <w:szCs w:val="20"/>
              </w:rPr>
              <w:t xml:space="preserve">SUM over all buckets  [ display_share[store, bucket] ]  =  100     for every store</w:t>
            </w:r>
          </w:p>
        </w:tc>
      </w:tr>
    </w:tbl>
    <w:p>
      <w:pPr>
        <w:spacing w:after="60" w:before="0"/>
      </w:pPr>
      <w:r>
        <w:t xml:space="preserve"/>
      </w:r>
    </w:p>
    <w:p>
      <w:pPr>
        <w:spacing w:after="70" w:before="70"/>
      </w:pPr>
      <w:r>
        <w:rPr>
          <w:rFonts w:ascii="Arial" w:cs="Arial" w:eastAsia="Arial" w:hAnsi="Arial"/>
          <w:color w:val="1A1A1A"/>
          <w:sz w:val="22"/>
          <w:szCs w:val="22"/>
        </w:rPr>
        <w:t xml:space="preserve">All bucket display share percentages must add up to exactly 100% — the entire display floor is assigned across buckets with nothing left empty. The backroom follows the same proportions but is not constrained here.</w:t>
      </w:r>
    </w:p>
    <w:p>
      <w:pPr>
        <w:spacing w:after="100" w:before="0"/>
      </w:pPr>
      <w:r>
        <w:t xml:space="preserve"/>
      </w:r>
    </w:p>
    <w:p>
      <w:pPr>
        <w:pStyle w:val="Heading3"/>
        <w:spacing w:after="80" w:before="180"/>
      </w:pPr>
      <w:r>
        <w:rPr>
          <w:rFonts w:ascii="Arial" w:cs="Arial" w:eastAsia="Arial" w:hAnsi="Arial"/>
          <w:b/>
          <w:bCs/>
          <w:color w:val="00B0A0"/>
          <w:sz w:val="22"/>
          <w:szCs w:val="22"/>
        </w:rPr>
        <w:t xml:space="preserve">C2 — Whole-number percentages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B0A0" w:sz="18"/>
              <w:bottom w:val="single" w:color="CCCCCC" w:sz="1"/>
              <w:right w:val="single" w:color="CCCCCC" w:sz="1"/>
            </w:tcBorders>
            <w:shd w:fill="F0FBF9" w:val="clear"/>
            <w:tcMar>
              <w:top w:type="dxa" w:w="100"/>
              <w:left w:type="dxa" w:w="180"/>
              <w:bottom w:type="dxa" w:w="100"/>
              <w:right w:type="dxa" w:w="100"/>
            </w:tcMar>
          </w:tcPr>
          <w:p>
            <w:r>
              <w:rPr>
                <w:rFonts w:ascii="Courier New" w:cs="Courier New" w:eastAsia="Courier New" w:hAnsi="Courier New"/>
                <w:b/>
                <w:bCs/>
                <w:color w:val="1F3864"/>
                <w:sz w:val="20"/>
                <w:szCs w:val="20"/>
              </w:rPr>
              <w:t xml:space="preserve">display_share[store, bucket]  is a whole number   for all buckets and stores</w:t>
            </w:r>
          </w:p>
        </w:tc>
      </w:tr>
    </w:tbl>
    <w:p>
      <w:pPr>
        <w:spacing w:after="60" w:before="0"/>
      </w:pPr>
      <w:r>
        <w:t xml:space="preserve"/>
      </w:r>
    </w:p>
    <w:p>
      <w:pPr>
        <w:spacing w:after="70" w:before="70"/>
      </w:pPr>
      <w:r>
        <w:rPr>
          <w:rFonts w:ascii="Arial" w:cs="Arial" w:eastAsia="Arial" w:hAnsi="Arial"/>
          <w:color w:val="1A1A1A"/>
          <w:sz w:val="22"/>
          <w:szCs w:val="22"/>
        </w:rPr>
        <w:t xml:space="preserve">Fractional allocations (e.g. 12.3%) are not operationally meaningful — a store team cannot arrange 12.3% of a display floor. The model works in whole percentage points only.</w:t>
      </w:r>
    </w:p>
    <w:p>
      <w:pPr>
        <w:spacing w:after="100" w:before="0"/>
      </w:pPr>
      <w:r>
        <w:t xml:space="preserve"/>
      </w:r>
    </w:p>
    <w:p>
      <w:pPr>
        <w:pStyle w:val="Heading3"/>
        <w:spacing w:after="80" w:before="180"/>
      </w:pPr>
      <w:r>
        <w:rPr>
          <w:rFonts w:ascii="Arial" w:cs="Arial" w:eastAsia="Arial" w:hAnsi="Arial"/>
          <w:b/>
          <w:bCs/>
          <w:color w:val="00B0A0"/>
          <w:sz w:val="22"/>
          <w:szCs w:val="22"/>
        </w:rPr>
        <w:t xml:space="preserve">C3 — No bucket exceeds 45% of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B0A0" w:sz="18"/>
              <w:bottom w:val="single" w:color="CCCCCC" w:sz="1"/>
              <w:right w:val="single" w:color="CCCCCC" w:sz="1"/>
            </w:tcBorders>
            <w:shd w:fill="F0FBF9" w:val="clear"/>
            <w:tcMar>
              <w:top w:type="dxa" w:w="100"/>
              <w:left w:type="dxa" w:w="180"/>
              <w:bottom w:type="dxa" w:w="100"/>
              <w:right w:type="dxa" w:w="100"/>
            </w:tcMar>
          </w:tcPr>
          <w:p>
            <w:r>
              <w:rPr>
                <w:rFonts w:ascii="Courier New" w:cs="Courier New" w:eastAsia="Courier New" w:hAnsi="Courier New"/>
                <w:b/>
                <w:bCs/>
                <w:color w:val="1F3864"/>
                <w:sz w:val="20"/>
                <w:szCs w:val="20"/>
              </w:rPr>
              <w:t xml:space="preserve">display_share[store, bucket]  &lt;=  45          for all buckets and stores</w:t>
            </w:r>
          </w:p>
        </w:tc>
      </w:tr>
    </w:tbl>
    <w:p>
      <w:pPr>
        <w:spacing w:after="60" w:before="0"/>
      </w:pPr>
      <w:r>
        <w:t xml:space="preserve"/>
      </w:r>
    </w:p>
    <w:p>
      <w:pPr>
        <w:spacing w:after="70" w:before="70"/>
      </w:pPr>
      <w:r>
        <w:rPr>
          <w:rFonts w:ascii="Arial" w:cs="Arial" w:eastAsia="Arial" w:hAnsi="Arial"/>
          <w:color w:val="1A1A1A"/>
          <w:sz w:val="22"/>
          <w:szCs w:val="22"/>
        </w:rPr>
        <w:t xml:space="preserve">No single bucket can take more than 45% of the display floor — prevents one category dominating the store and crowding out the rest of the range.</w:t>
      </w:r>
    </w:p>
    <w:p>
      <w:pPr>
        <w:spacing w:after="100" w:before="0"/>
      </w:pPr>
      <w:r>
        <w:t xml:space="preserve"/>
      </w:r>
    </w:p>
    <w:p>
      <w:pPr>
        <w:pStyle w:val="Heading3"/>
        <w:spacing w:after="80" w:before="180"/>
      </w:pPr>
      <w:r>
        <w:rPr>
          <w:rFonts w:ascii="Arial" w:cs="Arial" w:eastAsia="Arial" w:hAnsi="Arial"/>
          <w:b/>
          <w:bCs/>
          <w:color w:val="00B0A0"/>
          <w:sz w:val="22"/>
          <w:szCs w:val="22"/>
        </w:rPr>
        <w:t xml:space="preserve">C4 — No bucket falls below 1% of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B0A0" w:sz="18"/>
              <w:bottom w:val="single" w:color="CCCCCC" w:sz="1"/>
              <w:right w:val="single" w:color="CCCCCC" w:sz="1"/>
            </w:tcBorders>
            <w:shd w:fill="F0FBF9" w:val="clear"/>
            <w:tcMar>
              <w:top w:type="dxa" w:w="100"/>
              <w:left w:type="dxa" w:w="180"/>
              <w:bottom w:type="dxa" w:w="100"/>
              <w:right w:type="dxa" w:w="100"/>
            </w:tcMar>
          </w:tcPr>
          <w:p>
            <w:r>
              <w:rPr>
                <w:rFonts w:ascii="Courier New" w:cs="Courier New" w:eastAsia="Courier New" w:hAnsi="Courier New"/>
                <w:b/>
                <w:bCs/>
                <w:color w:val="1F3864"/>
                <w:sz w:val="20"/>
                <w:szCs w:val="20"/>
              </w:rPr>
              <w:t xml:space="preserve">display_share[store, bucket]  &gt;=  1           for all buckets and stores</w:t>
            </w:r>
          </w:p>
        </w:tc>
      </w:tr>
    </w:tbl>
    <w:p>
      <w:pPr>
        <w:spacing w:after="60" w:before="0"/>
      </w:pPr>
      <w:r>
        <w:t xml:space="preserve"/>
      </w:r>
    </w:p>
    <w:p>
      <w:pPr>
        <w:spacing w:after="70" w:before="70"/>
      </w:pPr>
      <w:r>
        <w:rPr>
          <w:rFonts w:ascii="Arial" w:cs="Arial" w:eastAsia="Arial" w:hAnsi="Arial"/>
          <w:color w:val="1A1A1A"/>
          <w:sz w:val="22"/>
          <w:szCs w:val="22"/>
        </w:rPr>
        <w:t xml:space="preserve">Every active bucket in the store retains at least a minimal display presence. Buckets that should be fully exited from a store are handled separately by the merchandising team, not by the optimiser.</w:t>
      </w:r>
    </w:p>
    <w:p>
      <w:pPr>
        <w:spacing w:after="100" w:before="0"/>
      </w:pPr>
      <w:r>
        <w:t xml:space="preserve"/>
      </w:r>
    </w:p>
    <w:p>
      <w:pPr>
        <w:pStyle w:val="Heading3"/>
        <w:spacing w:after="80" w:before="180"/>
      </w:pPr>
      <w:r>
        <w:rPr>
          <w:rFonts w:ascii="Arial" w:cs="Arial" w:eastAsia="Arial" w:hAnsi="Arial"/>
          <w:b/>
          <w:bCs/>
          <w:color w:val="00B0A0"/>
          <w:sz w:val="22"/>
          <w:szCs w:val="22"/>
        </w:rPr>
        <w:t xml:space="preserve">C5 — Total style count on display cannot exceed store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B0A0" w:sz="18"/>
              <w:bottom w:val="single" w:color="CCCCCC" w:sz="1"/>
              <w:right w:val="single" w:color="CCCCCC" w:sz="1"/>
            </w:tcBorders>
            <w:shd w:fill="F0FBF9" w:val="clear"/>
            <w:tcMar>
              <w:top w:type="dxa" w:w="100"/>
              <w:left w:type="dxa" w:w="180"/>
              <w:bottom w:type="dxa" w:w="100"/>
              <w:right w:type="dxa" w:w="100"/>
            </w:tcMar>
          </w:tcPr>
          <w:p>
            <w:r>
              <w:rPr>
                <w:rFonts w:ascii="Courier New" w:cs="Courier New" w:eastAsia="Courier New" w:hAnsi="Courier New"/>
                <w:b/>
                <w:bCs/>
                <w:color w:val="1F3864"/>
                <w:sz w:val="20"/>
                <w:szCs w:val="20"/>
              </w:rPr>
              <w:t xml:space="preserve">SUM over all buckets  [ ROUND( display_share[store, bucket] / 100  ×  display_capacity[store] ) ]  &lt;=  display_capacity[store]</w:t>
            </w:r>
          </w:p>
        </w:tc>
      </w:tr>
    </w:tbl>
    <w:p>
      <w:pPr>
        <w:spacing w:after="60" w:before="0"/>
      </w:pPr>
      <w:r>
        <w:t xml:space="preserve"/>
      </w:r>
    </w:p>
    <w:p>
      <w:pPr>
        <w:spacing w:after="70" w:before="70"/>
      </w:pPr>
      <w:r>
        <w:rPr>
          <w:rFonts w:ascii="Arial" w:cs="Arial" w:eastAsia="Arial" w:hAnsi="Arial"/>
          <w:color w:val="1A1A1A"/>
          <w:sz w:val="22"/>
          <w:szCs w:val="22"/>
        </w:rPr>
        <w:t xml:space="preserve">This is the only place display_capacity[store] appears in the model. It converts the percentage shares into absolute style counts and checks they do not exceed the store's physical Min Option Count fixture limit.</w:t>
      </w:r>
    </w:p>
    <w:p>
      <w:pPr>
        <w:pStyle w:val="ListParagraph"/>
        <w:numPr>
          <w:ilvl w:val="0"/>
          <w:numId w:val="2"/>
        </w:numPr>
        <w:spacing w:after="36" w:before="36"/>
      </w:pPr>
      <w:r>
        <w:rPr>
          <w:rFonts w:ascii="Arial" w:cs="Arial" w:eastAsia="Arial" w:hAnsi="Arial"/>
          <w:color w:val="1A1A1A"/>
          <w:sz w:val="22"/>
          <w:szCs w:val="22"/>
        </w:rPr>
        <w:t xml:space="preserve">display_capacity[store]  =  Min Option Count for this store — from the store capacity Excel. This is the number of distinct styles the display floor can show on Monday. Max Option Count is not used.</w:t>
      </w:r>
    </w:p>
    <w:p>
      <w:pPr>
        <w:pStyle w:val="ListParagraph"/>
        <w:numPr>
          <w:ilvl w:val="0"/>
          <w:numId w:val="2"/>
        </w:numPr>
        <w:spacing w:after="36" w:before="36"/>
      </w:pPr>
      <w:r>
        <w:rPr>
          <w:rFonts w:ascii="Arial" w:cs="Arial" w:eastAsia="Arial" w:hAnsi="Arial"/>
          <w:color w:val="1A1A1A"/>
          <w:sz w:val="22"/>
          <w:szCs w:val="22"/>
        </w:rPr>
        <w:t xml:space="preserve">ROUND( display_share / 100 × display_capacity )  =  the number of style slots assigned to this bucket — rounded to a whole number since you cannot show half a style.</w:t>
      </w:r>
    </w:p>
    <w:p>
      <w:pPr>
        <w:pStyle w:val="ListParagraph"/>
        <w:numPr>
          <w:ilvl w:val="0"/>
          <w:numId w:val="2"/>
        </w:numPr>
        <w:spacing w:after="36" w:before="36"/>
      </w:pPr>
      <w:r>
        <w:rPr>
          <w:rFonts w:ascii="Arial" w:cs="Arial" w:eastAsia="Arial" w:hAnsi="Arial"/>
          <w:color w:val="1A1A1A"/>
          <w:sz w:val="22"/>
          <w:szCs w:val="22"/>
        </w:rPr>
        <w:t xml:space="preserve">Example: Brigade Rd. Bengaluru — display_capacity = 470. A bucket with 20% display share gets ROUND(0.20 × 470) = 94 style slots. The sum across all buckets must stay at or below 470.</w:t>
      </w:r>
    </w:p>
    <w:p>
      <w:pPr>
        <w:spacing w:after="100" w:before="0"/>
      </w:pPr>
      <w:r>
        <w:t xml:space="preserve"/>
      </w:r>
    </w:p>
    <w:p>
      <w:pPr>
        <w:pStyle w:val="Heading3"/>
        <w:spacing w:after="80" w:before="180"/>
      </w:pPr>
      <w:r>
        <w:rPr>
          <w:rFonts w:ascii="Arial" w:cs="Arial" w:eastAsia="Arial" w:hAnsi="Arial"/>
          <w:b/>
          <w:bCs/>
          <w:color w:val="00B0A0"/>
          <w:sz w:val="22"/>
          <w:szCs w:val="22"/>
        </w:rPr>
        <w:t xml:space="preserve">C6 — Only existing buckets can be allocated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B0A0" w:sz="18"/>
              <w:bottom w:val="single" w:color="CCCCCC" w:sz="1"/>
              <w:right w:val="single" w:color="CCCCCC" w:sz="1"/>
            </w:tcBorders>
            <w:shd w:fill="F0FBF9" w:val="clear"/>
            <w:tcMar>
              <w:top w:type="dxa" w:w="100"/>
              <w:left w:type="dxa" w:w="180"/>
              <w:bottom w:type="dxa" w:w="100"/>
              <w:right w:type="dxa" w:w="100"/>
            </w:tcMar>
          </w:tcPr>
          <w:p>
            <w:r>
              <w:rPr>
                <w:rFonts w:ascii="Courier New" w:cs="Courier New" w:eastAsia="Courier New" w:hAnsi="Courier New"/>
                <w:b/>
                <w:bCs/>
                <w:color w:val="1F3864"/>
                <w:sz w:val="20"/>
                <w:szCs w:val="20"/>
              </w:rPr>
              <w:t xml:space="preserve">display_share[store, bucket]  =  0    if bucket has never had stock in this store</w:t>
            </w:r>
          </w:p>
        </w:tc>
      </w:tr>
    </w:tbl>
    <w:p>
      <w:pPr>
        <w:spacing w:after="60" w:before="0"/>
      </w:pPr>
      <w:r>
        <w:t xml:space="preserve"/>
      </w:r>
    </w:p>
    <w:p>
      <w:pPr>
        <w:spacing w:after="70" w:before="70"/>
      </w:pPr>
      <w:r>
        <w:rPr>
          <w:rFonts w:ascii="Arial" w:cs="Arial" w:eastAsia="Arial" w:hAnsi="Arial"/>
          <w:color w:val="1A1A1A"/>
          <w:sz w:val="22"/>
          <w:szCs w:val="22"/>
        </w:rPr>
        <w:t xml:space="preserve">The model cannot create new Collection × Category × Pricepoint combinations. It only reallocates display share across buckets that already exist in the store's assortment.</w:t>
      </w:r>
    </w:p>
    <w:p>
      <w:pPr>
        <w:spacing w:after="140" w:before="0"/>
      </w:pPr>
      <w:r>
        <w:t xml:space="preserve"/>
      </w:r>
    </w:p>
    <w:p>
      <w:pPr>
        <w:pStyle w:val="Heading2"/>
        <w:spacing w:after="100" w:before="240"/>
      </w:pPr>
      <w:r>
        <w:rPr>
          <w:rFonts w:ascii="Arial" w:cs="Arial" w:eastAsia="Arial" w:hAnsi="Arial"/>
          <w:b/>
          <w:bCs/>
          <w:color w:val="2E75B6"/>
          <w:sz w:val="26"/>
          <w:szCs w:val="26"/>
        </w:rPr>
        <w:t xml:space="preserve">2.4  Why Integer Programming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80"/>
            </w:tcMar>
          </w:tcPr>
          <w:p>
            <w:r>
              <w:rPr>
                <w:rFonts w:ascii="Arial" w:cs="Arial" w:eastAsia="Arial" w:hAnsi="Arial"/>
                <w:b/>
                <w:bCs/>
                <w:color w:val="FFFFFF"/>
                <w:sz w:val="19"/>
                <w:szCs w:val="19"/>
              </w:rPr>
              <w:t xml:space="preserve"/>
            </w:r>
          </w:p>
        </w:tc>
        <w:tc>
          <w:tcPr>
            <w:tcW w:type="dxa" w:w="312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80"/>
            </w:tcMar>
          </w:tcPr>
          <w:p>
            <w:r>
              <w:rPr>
                <w:rFonts w:ascii="Arial" w:cs="Arial" w:eastAsia="Arial" w:hAnsi="Arial"/>
                <w:b/>
                <w:bCs/>
                <w:color w:val="FFFFFF"/>
                <w:sz w:val="19"/>
                <w:szCs w:val="19"/>
              </w:rPr>
              <w:t xml:space="preserve">Simple independent scoring</w:t>
            </w:r>
          </w:p>
        </w:tc>
        <w:tc>
          <w:tcPr>
            <w:tcW w:type="dxa" w:w="312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80"/>
            </w:tcMar>
          </w:tcPr>
          <w:p>
            <w:r>
              <w:rPr>
                <w:rFonts w:ascii="Arial" w:cs="Arial" w:eastAsia="Arial" w:hAnsi="Arial"/>
                <w:b/>
                <w:bCs/>
                <w:color w:val="FFFFFF"/>
                <w:sz w:val="19"/>
                <w:szCs w:val="19"/>
              </w:rPr>
              <w:t xml:space="preserve">Integer Programming (our approach)</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Optimises across all buckets</w:t>
            </w:r>
          </w:p>
        </w:tc>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No — scores each bucket independently</w:t>
            </w:r>
          </w:p>
        </w:tc>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Yes — finds the global best allocation simultaneously</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Respects display capacity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Requires manual post-processing</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Hard constraint — MinOptionCount[s] per store from capacity Excel</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Guarantees shares sum to 100%</w:t>
            </w:r>
          </w:p>
        </w:tc>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Requires manual normalisation</w:t>
            </w:r>
          </w:p>
        </w:tc>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Built into the model by construction</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Whole-number output guaranteed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Requires rounding after the fact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Integer constraint is native to IP</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What-if simulation</w:t>
            </w:r>
          </w:p>
        </w:tc>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Re-score with adjusted inputs</w:t>
            </w:r>
          </w:p>
        </w:tc>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Pin any bucket, re-solve remaining buckets automatically</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Solver speed (1,000+ stores)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Fast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Fast — each store is solved independently</w:t>
            </w:r>
          </w:p>
        </w:tc>
      </w:tr>
    </w:tbl>
    <w:p>
      <w:pPr>
        <w:spacing w:after="140" w:before="0"/>
      </w:pPr>
      <w:r>
        <w:t xml:space="preserve"/>
      </w:r>
    </w:p>
    <w:p>
      <w:pPr>
        <w:pStyle w:val="Heading2"/>
        <w:spacing w:after="100" w:before="240"/>
      </w:pPr>
      <w:r>
        <w:rPr>
          <w:rFonts w:ascii="Arial" w:cs="Arial" w:eastAsia="Arial" w:hAnsi="Arial"/>
          <w:b/>
          <w:bCs/>
          <w:color w:val="2E75B6"/>
          <w:sz w:val="26"/>
          <w:szCs w:val="26"/>
        </w:rPr>
        <w:t xml:space="preserve">2.5  Important Note — Solver Meaningfulness Depends on Bucket Count</w:t>
      </w:r>
    </w:p>
    <w:p>
      <w:pPr>
        <w:spacing w:after="70" w:before="70"/>
      </w:pPr>
      <w:r>
        <w:rPr>
          <w:rFonts w:ascii="Arial" w:cs="Arial" w:eastAsia="Arial" w:hAnsi="Arial"/>
          <w:color w:val="1A1A1A"/>
          <w:sz w:val="22"/>
          <w:szCs w:val="22"/>
        </w:rPr>
        <w:t xml:space="preserve">The IP solver's ability to find a meaningfully differentiated allocation depends entirely on how many active buckets a store has. This is because constraint C4 (each bucket must have at least 1% display share) and constraint C1 (all shares must sum to 100%) interact in a way that limits solver freedom as bucket count grows.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8"/>
              <w:left w:val="single" w:color="A32D2D" w:sz="20"/>
              <w:bottom w:val="single" w:color="A32D2D" w:sz="2"/>
              <w:right w:val="single" w:color="A32D2D" w:sz="2"/>
            </w:tcBorders>
            <w:shd w:fill="FCEBEB" w:val="clear"/>
            <w:tcMar>
              <w:top w:type="dxa" w:w="110"/>
              <w:left w:type="dxa" w:w="180"/>
              <w:bottom w:type="dxa" w:w="110"/>
              <w:right w:type="dxa" w:w="110"/>
            </w:tcMar>
          </w:tcPr>
          <w:p>
            <w:pPr>
              <w:spacing w:after="50" w:before="0"/>
            </w:pPr>
            <w:r>
              <w:rPr>
                <w:rFonts w:ascii="Arial" w:cs="Arial" w:eastAsia="Arial" w:hAnsi="Arial"/>
                <w:b/>
                <w:bCs/>
                <w:color w:val="A32D2D"/>
                <w:sz w:val="20"/>
                <w:szCs w:val="20"/>
              </w:rPr>
              <w:t xml:space="preserve">The floor binding problem — plain English</w:t>
            </w:r>
          </w:p>
          <w:p>
            <w:pPr>
              <w:spacing w:after="0" w:before="0"/>
            </w:pPr>
            <w:r>
              <w:rPr>
                <w:rFonts w:ascii="Arial" w:cs="Arial" w:eastAsia="Arial" w:hAnsi="Arial"/>
                <w:color w:val="1A1A1A"/>
                <w:sz w:val="20"/>
                <w:szCs w:val="20"/>
              </w:rPr>
              <w:t xml:space="preserve">If a store has 60 active buckets and every bucket must get at least 1%, then just satisfying the floor uses up 60% of the display floor — leaving only 40% for the solver to actually optimise. At 100 buckets, the floor uses 100% and the solver has zero freedom: every bucket gets exactly 1% regardless of revenue rate. The 45% cap becomes completely irrelevant. The optimisation is meaningless.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80"/>
            </w:tcMar>
          </w:tcPr>
          <w:p>
            <w:r>
              <w:rPr>
                <w:rFonts w:ascii="Arial" w:cs="Arial" w:eastAsia="Arial" w:hAnsi="Arial"/>
                <w:b/>
                <w:bCs/>
                <w:color w:val="FFFFFF"/>
                <w:sz w:val="19"/>
                <w:szCs w:val="19"/>
              </w:rPr>
              <w:t xml:space="preserve">Active buckets per store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80"/>
            </w:tcMar>
          </w:tcPr>
          <w:p>
            <w:r>
              <w:rPr>
                <w:rFonts w:ascii="Arial" w:cs="Arial" w:eastAsia="Arial" w:hAnsi="Arial"/>
                <w:b/>
                <w:bCs/>
                <w:color w:val="FFFFFF"/>
                <w:sz w:val="19"/>
                <w:szCs w:val="19"/>
              </w:rPr>
              <w:t xml:space="preserve">Solver freedom</w:t>
            </w:r>
          </w:p>
        </w:tc>
        <w:tc>
          <w:tcPr>
            <w:tcW w:type="dxa" w:w="234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80"/>
            </w:tcMar>
          </w:tcPr>
          <w:p>
            <w:r>
              <w:rPr>
                <w:rFonts w:ascii="Arial" w:cs="Arial" w:eastAsia="Arial" w:hAnsi="Arial"/>
                <w:b/>
                <w:bCs/>
                <w:color w:val="FFFFFF"/>
                <w:sz w:val="19"/>
                <w:szCs w:val="19"/>
              </w:rPr>
              <w:t xml:space="preserve">45% cap reachable?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80"/>
            </w:tcMar>
          </w:tcPr>
          <w:p>
            <w:r>
              <w:rPr>
                <w:rFonts w:ascii="Arial" w:cs="Arial" w:eastAsia="Arial" w:hAnsi="Arial"/>
                <w:b/>
                <w:bCs/>
                <w:color w:val="FFFFFF"/>
                <w:sz w:val="19"/>
                <w:szCs w:val="19"/>
              </w:rPr>
              <w:t xml:space="preserve">Recommended action</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&lt; 20 buckets</w:t>
            </w:r>
          </w:p>
        </w:tc>
        <w:tc>
          <w:tcPr>
            <w:tcW w:type="dxa" w:w="234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Full — solver can push top buckets to cap</w:t>
            </w:r>
          </w:p>
        </w:tc>
        <w:tc>
          <w:tcPr>
            <w:tcW w:type="dxa" w:w="234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Yes</w:t>
            </w:r>
          </w:p>
        </w:tc>
        <w:tc>
          <w:tcPr>
            <w:tcW w:type="dxa" w:w="234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Ideal — proceed as designed</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20 – 49 buckets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Good — meaningful differentiation possible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Depends on count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Proceed — monitor outputs</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50 – 99 buckets</w:t>
            </w:r>
          </w:p>
        </w:tc>
        <w:tc>
          <w:tcPr>
            <w:tcW w:type="dxa" w:w="234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Limited — floor consumes most of the share</w:t>
            </w:r>
          </w:p>
        </w:tc>
        <w:tc>
          <w:tcPr>
            <w:tcW w:type="dxa" w:w="234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No</w:t>
            </w:r>
          </w:p>
        </w:tc>
        <w:tc>
          <w:tcPr>
            <w:tcW w:type="dxa" w:w="234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Consider dropping priceband, solve at Category level only</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&gt;= 100 buckets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None — every bucket gets 1%, solver adds no value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Must coarsen bucket definition before running model</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8"/>
              <w:left w:val="single" w:color="E6A817" w:sz="20"/>
              <w:bottom w:val="single" w:color="E6A817" w:sz="2"/>
              <w:right w:val="single" w:color="E6A817" w:sz="2"/>
            </w:tcBorders>
            <w:shd w:fill="FFF8E1" w:val="clear"/>
            <w:tcMar>
              <w:top w:type="dxa" w:w="110"/>
              <w:left w:type="dxa" w:w="180"/>
              <w:bottom w:type="dxa" w:w="110"/>
              <w:right w:type="dxa" w:w="110"/>
            </w:tcMar>
          </w:tcPr>
          <w:p>
            <w:pPr>
              <w:spacing w:after="50" w:before="0"/>
            </w:pPr>
            <w:r>
              <w:rPr>
                <w:rFonts w:ascii="Arial" w:cs="Arial" w:eastAsia="Arial" w:hAnsi="Arial"/>
                <w:b/>
                <w:bCs/>
                <w:color w:val="E6A817"/>
                <w:sz w:val="20"/>
                <w:szCs w:val="20"/>
              </w:rPr>
              <w:t xml:space="preserve">Action required in Week 1 — run the bucket count diagnostic</w:t>
            </w:r>
          </w:p>
          <w:p>
            <w:pPr>
              <w:spacing w:after="0" w:before="0"/>
            </w:pPr>
            <w:r>
              <w:rPr>
                <w:rFonts w:ascii="Arial" w:cs="Arial" w:eastAsia="Arial" w:hAnsi="Arial"/>
                <w:color w:val="1A1A1A"/>
                <w:sz w:val="20"/>
                <w:szCs w:val="20"/>
              </w:rPr>
              <w:t xml:space="preserve">Before building the model, run the following query against FACT_FNO_SALES_TC_ONLINE_BASE for Arrow stores to determine the actual active bucket count (Category × Priceband) per store over the last quarter. The result determines whether the model runs at Category × Priceband granularity or must be coarsened to Category only.
Query: COUNT(DISTINCT CONCAT(CATEGORY, ' | ', priceband)) per store, filtered to Arrow brand, last quarter sales. See the diagnostic SQL in the project repository.</w:t>
            </w:r>
          </w:p>
        </w:tc>
      </w:tr>
    </w:tbl>
    <w:p>
      <w:pPr>
        <w:spacing w:after="80" w:before="0"/>
      </w:pPr>
      <w:r>
        <w:t xml:space="preserve"/>
      </w:r>
    </w:p>
    <w:p>
      <w:pPr>
        <w:spacing w:after="70" w:before="70"/>
      </w:pPr>
      <w:r>
        <w:rPr>
          <w:rFonts w:ascii="Arial" w:cs="Arial" w:eastAsia="Arial" w:hAnsi="Arial"/>
          <w:color w:val="1A1A1A"/>
          <w:sz w:val="22"/>
          <w:szCs w:val="22"/>
        </w:rPr>
        <w:t xml:space="preserve">For Arrow specifically — since it is a single brand with a focused assortment (primarily Formal Shirts, Chinos, Trousers, Casual Shirts across 2–3 pricepoints each) — the expected active bucket count per store is likely 6–15 buckets. If confirmed, the solver operates in full optimisation range with no adjustments needed.</w:t>
      </w:r>
    </w:p>
    <w:p>
      <w:r>
        <w:br w:type="page"/>
      </w:r>
    </w:p>
    <w:p>
      <w:pPr>
        <w:pStyle w:val="Heading1"/>
        <w:pBdr>
          <w:bottom w:val="single" w:color="2E75B6" w:sz="8" w:space="4"/>
        </w:pBdr>
        <w:spacing w:after="140" w:before="320"/>
      </w:pPr>
      <w:r>
        <w:rPr>
          <w:rFonts w:ascii="Arial" w:cs="Arial" w:eastAsia="Arial" w:hAnsi="Arial"/>
          <w:b/>
          <w:bCs/>
          <w:color w:val="1F3864"/>
          <w:sz w:val="32"/>
          <w:szCs w:val="32"/>
        </w:rPr>
        <w:t xml:space="preserve">3. Data Inputs</w:t>
      </w:r>
    </w:p>
    <w:p>
      <w:pPr>
        <w:pStyle w:val="Heading2"/>
        <w:spacing w:after="100" w:before="240"/>
      </w:pPr>
      <w:r>
        <w:rPr>
          <w:rFonts w:ascii="Arial" w:cs="Arial" w:eastAsia="Arial" w:hAnsi="Arial"/>
          <w:b/>
          <w:bCs/>
          <w:color w:val="2E75B6"/>
          <w:sz w:val="26"/>
          <w:szCs w:val="26"/>
        </w:rPr>
        <w:t xml:space="preserve">3.1  What We Already Have (Fabric Data Warehouse)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80"/>
            </w:tcMar>
          </w:tcPr>
          <w:p>
            <w:r>
              <w:rPr>
                <w:rFonts w:ascii="Arial" w:cs="Arial" w:eastAsia="Arial" w:hAnsi="Arial"/>
                <w:b/>
                <w:bCs/>
                <w:color w:val="FFFFFF"/>
                <w:sz w:val="19"/>
                <w:szCs w:val="19"/>
              </w:rPr>
              <w:t xml:space="preserve">Input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80"/>
            </w:tcMar>
          </w:tcPr>
          <w:p>
            <w:r>
              <w:rPr>
                <w:rFonts w:ascii="Arial" w:cs="Arial" w:eastAsia="Arial" w:hAnsi="Arial"/>
                <w:b/>
                <w:bCs/>
                <w:color w:val="FFFFFF"/>
                <w:sz w:val="19"/>
                <w:szCs w:val="19"/>
              </w:rPr>
              <w:t xml:space="preserve">Source table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80"/>
            </w:tcMar>
          </w:tcPr>
          <w:p>
            <w:r>
              <w:rPr>
                <w:rFonts w:ascii="Arial" w:cs="Arial" w:eastAsia="Arial" w:hAnsi="Arial"/>
                <w:b/>
                <w:bCs/>
                <w:color w:val="FFFFFF"/>
                <w:sz w:val="19"/>
                <w:szCs w:val="19"/>
              </w:rPr>
              <w:t xml:space="preserve">Used for</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Units sold per bucket per quarter</w:t>
            </w:r>
          </w:p>
        </w:tc>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FACT_FNO_SALES_TC_ONLINE_BASE</w:t>
            </w:r>
          </w:p>
        </w:tc>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Computing revenue rate r[s,b]</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Stock on hand daily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FACT_FNO_SOH_DAILY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Deriving available stock and sell-through</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Store attributes (region, state)</w:t>
            </w:r>
          </w:p>
        </w:tc>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Embedded in sales table (NAME, REGION)</w:t>
            </w:r>
          </w:p>
        </w:tc>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Store-level segmentation and reporting</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Brand, category, pricepoint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BRAND, CATEGORY, UNITMRP in sales table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Bucket dimension definition</w:t>
            </w:r>
          </w:p>
        </w:tc>
      </w:tr>
    </w:tbl>
    <w:p>
      <w:pPr>
        <w:spacing w:after="120" w:before="0"/>
      </w:pPr>
      <w:r>
        <w:t xml:space="preserve"/>
      </w:r>
    </w:p>
    <w:p>
      <w:pPr>
        <w:pStyle w:val="Heading2"/>
        <w:spacing w:after="100" w:before="240"/>
      </w:pPr>
      <w:r>
        <w:rPr>
          <w:rFonts w:ascii="Arial" w:cs="Arial" w:eastAsia="Arial" w:hAnsi="Arial"/>
          <w:b/>
          <w:bCs/>
          <w:color w:val="2E75B6"/>
          <w:sz w:val="26"/>
          <w:szCs w:val="26"/>
        </w:rPr>
        <w:t xml:space="preserve">3.2  One New Input Required — Store Capacity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0" w:sz="8"/>
              <w:left w:val="single" w:color="00B0A0" w:sz="20"/>
              <w:bottom w:val="single" w:color="00B0A0" w:sz="2"/>
              <w:right w:val="single" w:color="00B0A0" w:sz="2"/>
            </w:tcBorders>
            <w:shd w:fill="E8F8F4" w:val="clear"/>
            <w:tcMar>
              <w:top w:type="dxa" w:w="110"/>
              <w:left w:type="dxa" w:w="180"/>
              <w:bottom w:type="dxa" w:w="110"/>
              <w:right w:type="dxa" w:w="110"/>
            </w:tcMar>
          </w:tcPr>
          <w:p>
            <w:pPr>
              <w:spacing w:after="50" w:before="0"/>
            </w:pPr>
            <w:r>
              <w:rPr>
                <w:rFonts w:ascii="Arial" w:cs="Arial" w:eastAsia="Arial" w:hAnsi="Arial"/>
                <w:b/>
                <w:bCs/>
                <w:color w:val="00B0A0"/>
                <w:sz w:val="20"/>
                <w:szCs w:val="20"/>
              </w:rPr>
              <w:t xml:space="preserve">Store capacity Excel — now available</w:t>
            </w:r>
          </w:p>
          <w:p>
            <w:pPr>
              <w:spacing w:after="0" w:before="0"/>
            </w:pPr>
            <w:r>
              <w:rPr>
                <w:rFonts w:ascii="Arial" w:cs="Arial" w:eastAsia="Arial" w:hAnsi="Arial"/>
                <w:color w:val="1A1A1A"/>
                <w:sz w:val="20"/>
                <w:szCs w:val="20"/>
              </w:rPr>
              <w:t xml:space="preserve">The store capacity Excel has been received. It contains one row per store with columns: STORE CODE, REGION, STORE NAME, SALES AREA, Min Option, Max Option. The model uses Min Option Count only — this is the Monday display arrangement target representing approximately 65% of total available styles as per VM guidelines. Max Option Count (full inventory out scenario) is not used in the optimiser.</w:t>
            </w:r>
          </w:p>
        </w:tc>
      </w:tr>
    </w:tbl>
    <w:p>
      <w:pPr>
        <w:spacing w:after="80" w:before="0"/>
      </w:pPr>
      <w:r>
        <w:t xml:space="preserve"/>
      </w:r>
    </w:p>
    <w:p>
      <w:pPr>
        <w:spacing w:after="70" w:before="70"/>
      </w:pPr>
      <w:r>
        <w:rPr>
          <w:rFonts w:ascii="Arial" w:cs="Arial" w:eastAsia="Arial" w:hAnsi="Arial"/>
          <w:color w:val="1A1A1A"/>
          <w:sz w:val="22"/>
          <w:szCs w:val="22"/>
        </w:rPr>
        <w:t xml:space="preserve">Sample data: Brigade Rd. Bengaluru = 470 min options, 590 max. Brookfield Coimbatore = 370 min, 448 max. Phoenix Lucknow = 421 min, 481 max. STORE CODE maps to SAP_STORECODE in FACT_FNO_SALES_TC_ONLINE_BASE for the join.</w:t>
      </w:r>
    </w:p>
    <w:p>
      <w:pPr>
        <w:spacing w:after="140" w:before="0"/>
      </w:pPr>
      <w:r>
        <w:t xml:space="preserve"/>
      </w:r>
    </w:p>
    <w:p>
      <w:pPr>
        <w:pStyle w:val="Heading2"/>
        <w:spacing w:after="100" w:before="240"/>
      </w:pPr>
      <w:r>
        <w:rPr>
          <w:rFonts w:ascii="Arial" w:cs="Arial" w:eastAsia="Arial" w:hAnsi="Arial"/>
          <w:b/>
          <w:bCs/>
          <w:color w:val="2E75B6"/>
          <w:sz w:val="26"/>
          <w:szCs w:val="26"/>
        </w:rPr>
        <w:t xml:space="preserve">3.3  Revenue Rate Derivation</w:t>
      </w:r>
    </w:p>
    <w:p>
      <w:pPr>
        <w:spacing w:after="70" w:before="70"/>
      </w:pPr>
      <w:r>
        <w:rPr>
          <w:rFonts w:ascii="Arial" w:cs="Arial" w:eastAsia="Arial" w:hAnsi="Arial"/>
          <w:color w:val="1A1A1A"/>
          <w:sz w:val="22"/>
          <w:szCs w:val="22"/>
        </w:rPr>
        <w:t xml:space="preserve">Understanding revenue_rate[store, bucket] correctly requires two things: understanding how stock flows to customers across a week, and understanding what time window should be used to calculate the rate.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0" w:sz="8"/>
              <w:left w:val="single" w:color="00B0A0" w:sz="20"/>
              <w:bottom w:val="single" w:color="00B0A0" w:sz="2"/>
              <w:right w:val="single" w:color="00B0A0" w:sz="2"/>
            </w:tcBorders>
            <w:shd w:fill="E8F8F4" w:val="clear"/>
            <w:tcMar>
              <w:top w:type="dxa" w:w="110"/>
              <w:left w:type="dxa" w:w="180"/>
              <w:bottom w:type="dxa" w:w="110"/>
              <w:right w:type="dxa" w:w="110"/>
            </w:tcMar>
          </w:tcPr>
          <w:p>
            <w:pPr>
              <w:spacing w:after="50" w:before="0"/>
            </w:pPr>
            <w:r>
              <w:rPr>
                <w:rFonts w:ascii="Arial" w:cs="Arial" w:eastAsia="Arial" w:hAnsi="Arial"/>
                <w:b/>
                <w:bCs/>
                <w:color w:val="00B0A0"/>
                <w:sz w:val="20"/>
                <w:szCs w:val="20"/>
              </w:rPr>
              <w:t xml:space="preserve">The three-layer stock flow</w:t>
            </w:r>
          </w:p>
          <w:p>
            <w:pPr>
              <w:spacing w:after="0" w:before="0"/>
            </w:pPr>
            <w:r>
              <w:rPr>
                <w:rFonts w:ascii="Arial" w:cs="Arial" w:eastAsia="Arial" w:hAnsi="Arial"/>
                <w:color w:val="1A1A1A"/>
                <w:sz w:val="20"/>
                <w:szCs w:val="20"/>
              </w:rPr>
              <w:t xml:space="preserve">Layer 1 — Display stock: Placed on the floor Monday morning. Immediately customer-facing.
Layer 2 — Backroom buffer: As display items sell during the week, store staff pull matching sizes from the backroom and refill the display. Backroom is not passive dead stock — it actively flows to customers via this daily refill process.
Layer 3 — Warehouse replenishment: If a specific size sells out on display AND has zero backroom stock, the warehouse ships that size to the store the next day. Those units arrive and immediately go to display or backroom, continuing to sell.
Over a full week, every unit committed to a bucket has a realistic path to customers through one of these three channels. The only stock that never reached a customer is what remains unsold at end of week — the closing SOH.</w:t>
            </w:r>
          </w:p>
        </w:tc>
      </w:tr>
    </w:tbl>
    <w:p>
      <w:pPr>
        <w:spacing w:after="100" w:before="0"/>
      </w:pPr>
      <w:r>
        <w:t xml:space="preserve"/>
      </w:r>
    </w:p>
    <w:p>
      <w:pPr>
        <w:spacing w:after="70" w:before="70"/>
      </w:pPr>
      <w:r>
        <w:rPr>
          <w:rFonts w:ascii="Arial" w:cs="Arial" w:eastAsia="Arial" w:hAnsi="Arial"/>
          <w:color w:val="1A1A1A"/>
          <w:sz w:val="22"/>
          <w:szCs w:val="22"/>
        </w:rPr>
        <w:t xml:space="preserve">Because all three layers contribute to revenue, the correct denominator is the full inventory committed to that specific bucket in that store — not just the display portion: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B0A0" w:sz="18"/>
              <w:bottom w:val="single" w:color="CCCCCC" w:sz="1"/>
              <w:right w:val="single" w:color="CCCCCC" w:sz="1"/>
            </w:tcBorders>
            <w:shd w:fill="F0FBF9" w:val="clear"/>
            <w:tcMar>
              <w:top w:type="dxa" w:w="100"/>
              <w:left w:type="dxa" w:w="180"/>
              <w:bottom w:type="dxa" w:w="100"/>
              <w:right w:type="dxa" w:w="100"/>
            </w:tcMar>
          </w:tcPr>
          <w:p>
            <w:r>
              <w:rPr>
                <w:rFonts w:ascii="Courier New" w:cs="Courier New" w:eastAsia="Courier New" w:hAnsi="Courier New"/>
                <w:b/>
                <w:bCs/>
                <w:color w:val="1F3864"/>
                <w:sz w:val="20"/>
                <w:szCs w:val="20"/>
              </w:rPr>
              <w:t xml:space="preserve">revenue_rate[store, bucket]  =  bucket_revenue[store, bucket, last 4 weeks]  /  bucket_inventory[store, bucket, last 4 weeks]</w:t>
            </w:r>
          </w:p>
        </w:tc>
      </w:tr>
    </w:tbl>
    <w:p>
      <w:pPr>
        <w:spacing w:after="60" w:before="0"/>
      </w:pPr>
      <w:r>
        <w:t xml:space="preserve"/>
      </w:r>
    </w:p>
    <w:p>
      <w:pPr>
        <w:spacing w:after="70" w:before="70"/>
      </w:pPr>
      <w:r>
        <w:rPr>
          <w:rFonts w:ascii="Arial" w:cs="Arial" w:eastAsia="Arial" w:hAnsi="Arial"/>
          <w:color w:val="1A1A1A"/>
          <w:sz w:val="22"/>
          <w:szCs w:val="22"/>
        </w:rPr>
        <w:t xml:space="preserve">Where bucket_inventory[store, bucket] is the average weekly SOH for that bucket in that store over the last 4 weeks, from FACT_FNO_SOH_DAILY. Both inputs are available today from existing Fabric tables. No display data is required for this calculation in Phase 1.</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8"/>
              <w:left w:val="single" w:color="E6A817" w:sz="20"/>
              <w:bottom w:val="single" w:color="E6A817" w:sz="2"/>
              <w:right w:val="single" w:color="E6A817" w:sz="2"/>
            </w:tcBorders>
            <w:shd w:fill="FFF8E1" w:val="clear"/>
            <w:tcMar>
              <w:top w:type="dxa" w:w="110"/>
              <w:left w:type="dxa" w:w="180"/>
              <w:bottom w:type="dxa" w:w="110"/>
              <w:right w:type="dxa" w:w="110"/>
            </w:tcMar>
          </w:tcPr>
          <w:p>
            <w:pPr>
              <w:spacing w:after="50" w:before="0"/>
            </w:pPr>
            <w:r>
              <w:rPr>
                <w:rFonts w:ascii="Arial" w:cs="Arial" w:eastAsia="Arial" w:hAnsi="Arial"/>
                <w:b/>
                <w:bCs/>
                <w:color w:val="E6A817"/>
                <w:sz w:val="20"/>
                <w:szCs w:val="20"/>
              </w:rPr>
              <w:t xml:space="preserve">Why a rolling 4-week window — not last quarter?</w:t>
            </w:r>
          </w:p>
          <w:p>
            <w:pPr>
              <w:spacing w:after="0" w:before="0"/>
            </w:pPr>
            <w:r>
              <w:rPr>
                <w:rFonts w:ascii="Arial" w:cs="Arial" w:eastAsia="Arial" w:hAnsi="Arial"/>
                <w:color w:val="1A1A1A"/>
                <w:sz w:val="20"/>
                <w:szCs w:val="20"/>
              </w:rPr>
              <w:t xml:space="preserve">The model runs every Monday, but a quarterly revenue rate is 13 weeks old by the time it is used. Conditions change rapidly: a bucket that performed well last quarter may be mid-season clearance this week; a new season drop may have just arrived; discounts may have deepened. Using a rolling 4-week window ensures revenue_rate reflects what is actually selling right now — current season, current pricing, current customer response. 4 weeks is long enough to smooth out single-week noise but short enough to stay relevant.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BC0" w:sz="8"/>
              <w:left w:val="single" w:color="5C6BC0" w:sz="20"/>
              <w:bottom w:val="single" w:color="5C6BC0" w:sz="2"/>
              <w:right w:val="single" w:color="5C6BC0" w:sz="2"/>
            </w:tcBorders>
            <w:shd w:fill="EEF2FF" w:val="clear"/>
            <w:tcMar>
              <w:top w:type="dxa" w:w="110"/>
              <w:left w:type="dxa" w:w="180"/>
              <w:bottom w:type="dxa" w:w="110"/>
              <w:right w:type="dxa" w:w="110"/>
            </w:tcMar>
          </w:tcPr>
          <w:p>
            <w:pPr>
              <w:spacing w:after="50" w:before="0"/>
            </w:pPr>
            <w:r>
              <w:rPr>
                <w:rFonts w:ascii="Arial" w:cs="Arial" w:eastAsia="Arial" w:hAnsi="Arial"/>
                <w:b/>
                <w:bCs/>
                <w:color w:val="5C6BC0"/>
                <w:sz w:val="20"/>
                <w:szCs w:val="20"/>
              </w:rPr>
              <w:t xml:space="preserve">Why use total bucket inventory and not just the display portion?</w:t>
            </w:r>
          </w:p>
          <w:p>
            <w:pPr>
              <w:spacing w:after="0" w:before="0"/>
            </w:pPr>
            <w:r>
              <w:rPr>
                <w:rFonts w:ascii="Arial" w:cs="Arial" w:eastAsia="Arial" w:hAnsi="Arial"/>
                <w:color w:val="1A1A1A"/>
                <w:sz w:val="20"/>
                <w:szCs w:val="20"/>
              </w:rPr>
              <w:t xml:space="preserve">Dividing by only the display portion would assume backroom stock never reached customers. But it does — staff refill display from backroom daily, and the warehouse ships next day if backroom is empty. Total bucket_inventory is the right denominator because it measures how hard every committed unit worked, regardless of which layer it came from.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BC0" w:sz="8"/>
              <w:left w:val="single" w:color="5C6BC0" w:sz="20"/>
              <w:bottom w:val="single" w:color="5C6BC0" w:sz="2"/>
              <w:right w:val="single" w:color="5C6BC0" w:sz="2"/>
            </w:tcBorders>
            <w:shd w:fill="EEF2FF" w:val="clear"/>
            <w:tcMar>
              <w:top w:type="dxa" w:w="110"/>
              <w:left w:type="dxa" w:w="180"/>
              <w:bottom w:type="dxa" w:w="110"/>
              <w:right w:type="dxa" w:w="110"/>
            </w:tcMar>
          </w:tcPr>
          <w:p>
            <w:pPr>
              <w:spacing w:after="50" w:before="0"/>
            </w:pPr>
            <w:r>
              <w:rPr>
                <w:rFonts w:ascii="Arial" w:cs="Arial" w:eastAsia="Arial" w:hAnsi="Arial"/>
                <w:b/>
                <w:bCs/>
                <w:color w:val="5C6BC0"/>
                <w:sz w:val="20"/>
                <w:szCs w:val="20"/>
              </w:rPr>
              <w:t xml:space="preserve">What revenue_rate answers in plain English</w:t>
            </w:r>
          </w:p>
          <w:p>
            <w:pPr>
              <w:spacing w:after="0" w:before="0"/>
            </w:pPr>
            <w:r>
              <w:rPr>
                <w:rFonts w:ascii="Arial" w:cs="Arial" w:eastAsia="Arial" w:hAnsi="Arial"/>
                <w:color w:val="1A1A1A"/>
                <w:sz w:val="20"/>
                <w:szCs w:val="20"/>
              </w:rPr>
              <w:t xml:space="preserve">For every unit of inventory we committed to this bucket over the last 4 weeks — whether it started on display, was pulled from backroom mid-week, or arrived from the warehouse next day — how much rupee revenue did we recover? The solver gives more display share to buckets that recover more revenue per committed unit.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BC0" w:sz="8"/>
              <w:left w:val="single" w:color="5C6BC0" w:sz="20"/>
              <w:bottom w:val="single" w:color="5C6BC0" w:sz="2"/>
              <w:right w:val="single" w:color="5C6BC0" w:sz="2"/>
            </w:tcBorders>
            <w:shd w:fill="EEF2FF" w:val="clear"/>
            <w:tcMar>
              <w:top w:type="dxa" w:w="110"/>
              <w:left w:type="dxa" w:w="180"/>
              <w:bottom w:type="dxa" w:w="110"/>
              <w:right w:type="dxa" w:w="110"/>
            </w:tcMar>
          </w:tcPr>
          <w:p>
            <w:pPr>
              <w:spacing w:after="50" w:before="0"/>
            </w:pPr>
            <w:r>
              <w:rPr>
                <w:rFonts w:ascii="Arial" w:cs="Arial" w:eastAsia="Arial" w:hAnsi="Arial"/>
                <w:b/>
                <w:bCs/>
                <w:color w:val="5C6BC0"/>
                <w:sz w:val="20"/>
                <w:szCs w:val="20"/>
              </w:rPr>
              <w:t xml:space="preserve">Fallback for new or thin buckets</w:t>
            </w:r>
          </w:p>
          <w:p>
            <w:pPr>
              <w:spacing w:after="0" w:before="0"/>
            </w:pPr>
            <w:r>
              <w:rPr>
                <w:rFonts w:ascii="Arial" w:cs="Arial" w:eastAsia="Arial" w:hAnsi="Arial"/>
                <w:color w:val="1A1A1A"/>
                <w:sz w:val="20"/>
                <w:szCs w:val="20"/>
              </w:rPr>
              <w:t xml:space="preserve">If a bucket has fewer than 2 weeks of sales data in the rolling window (new assortment arrival or very low volume), revenue_rate is seeded from the 4-week category average across comparable stores in the same region. This prevents new buckets from being starved of allocation purely because they have a short history.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8"/>
              <w:left w:val="single" w:color="E6A817" w:sz="20"/>
              <w:bottom w:val="single" w:color="E6A817" w:sz="2"/>
              <w:right w:val="single" w:color="E6A817" w:sz="2"/>
            </w:tcBorders>
            <w:shd w:fill="FFF8E1" w:val="clear"/>
            <w:tcMar>
              <w:top w:type="dxa" w:w="110"/>
              <w:left w:type="dxa" w:w="180"/>
              <w:bottom w:type="dxa" w:w="110"/>
              <w:right w:type="dxa" w:w="110"/>
            </w:tcMar>
          </w:tcPr>
          <w:p>
            <w:pPr>
              <w:spacing w:after="50" w:before="0"/>
            </w:pPr>
            <w:r>
              <w:rPr>
                <w:rFonts w:ascii="Arial" w:cs="Arial" w:eastAsia="Arial" w:hAnsi="Arial"/>
                <w:b/>
                <w:bCs/>
                <w:color w:val="E6A817"/>
                <w:sz w:val="20"/>
                <w:szCs w:val="20"/>
              </w:rPr>
              <w:t xml:space="preserve">Phase 1.5 upgrade — actual display share as denominator</w:t>
            </w:r>
          </w:p>
          <w:p>
            <w:pPr>
              <w:spacing w:after="0" w:before="0"/>
            </w:pPr>
            <w:r>
              <w:rPr>
                <w:rFonts w:ascii="Arial" w:cs="Arial" w:eastAsia="Arial" w:hAnsi="Arial"/>
                <w:color w:val="1A1A1A"/>
                <w:sz w:val="20"/>
                <w:szCs w:val="20"/>
              </w:rPr>
              <w:t xml:space="preserve">In Phase 1, the denominator is total bucket inventory — the best available proxy since actual display share data does not exist yet. Once weekly display Excel data is collected and flowing (Phase 1.5), the denominator upgrades to actual_display_share[store, bucket] — the observed percentage of the display floor that bucket actually occupied. This makes revenue_rate a true measure of revenue per display share point, which is a more direct signal for the optimiser.</w:t>
            </w:r>
          </w:p>
        </w:tc>
      </w:tr>
    </w:tbl>
    <w:p>
      <w:pPr>
        <w:spacing w:after="140" w:before="0"/>
      </w:pPr>
      <w:r>
        <w:t xml:space="preserve"/>
      </w:r>
    </w:p>
    <w:p>
      <w:pPr>
        <w:pStyle w:val="Heading2"/>
        <w:spacing w:after="100" w:before="240"/>
      </w:pPr>
      <w:r>
        <w:rPr>
          <w:rFonts w:ascii="Arial" w:cs="Arial" w:eastAsia="Arial" w:hAnsi="Arial"/>
          <w:b/>
          <w:bCs/>
          <w:color w:val="2E75B6"/>
          <w:sz w:val="26"/>
          <w:szCs w:val="26"/>
        </w:rPr>
        <w:t xml:space="preserve">3.4  Size Replenishment — Independent of Monday Rearrangement</w:t>
      </w:r>
    </w:p>
    <w:p>
      <w:pPr>
        <w:spacing w:after="70" w:before="70"/>
      </w:pPr>
      <w:r>
        <w:rPr>
          <w:rFonts w:ascii="Arial" w:cs="Arial" w:eastAsia="Arial" w:hAnsi="Arial"/>
          <w:color w:val="1A1A1A"/>
          <w:sz w:val="22"/>
          <w:szCs w:val="22"/>
        </w:rPr>
        <w:t xml:space="preserve">The Monday rearrangement and size replenishment are two separate processes and must not be confused: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0" w:sz="8"/>
              <w:left w:val="single" w:color="00B0A0" w:sz="20"/>
              <w:bottom w:val="single" w:color="00B0A0" w:sz="2"/>
              <w:right w:val="single" w:color="00B0A0" w:sz="2"/>
            </w:tcBorders>
            <w:shd w:fill="E8F8F4" w:val="clear"/>
            <w:tcMar>
              <w:top w:type="dxa" w:w="110"/>
              <w:left w:type="dxa" w:w="180"/>
              <w:bottom w:type="dxa" w:w="110"/>
              <w:right w:type="dxa" w:w="110"/>
            </w:tcMar>
          </w:tcPr>
          <w:p>
            <w:pPr>
              <w:spacing w:after="50" w:before="0"/>
            </w:pPr>
            <w:r>
              <w:rPr>
                <w:rFonts w:ascii="Arial" w:cs="Arial" w:eastAsia="Arial" w:hAnsi="Arial"/>
                <w:b/>
                <w:bCs/>
                <w:color w:val="00B0A0"/>
                <w:sz w:val="20"/>
                <w:szCs w:val="20"/>
              </w:rPr>
              <w:t xml:space="preserve">Monday rearrangement — what the IP model controls</w:t>
            </w:r>
          </w:p>
          <w:p>
            <w:pPr>
              <w:spacing w:after="0" w:before="0"/>
            </w:pPr>
            <w:r>
              <w:rPr>
                <w:rFonts w:ascii="Arial" w:cs="Arial" w:eastAsia="Arial" w:hAnsi="Arial"/>
                <w:color w:val="1A1A1A"/>
                <w:sz w:val="20"/>
                <w:szCs w:val="20"/>
              </w:rPr>
              <w:t xml:space="preserve">Every Monday, the store team physically rearranges the display floor based on the optimiser's recommended bucket allocation. Each bucket receives display_share[store, bucket]% of the display floor. Approximately 65% of total_inventory[store] goes to display and 35% to the backroom. During the week, staff continuously pull from backroom to refill display as items sell. The optimiser sets the Monday starting allocation; the three-layer stock flow (display → backroom → warehouse) takes care of the rest.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8"/>
              <w:left w:val="single" w:color="E6A817" w:sz="20"/>
              <w:bottom w:val="single" w:color="E6A817" w:sz="2"/>
              <w:right w:val="single" w:color="E6A817" w:sz="2"/>
            </w:tcBorders>
            <w:shd w:fill="FFF8E1" w:val="clear"/>
            <w:tcMar>
              <w:top w:type="dxa" w:w="110"/>
              <w:left w:type="dxa" w:w="180"/>
              <w:bottom w:type="dxa" w:w="110"/>
              <w:right w:type="dxa" w:w="110"/>
            </w:tcMar>
          </w:tcPr>
          <w:p>
            <w:pPr>
              <w:spacing w:after="50" w:before="0"/>
            </w:pPr>
            <w:r>
              <w:rPr>
                <w:rFonts w:ascii="Arial" w:cs="Arial" w:eastAsia="Arial" w:hAnsi="Arial"/>
                <w:b/>
                <w:bCs/>
                <w:color w:val="E6A817"/>
                <w:sz w:val="20"/>
                <w:szCs w:val="20"/>
              </w:rPr>
              <w:t xml:space="preserve">Next-day size replenishment (mid-week)</w:t>
            </w:r>
          </w:p>
          <w:p>
            <w:pPr>
              <w:spacing w:after="0" w:before="0"/>
            </w:pPr>
            <w:r>
              <w:rPr>
                <w:rFonts w:ascii="Arial" w:cs="Arial" w:eastAsia="Arial" w:hAnsi="Arial"/>
                <w:color w:val="1A1A1A"/>
                <w:sz w:val="20"/>
                <w:szCs w:val="20"/>
              </w:rPr>
              <w:t xml:space="preserve">Whenever a specific size of a style sells out completely during the week — for example, Arrow Formal Shirt size L goes to zero units — the warehouse replenishes that size to the store the following day. This is a reactive, SKU-level process that happens any day of the week and is not controlled by the optimiser. The replenished units are included in total_inventory[store] at the following Monday's SOH snapshot.</w:t>
            </w:r>
          </w:p>
        </w:tc>
      </w:tr>
    </w:tbl>
    <w:p>
      <w:pPr>
        <w:spacing w:after="80" w:before="0"/>
      </w:pPr>
      <w:r>
        <w:t xml:space="preserve"/>
      </w:r>
    </w:p>
    <w:p>
      <w:pPr>
        <w:spacing w:after="70" w:before="70"/>
      </w:pPr>
      <w:r>
        <w:rPr>
          <w:rFonts w:ascii="Arial" w:cs="Arial" w:eastAsia="Arial" w:hAnsi="Arial"/>
          <w:color w:val="1A1A1A"/>
          <w:sz w:val="22"/>
          <w:szCs w:val="22"/>
        </w:rPr>
        <w:t xml:space="preserve">The system monitors size-break risk daily using the SOH table (FASHION = CORE styles with SOH &lt;= 2 units) and automatically raises a next-day replenishment request to the warehouse. This runs as a separate daily job — not part of the weekly IP solve.</w:t>
      </w:r>
    </w:p>
    <w:p>
      <w:r>
        <w:br w:type="page"/>
      </w:r>
    </w:p>
    <w:p>
      <w:pPr>
        <w:pStyle w:val="Heading1"/>
        <w:pBdr>
          <w:bottom w:val="single" w:color="2E75B6" w:sz="8" w:space="4"/>
        </w:pBdr>
        <w:spacing w:after="140" w:before="320"/>
      </w:pPr>
      <w:r>
        <w:rPr>
          <w:rFonts w:ascii="Arial" w:cs="Arial" w:eastAsia="Arial" w:hAnsi="Arial"/>
          <w:b/>
          <w:bCs/>
          <w:color w:val="1F3864"/>
          <w:sz w:val="32"/>
          <w:szCs w:val="32"/>
        </w:rPr>
        <w:t xml:space="preserve">4. Fast-Track ML Path and Phase 2</w:t>
      </w:r>
    </w:p>
    <w:p>
      <w:pPr>
        <w:pStyle w:val="Heading2"/>
        <w:spacing w:after="100" w:before="240"/>
      </w:pPr>
      <w:r>
        <w:rPr>
          <w:rFonts w:ascii="Arial" w:cs="Arial" w:eastAsia="Arial" w:hAnsi="Arial"/>
          <w:b/>
          <w:bCs/>
          <w:color w:val="2E75B6"/>
          <w:sz w:val="26"/>
          <w:szCs w:val="26"/>
        </w:rPr>
        <w:t xml:space="preserve">4.1  Fast-Track: ML Within Phase 1</w:t>
      </w:r>
    </w:p>
    <w:p>
      <w:pPr>
        <w:spacing w:after="70" w:before="70"/>
      </w:pPr>
      <w:r>
        <w:rPr>
          <w:rFonts w:ascii="Arial" w:cs="Arial" w:eastAsia="Arial" w:hAnsi="Arial"/>
          <w:color w:val="1A1A1A"/>
          <w:sz w:val="22"/>
          <w:szCs w:val="22"/>
        </w:rPr>
        <w:t xml:space="preserve">Once stores begin uploading display Excel sheets via Power App, even 4–6 months of data can be used to improve the revenue rate estimates that feed the optimiser. Instead of deriving r[s,b] purely from historical sell-through, a lightweight model learns how display share, style count on display, and store characteristics together predict revenue rate — giving the IP model better inputs without changing its structure.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8"/>
              <w:left w:val="single" w:color="E6A817" w:sz="20"/>
              <w:bottom w:val="single" w:color="E6A817" w:sz="2"/>
              <w:right w:val="single" w:color="E6A817" w:sz="2"/>
            </w:tcBorders>
            <w:shd w:fill="FFF8E1" w:val="clear"/>
            <w:tcMar>
              <w:top w:type="dxa" w:w="110"/>
              <w:left w:type="dxa" w:w="180"/>
              <w:bottom w:type="dxa" w:w="110"/>
              <w:right w:type="dxa" w:w="110"/>
            </w:tcMar>
          </w:tcPr>
          <w:p>
            <w:pPr>
              <w:spacing w:after="50" w:before="0"/>
            </w:pPr>
            <w:r>
              <w:rPr>
                <w:rFonts w:ascii="Arial" w:cs="Arial" w:eastAsia="Arial" w:hAnsi="Arial"/>
                <w:b/>
                <w:bCs/>
                <w:color w:val="E6A817"/>
                <w:sz w:val="20"/>
                <w:szCs w:val="20"/>
              </w:rPr>
              <w:t xml:space="preserve">Important caveat</w:t>
            </w:r>
          </w:p>
          <w:p>
            <w:pPr>
              <w:spacing w:after="0" w:before="0"/>
            </w:pPr>
            <w:r>
              <w:rPr>
                <w:rFonts w:ascii="Arial" w:cs="Arial" w:eastAsia="Arial" w:hAnsi="Arial"/>
                <w:color w:val="1A1A1A"/>
                <w:sz w:val="20"/>
                <w:szCs w:val="20"/>
              </w:rPr>
              <w:t xml:space="preserve">Retrospective imputation — using sales and inventory patterns to estimate historical display data — is feasible but risks encoding past allocation biases into the model. Use imputed data only to supplement, clearly flagged as synthetic. Validate against actuals over 2–3 quarters before relying on it fully.</w:t>
            </w:r>
          </w:p>
        </w:tc>
      </w:tr>
    </w:tbl>
    <w:p>
      <w:pPr>
        <w:spacing w:after="120" w:before="0"/>
      </w:pPr>
      <w:r>
        <w:t xml:space="preserve"/>
      </w:r>
    </w:p>
    <w:p>
      <w:pPr>
        <w:pStyle w:val="Heading2"/>
        <w:spacing w:after="100" w:before="240"/>
      </w:pPr>
      <w:r>
        <w:rPr>
          <w:rFonts w:ascii="Arial" w:cs="Arial" w:eastAsia="Arial" w:hAnsi="Arial"/>
          <w:b/>
          <w:bCs/>
          <w:color w:val="2E75B6"/>
          <w:sz w:val="26"/>
          <w:szCs w:val="26"/>
        </w:rPr>
        <w:t xml:space="preserve">4.2  Phase 2 — Full ML Integration</w:t>
      </w:r>
    </w:p>
    <w:p>
      <w:pPr>
        <w:spacing w:after="70" w:before="70"/>
      </w:pPr>
      <w:r>
        <w:rPr>
          <w:rFonts w:ascii="Arial" w:cs="Arial" w:eastAsia="Arial" w:hAnsi="Arial"/>
          <w:color w:val="1A1A1A"/>
          <w:sz w:val="22"/>
          <w:szCs w:val="22"/>
        </w:rPr>
        <w:t xml:space="preserve">When 2 years of clean weekly display Excel data are available, the ML model replaces the rolling revenue rate with predicted revenue rates that account for store-specific patterns, seasonal effects, and actual style counts on display per bucket. The IP optimiser structure — decision variables, constraints, objective function — does not change. Only the input revenue rates become more accurate.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80"/>
            </w:tcMar>
          </w:tcPr>
          <w:p>
            <w:r>
              <w:rPr>
                <w:rFonts w:ascii="Arial" w:cs="Arial" w:eastAsia="Arial" w:hAnsi="Arial"/>
                <w:b/>
                <w:bCs/>
                <w:color w:val="FFFFFF"/>
                <w:sz w:val="19"/>
                <w:szCs w:val="19"/>
              </w:rPr>
              <w:t xml:space="preserve"/>
            </w:r>
          </w:p>
        </w:tc>
        <w:tc>
          <w:tcPr>
            <w:tcW w:type="dxa" w:w="234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80"/>
            </w:tcMar>
          </w:tcPr>
          <w:p>
            <w:r>
              <w:rPr>
                <w:rFonts w:ascii="Arial" w:cs="Arial" w:eastAsia="Arial" w:hAnsi="Arial"/>
                <w:b/>
                <w:bCs/>
                <w:color w:val="FFFFFF"/>
                <w:sz w:val="19"/>
                <w:szCs w:val="19"/>
              </w:rPr>
              <w:t xml:space="preserve">Phase 1</w:t>
            </w:r>
          </w:p>
        </w:tc>
        <w:tc>
          <w:tcPr>
            <w:tcW w:type="dxa" w:w="234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80"/>
            </w:tcMar>
          </w:tcPr>
          <w:p>
            <w:r>
              <w:rPr>
                <w:rFonts w:ascii="Arial" w:cs="Arial" w:eastAsia="Arial" w:hAnsi="Arial"/>
                <w:b/>
                <w:bCs/>
                <w:color w:val="FFFFFF"/>
                <w:sz w:val="19"/>
                <w:szCs w:val="19"/>
              </w:rPr>
              <w:t xml:space="preserve">Phase 1.5 (fast-track)</w:t>
            </w:r>
          </w:p>
        </w:tc>
        <w:tc>
          <w:tcPr>
            <w:tcW w:type="dxa" w:w="234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80"/>
            </w:tcMar>
          </w:tcPr>
          <w:p>
            <w:r>
              <w:rPr>
                <w:rFonts w:ascii="Arial" w:cs="Arial" w:eastAsia="Arial" w:hAnsi="Arial"/>
                <w:b/>
                <w:bCs/>
                <w:color w:val="FFFFFF"/>
                <w:sz w:val="19"/>
                <w:szCs w:val="19"/>
              </w:rPr>
              <w:t xml:space="preserve">Phase 2</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Revenue rate source</w:t>
            </w:r>
          </w:p>
        </w:tc>
        <w:tc>
          <w:tcPr>
            <w:tcW w:type="dxa" w:w="234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Rolling 4-week sales from Fabric — refreshed every Sunday</w:t>
            </w:r>
          </w:p>
        </w:tc>
        <w:tc>
          <w:tcPr>
            <w:tcW w:type="dxa" w:w="234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ML model on 4–6 months display Excel data — still rolling window</w:t>
            </w:r>
          </w:p>
        </w:tc>
        <w:tc>
          <w:tcPr>
            <w:tcW w:type="dxa" w:w="234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Full ML on 2 years of weekly display Excel data — rolling window</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Optimiser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Integer Programming — same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Integer Programming — same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Integer Programming — same</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Display constraint</w:t>
            </w:r>
          </w:p>
        </w:tc>
        <w:tc>
          <w:tcPr>
            <w:tcW w:type="dxa" w:w="234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display_capacity[store] from store capacity Excel</w:t>
            </w:r>
          </w:p>
        </w:tc>
        <w:tc>
          <w:tcPr>
            <w:tcW w:type="dxa" w:w="234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display_capacity[store] + actual style counts per bucket</w:t>
            </w:r>
          </w:p>
        </w:tc>
        <w:tc>
          <w:tcPr>
            <w:tcW w:type="dxa" w:w="234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Per-bucket display capacity from store capacity Excel</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Accuracy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Good — current conditions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Better — display patterns inform rates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Best — full store-specific learning</w:t>
            </w:r>
          </w:p>
        </w:tc>
      </w:tr>
    </w:tbl>
    <w:p>
      <w:r>
        <w:br w:type="page"/>
      </w:r>
    </w:p>
    <w:p>
      <w:pPr>
        <w:pStyle w:val="Heading1"/>
        <w:pBdr>
          <w:bottom w:val="single" w:color="2E75B6" w:sz="8" w:space="4"/>
        </w:pBdr>
        <w:spacing w:after="140" w:before="320"/>
      </w:pPr>
      <w:r>
        <w:rPr>
          <w:rFonts w:ascii="Arial" w:cs="Arial" w:eastAsia="Arial" w:hAnsi="Arial"/>
          <w:b/>
          <w:bCs/>
          <w:color w:val="1F3864"/>
          <w:sz w:val="32"/>
          <w:szCs w:val="32"/>
        </w:rPr>
        <w:t xml:space="preserve">5. Implementation Timeline — 10 Weeks to Live</w:t>
      </w:r>
    </w:p>
    <w:p>
      <w:pPr>
        <w:spacing w:after="70" w:before="70"/>
      </w:pPr>
      <w:r>
        <w:rPr>
          <w:rFonts w:ascii="Arial" w:cs="Arial" w:eastAsia="Arial" w:hAnsi="Arial"/>
          <w:color w:val="1A1A1A"/>
          <w:sz w:val="22"/>
          <w:szCs w:val="22"/>
        </w:rPr>
        <w:t xml:space="preserve">Each store is solved as an independent optimisation problem. The timeline is constrained by development capacity, stakeholder review cycles, and UAT feedback.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0"/>
              <w:bottom w:val="single" w:color="2E75B6" w:sz="2"/>
              <w:right w:val="single" w:color="2E75B6" w:sz="2"/>
            </w:tcBorders>
            <w:shd w:fill="E8F4FD" w:val="clear"/>
            <w:tcMar>
              <w:top w:type="dxa" w:w="110"/>
              <w:left w:type="dxa" w:w="180"/>
              <w:bottom w:type="dxa" w:w="110"/>
              <w:right w:type="dxa" w:w="110"/>
            </w:tcMar>
          </w:tcPr>
          <w:p>
            <w:pPr>
              <w:spacing w:after="50" w:before="0"/>
            </w:pPr>
            <w:r>
              <w:rPr>
                <w:rFonts w:ascii="Arial" w:cs="Arial" w:eastAsia="Arial" w:hAnsi="Arial"/>
                <w:b/>
                <w:bCs/>
                <w:color w:val="2E75B6"/>
                <w:sz w:val="20"/>
                <w:szCs w:val="20"/>
              </w:rPr>
              <w:t xml:space="preserve">Resource assumption</w:t>
            </w:r>
          </w:p>
          <w:p>
            <w:pPr>
              <w:spacing w:after="0" w:before="0"/>
            </w:pPr>
            <w:r>
              <w:rPr>
                <w:rFonts w:ascii="Arial" w:cs="Arial" w:eastAsia="Arial" w:hAnsi="Arial"/>
                <w:color w:val="1A1A1A"/>
                <w:sz w:val="20"/>
                <w:szCs w:val="20"/>
              </w:rPr>
              <w:t xml:space="preserve">1 senior data scientist. Weeks involving stakeholder review or pilot validation are scheduled as lighter development weeks so the data scientist is not blocked waiting for feedback.</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80"/>
            </w:tcMar>
          </w:tcPr>
          <w:p>
            <w:r>
              <w:rPr>
                <w:rFonts w:ascii="Arial" w:cs="Arial" w:eastAsia="Arial" w:hAnsi="Arial"/>
                <w:b/>
                <w:bCs/>
                <w:color w:val="FFFFFF"/>
                <w:sz w:val="19"/>
                <w:szCs w:val="19"/>
              </w:rPr>
              <w:t xml:space="preserve">Week</w:t>
            </w:r>
          </w:p>
        </w:tc>
        <w:tc>
          <w:tcPr>
            <w:tcW w:type="dxa" w:w="816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80"/>
            </w:tcMar>
          </w:tcPr>
          <w:p>
            <w:r>
              <w:rPr>
                <w:rFonts w:ascii="Arial" w:cs="Arial" w:eastAsia="Arial" w:hAnsi="Arial"/>
                <w:b/>
                <w:bCs/>
                <w:color w:val="FFFFFF"/>
                <w:sz w:val="19"/>
                <w:szCs w:val="19"/>
              </w:rPr>
              <w:t xml:space="preserve">Deliverables</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10"/>
              <w:bottom w:type="dxa" w:w="80"/>
              <w:right w:type="dxa" w:w="80"/>
            </w:tcMar>
          </w:tcPr>
          <w:p>
            <w:r>
              <w:rPr>
                <w:rFonts w:ascii="Arial" w:cs="Arial" w:eastAsia="Arial" w:hAnsi="Arial"/>
                <w:b/>
                <w:bCs/>
                <w:color w:val="1F3864"/>
                <w:sz w:val="19"/>
                <w:szCs w:val="19"/>
              </w:rPr>
              <w:t xml:space="preserve">Week 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r>
              <w:rPr>
                <w:rFonts w:ascii="Arial" w:cs="Arial" w:eastAsia="Arial" w:hAnsi="Arial"/>
                <w:color w:val="1A1A1A"/>
                <w:sz w:val="19"/>
                <w:szCs w:val="19"/>
              </w:rPr>
              <w:t xml:space="preserve">Environment setup — Python, PuLP / OR-Tools, Fabric pyodbc connection. Receive and validate store capacity Excel — map STORE CODE to SAP_STORECODE, check all 1,000+ stores present. Confirm bucket taxonomy (Brand × Category × Priceband) with Merchandising team.</w:t>
            </w:r>
          </w:p>
        </w:tc>
      </w:tr>
      <w:tr>
        <w:tc>
          <w:tcPr>
            <w:tcW w:type="dxa" w:w="1200"/>
            <w:tcBorders>
              <w:top w:val="single" w:color="CCCCCC" w:sz="1"/>
              <w:left w:val="single" w:color="CCCCCC" w:sz="1"/>
              <w:bottom w:val="single" w:color="CCCCCC" w:sz="1"/>
              <w:right w:val="single" w:color="CCCCCC" w:sz="1"/>
            </w:tcBorders>
            <w:shd w:fill="F7FAFE" w:val="clear"/>
            <w:tcMar>
              <w:top w:type="dxa" w:w="80"/>
              <w:left w:type="dxa" w:w="110"/>
              <w:bottom w:type="dxa" w:w="80"/>
              <w:right w:type="dxa" w:w="80"/>
            </w:tcMar>
          </w:tcPr>
          <w:p>
            <w:r>
              <w:rPr>
                <w:rFonts w:ascii="Arial" w:cs="Arial" w:eastAsia="Arial" w:hAnsi="Arial"/>
                <w:b/>
                <w:bCs/>
                <w:color w:val="1F3864"/>
                <w:sz w:val="19"/>
                <w:szCs w:val="19"/>
              </w:rPr>
              <w:t xml:space="preserve">Week 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r>
              <w:rPr>
                <w:rFonts w:ascii="Arial" w:cs="Arial" w:eastAsia="Arial" w:hAnsi="Arial"/>
                <w:color w:val="1A1A1A"/>
                <w:sz w:val="19"/>
                <w:szCs w:val="19"/>
              </w:rPr>
              <w:t xml:space="preserve">Build rolling 4-week revenue rate pipeline in Fabric (SQL). Aggregate bucket_revenue and bucket_inventory per store × bucket over last 4 weeks. Schedule Sunday refresh. Sense-check rates for 10 pilot stores against known sales actuals — flag anomalies.</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10"/>
              <w:bottom w:type="dxa" w:w="80"/>
              <w:right w:type="dxa" w:w="80"/>
            </w:tcMar>
          </w:tcPr>
          <w:p>
            <w:r>
              <w:rPr>
                <w:rFonts w:ascii="Arial" w:cs="Arial" w:eastAsia="Arial" w:hAnsi="Arial"/>
                <w:b/>
                <w:bCs/>
                <w:color w:val="1F3864"/>
                <w:sz w:val="19"/>
                <w:szCs w:val="19"/>
              </w:rPr>
              <w:t xml:space="preserve">Week 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r>
              <w:rPr>
                <w:rFonts w:ascii="Arial" w:cs="Arial" w:eastAsia="Arial" w:hAnsi="Arial"/>
                <w:color w:val="1A1A1A"/>
                <w:sz w:val="19"/>
                <w:szCs w:val="19"/>
              </w:rPr>
              <w:t xml:space="preserve">Code IP model in Python using PuLP. Implement all 6 constraints (C1–C6). Run solver across all 1,000+ stores using pilot revenue rates. Output: display_share per bucket per store as a flat table. Unit-test: shares sum to 100%, no bucket &gt; 45%, no bucket &lt; 1%.</w:t>
            </w:r>
          </w:p>
        </w:tc>
      </w:tr>
      <w:tr>
        <w:tc>
          <w:tcPr>
            <w:tcW w:type="dxa" w:w="1200"/>
            <w:tcBorders>
              <w:top w:val="single" w:color="CCCCCC" w:sz="1"/>
              <w:left w:val="single" w:color="CCCCCC" w:sz="1"/>
              <w:bottom w:val="single" w:color="CCCCCC" w:sz="1"/>
              <w:right w:val="single" w:color="CCCCCC" w:sz="1"/>
            </w:tcBorders>
            <w:shd w:fill="F7FAFE" w:val="clear"/>
            <w:tcMar>
              <w:top w:type="dxa" w:w="80"/>
              <w:left w:type="dxa" w:w="110"/>
              <w:bottom w:type="dxa" w:w="80"/>
              <w:right w:type="dxa" w:w="80"/>
            </w:tcMar>
          </w:tcPr>
          <w:p>
            <w:r>
              <w:rPr>
                <w:rFonts w:ascii="Arial" w:cs="Arial" w:eastAsia="Arial" w:hAnsi="Arial"/>
                <w:b/>
                <w:bCs/>
                <w:color w:val="1F3864"/>
                <w:sz w:val="19"/>
                <w:szCs w:val="19"/>
              </w:rPr>
              <w:t xml:space="preserve">Week 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r>
              <w:rPr>
                <w:rFonts w:ascii="Arial" w:cs="Arial" w:eastAsia="Arial" w:hAnsi="Arial"/>
                <w:color w:val="1A1A1A"/>
                <w:sz w:val="19"/>
                <w:szCs w:val="19"/>
              </w:rPr>
              <w:t xml:space="preserve">Edge case handling — stores with very few active buckets, buckets with &lt; 2 weeks of data (seed from category average), infeasible solutions (relax C4 floor to 0 for tiny stores). Stress-test full 1,000+ store fleet — confirm runtime &lt; 10 minutes end to end.</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10"/>
              <w:bottom w:type="dxa" w:w="80"/>
              <w:right w:type="dxa" w:w="80"/>
            </w:tcMar>
          </w:tcPr>
          <w:p>
            <w:r>
              <w:rPr>
                <w:rFonts w:ascii="Arial" w:cs="Arial" w:eastAsia="Arial" w:hAnsi="Arial"/>
                <w:b/>
                <w:bCs/>
                <w:color w:val="1F3864"/>
                <w:sz w:val="19"/>
                <w:szCs w:val="19"/>
              </w:rPr>
              <w:t xml:space="preserve">Week 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r>
              <w:rPr>
                <w:rFonts w:ascii="Arial" w:cs="Arial" w:eastAsia="Arial" w:hAnsi="Arial"/>
                <w:color w:val="1A1A1A"/>
                <w:sz w:val="19"/>
                <w:szCs w:val="19"/>
              </w:rPr>
              <w:t xml:space="preserve">Pilot validation — share solver output with Area Managers for 50 stores across 3 regions. Collect override feedback. Calibrate priceband thresholds with Merchandising. Incorporate feedback — adjust constraint parameters if needed. Re-run solver.</w:t>
            </w:r>
          </w:p>
        </w:tc>
      </w:tr>
      <w:tr>
        <w:tc>
          <w:tcPr>
            <w:tcW w:type="dxa" w:w="1200"/>
            <w:tcBorders>
              <w:top w:val="single" w:color="CCCCCC" w:sz="1"/>
              <w:left w:val="single" w:color="CCCCCC" w:sz="1"/>
              <w:bottom w:val="single" w:color="CCCCCC" w:sz="1"/>
              <w:right w:val="single" w:color="CCCCCC" w:sz="1"/>
            </w:tcBorders>
            <w:shd w:fill="F7FAFE" w:val="clear"/>
            <w:tcMar>
              <w:top w:type="dxa" w:w="80"/>
              <w:left w:type="dxa" w:w="110"/>
              <w:bottom w:type="dxa" w:w="80"/>
              <w:right w:type="dxa" w:w="80"/>
            </w:tcMar>
          </w:tcPr>
          <w:p>
            <w:r>
              <w:rPr>
                <w:rFonts w:ascii="Arial" w:cs="Arial" w:eastAsia="Arial" w:hAnsi="Arial"/>
                <w:b/>
                <w:bCs/>
                <w:color w:val="1F3864"/>
                <w:sz w:val="19"/>
                <w:szCs w:val="19"/>
              </w:rPr>
              <w:t xml:space="preserve">Week 6</w:t>
            </w:r>
          </w:p>
        </w:tc>
        <w:tc>
          <w:tcPr>
            <w:tcW w:type="dxa" w:w="8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r>
              <w:rPr>
                <w:rFonts w:ascii="Arial" w:cs="Arial" w:eastAsia="Arial" w:hAnsi="Arial"/>
                <w:color w:val="1A1A1A"/>
                <w:sz w:val="19"/>
                <w:szCs w:val="19"/>
              </w:rPr>
              <w:t xml:space="preserve">Streamlit app — Screen 1 (store selector with region/brand filters and 4-week revenue) and Screen 2 (allocation table: current vs recommended display_share, traffic light, revenue rate). Pyodbc connection to Fabric. Basic authentication via Entra ID.</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10"/>
              <w:bottom w:type="dxa" w:w="80"/>
              <w:right w:type="dxa" w:w="80"/>
            </w:tcMar>
          </w:tcPr>
          <w:p>
            <w:r>
              <w:rPr>
                <w:rFonts w:ascii="Arial" w:cs="Arial" w:eastAsia="Arial" w:hAnsi="Arial"/>
                <w:b/>
                <w:bCs/>
                <w:color w:val="1F3864"/>
                <w:sz w:val="19"/>
                <w:szCs w:val="19"/>
              </w:rPr>
              <w:t xml:space="preserve">Week 7</w:t>
            </w:r>
          </w:p>
        </w:tc>
        <w:tc>
          <w:tcPr>
            <w:tcW w:type="dxa" w:w="8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r>
              <w:rPr>
                <w:rFonts w:ascii="Arial" w:cs="Arial" w:eastAsia="Arial" w:hAnsi="Arial"/>
                <w:color w:val="1A1A1A"/>
                <w:sz w:val="19"/>
                <w:szCs w:val="19"/>
              </w:rPr>
              <w:t xml:space="preserve">Streamlit app — Screen 3 (what-if panel: planner pins a bucket share, app re-runs IP solver live and shows revised allocation and projected revenue impact). Screen 4 (export to Excel for store team, PDF for Area Manager, size-break replenishment list).</w:t>
            </w:r>
          </w:p>
        </w:tc>
      </w:tr>
      <w:tr>
        <w:tc>
          <w:tcPr>
            <w:tcW w:type="dxa" w:w="1200"/>
            <w:tcBorders>
              <w:top w:val="single" w:color="CCCCCC" w:sz="1"/>
              <w:left w:val="single" w:color="CCCCCC" w:sz="1"/>
              <w:bottom w:val="single" w:color="CCCCCC" w:sz="1"/>
              <w:right w:val="single" w:color="CCCCCC" w:sz="1"/>
            </w:tcBorders>
            <w:shd w:fill="F7FAFE" w:val="clear"/>
            <w:tcMar>
              <w:top w:type="dxa" w:w="80"/>
              <w:left w:type="dxa" w:w="110"/>
              <w:bottom w:type="dxa" w:w="80"/>
              <w:right w:type="dxa" w:w="80"/>
            </w:tcMar>
          </w:tcPr>
          <w:p>
            <w:r>
              <w:rPr>
                <w:rFonts w:ascii="Arial" w:cs="Arial" w:eastAsia="Arial" w:hAnsi="Arial"/>
                <w:b/>
                <w:bCs/>
                <w:color w:val="1F3864"/>
                <w:sz w:val="19"/>
                <w:szCs w:val="19"/>
              </w:rPr>
              <w:t xml:space="preserve">Week 8</w:t>
            </w:r>
          </w:p>
        </w:tc>
        <w:tc>
          <w:tcPr>
            <w:tcW w:type="dxa" w:w="8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r>
              <w:rPr>
                <w:rFonts w:ascii="Arial" w:cs="Arial" w:eastAsia="Arial" w:hAnsi="Arial"/>
                <w:color w:val="1A1A1A"/>
                <w:sz w:val="19"/>
                <w:szCs w:val="19"/>
              </w:rPr>
              <w:t xml:space="preserve">Override-reason capture — mandatory text field before saving any manual change. Size-break daily monitoring job (SOH &lt;= 2 units on CORE styles — triggers next-day warehouse request). Internal testing by data scientist across 5 stores end to end.</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10"/>
              <w:bottom w:type="dxa" w:w="80"/>
              <w:right w:type="dxa" w:w="80"/>
            </w:tcMar>
          </w:tcPr>
          <w:p>
            <w:r>
              <w:rPr>
                <w:rFonts w:ascii="Arial" w:cs="Arial" w:eastAsia="Arial" w:hAnsi="Arial"/>
                <w:b/>
                <w:bCs/>
                <w:color w:val="1F3864"/>
                <w:sz w:val="19"/>
                <w:szCs w:val="19"/>
              </w:rPr>
              <w:t xml:space="preserve">Week 9</w:t>
            </w:r>
          </w:p>
        </w:tc>
        <w:tc>
          <w:tcPr>
            <w:tcW w:type="dxa" w:w="8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r>
              <w:rPr>
                <w:rFonts w:ascii="Arial" w:cs="Arial" w:eastAsia="Arial" w:hAnsi="Arial"/>
                <w:color w:val="1A1A1A"/>
                <w:sz w:val="19"/>
                <w:szCs w:val="19"/>
              </w:rPr>
              <w:t xml:space="preserve">User acceptance testing — 3–5 planners and 2 Area Managers use the app on real stores. Collect UI feedback. Fix issues. Performance test — full fleet solve + Streamlit load under concurrent users. Final stakeholder sign-off.</w:t>
            </w:r>
          </w:p>
        </w:tc>
      </w:tr>
      <w:tr>
        <w:tc>
          <w:tcPr>
            <w:tcW w:type="dxa" w:w="1200"/>
            <w:tcBorders>
              <w:top w:val="single" w:color="CCCCCC" w:sz="1"/>
              <w:left w:val="single" w:color="CCCCCC" w:sz="1"/>
              <w:bottom w:val="single" w:color="CCCCCC" w:sz="1"/>
              <w:right w:val="single" w:color="CCCCCC" w:sz="1"/>
            </w:tcBorders>
            <w:shd w:fill="F7FAFE" w:val="clear"/>
            <w:tcMar>
              <w:top w:type="dxa" w:w="80"/>
              <w:left w:type="dxa" w:w="110"/>
              <w:bottom w:type="dxa" w:w="80"/>
              <w:right w:type="dxa" w:w="80"/>
            </w:tcMar>
          </w:tcPr>
          <w:p>
            <w:r>
              <w:rPr>
                <w:rFonts w:ascii="Arial" w:cs="Arial" w:eastAsia="Arial" w:hAnsi="Arial"/>
                <w:b/>
                <w:bCs/>
                <w:color w:val="1F3864"/>
                <w:sz w:val="19"/>
                <w:szCs w:val="19"/>
              </w:rPr>
              <w:t xml:space="preserve">Week 10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r>
              <w:rPr>
                <w:rFonts w:ascii="Arial" w:cs="Arial" w:eastAsia="Arial" w:hAnsi="Arial"/>
                <w:color w:val="1A1A1A"/>
                <w:sz w:val="19"/>
                <w:szCs w:val="19"/>
              </w:rPr>
              <w:t xml:space="preserve">Deploy to Azure App Service (or Fabric Notebook runner). Final data validation on live Fabric connection. Activate Power App display sheet upload for all stores. Issue first live Monday rearrangement recommendations. Hypercare — data scientist available same-day for issues.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0" w:sz="8"/>
              <w:left w:val="single" w:color="00B0A0" w:sz="20"/>
              <w:bottom w:val="single" w:color="00B0A0" w:sz="2"/>
              <w:right w:val="single" w:color="00B0A0" w:sz="2"/>
            </w:tcBorders>
            <w:shd w:fill="E8F8F4" w:val="clear"/>
            <w:tcMar>
              <w:top w:type="dxa" w:w="110"/>
              <w:left w:type="dxa" w:w="180"/>
              <w:bottom w:type="dxa" w:w="110"/>
              <w:right w:type="dxa" w:w="110"/>
            </w:tcMar>
          </w:tcPr>
          <w:p>
            <w:pPr>
              <w:spacing w:after="50" w:before="0"/>
            </w:pPr>
            <w:r>
              <w:rPr>
                <w:rFonts w:ascii="Arial" w:cs="Arial" w:eastAsia="Arial" w:hAnsi="Arial"/>
                <w:b/>
                <w:bCs/>
                <w:color w:val="00B0A0"/>
                <w:sz w:val="20"/>
                <w:szCs w:val="20"/>
              </w:rPr>
              <w:t xml:space="preserve">Post-go-live — what refreshes weekly vs quarterly</w:t>
            </w:r>
          </w:p>
          <w:p>
            <w:pPr>
              <w:spacing w:after="0" w:before="0"/>
            </w:pPr>
            <w:r>
              <w:rPr>
                <w:rFonts w:ascii="Arial" w:cs="Arial" w:eastAsia="Arial" w:hAnsi="Arial"/>
                <w:color w:val="1A1A1A"/>
                <w:sz w:val="20"/>
                <w:szCs w:val="20"/>
              </w:rPr>
              <w:t xml:space="preserve">Every Sunday night (weekly): revenue_rate[store, bucket] is recomputed from the last 4 weeks of sales in Fabric. total_inventory[store] is pulled from the latest SOH snapshot. The IP solver runs across all 1,000+ stores. Planner reviews and approves recommendations via the Streamlit tool before the store team begins Monday rearrangement.
Every quarter: bucket taxonomy (Collection × Category × Pricepoint combinations) is reviewed and updated with Merchandising. Priceband thresholds (Economy / Mid / Premium) are recalibrated. display_capacity[store] is updated if any stores have changed layout. Override reasons logged by planners are reviewed to identify systematic patterns for model improvement.</w:t>
            </w:r>
          </w:p>
        </w:tc>
      </w:tr>
    </w:tbl>
    <w:p>
      <w:r>
        <w:br w:type="page"/>
      </w:r>
    </w:p>
    <w:p>
      <w:pPr>
        <w:pStyle w:val="Heading1"/>
        <w:pBdr>
          <w:bottom w:val="single" w:color="2E75B6" w:sz="8" w:space="4"/>
        </w:pBdr>
        <w:spacing w:after="140" w:before="320"/>
      </w:pPr>
      <w:r>
        <w:rPr>
          <w:rFonts w:ascii="Arial" w:cs="Arial" w:eastAsia="Arial" w:hAnsi="Arial"/>
          <w:b/>
          <w:bCs/>
          <w:color w:val="1F3864"/>
          <w:sz w:val="32"/>
          <w:szCs w:val="32"/>
        </w:rPr>
        <w:t xml:space="preserve">6. Streamlit Application — What Planners See</w:t>
      </w:r>
    </w:p>
    <w:p>
      <w:pPr>
        <w:spacing w:after="70" w:before="70"/>
      </w:pPr>
      <w:r>
        <w:rPr>
          <w:rFonts w:ascii="Arial" w:cs="Arial" w:eastAsia="Arial" w:hAnsi="Arial"/>
          <w:color w:val="1A1A1A"/>
          <w:sz w:val="22"/>
          <w:szCs w:val="22"/>
        </w:rPr>
        <w:t xml:space="preserve">The optimisation model runs in the background. Planners interact exclusively through a Streamlit app — no Python, no SQL. The app has four screens.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80"/>
            </w:tcMar>
          </w:tcPr>
          <w:p>
            <w:r>
              <w:rPr>
                <w:rFonts w:ascii="Arial" w:cs="Arial" w:eastAsia="Arial" w:hAnsi="Arial"/>
                <w:b/>
                <w:bCs/>
                <w:color w:val="FFFFFF"/>
                <w:sz w:val="19"/>
                <w:szCs w:val="19"/>
              </w:rPr>
              <w:t xml:space="preserve">Screen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80"/>
            </w:tcMar>
          </w:tcPr>
          <w:p>
            <w:r>
              <w:rPr>
                <w:rFonts w:ascii="Arial" w:cs="Arial" w:eastAsia="Arial" w:hAnsi="Arial"/>
                <w:b/>
                <w:bCs/>
                <w:color w:val="FFFFFF"/>
                <w:sz w:val="19"/>
                <w:szCs w:val="19"/>
              </w:rPr>
              <w:t xml:space="preserve">What it does</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1 — Store selector</w:t>
            </w:r>
          </w:p>
        </w:tc>
        <w:tc>
          <w:tcPr>
            <w:tcW w:type="dxa" w:w="468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Filter by region, city, brand. See all matching stores with sell-through status and last 4-week revenue. Click any store to open its allocation.</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2 — Allocation table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Current display share vs IP-recommended display share per bucket. Traffic light (Green / Amber / Red). Revenue rate per display unit. Display units allocated vs fixture capacity. Monday rearrangement date auto-set.</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3 — What-if panel</w:t>
            </w:r>
          </w:p>
        </w:tc>
        <w:tc>
          <w:tcPr>
            <w:tcW w:type="dxa" w:w="468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Planner pins any bucket to a fixed share. App re-runs IP solver with that constraint added and shows the revised allocation and projected revenue impact. Override reason required before saving.</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4 — Export and activate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Download allocation as Excel for store team. PDF summary for Area Manager. Size-break replenishment list for warehouse. WhatsApp push to store manager with Monday rearrangement plan (via Fabric webhook).</w:t>
            </w:r>
          </w:p>
        </w:tc>
      </w:tr>
    </w:tbl>
    <w:p>
      <w:pPr>
        <w:spacing w:after="120" w:before="0"/>
      </w:pPr>
      <w:r>
        <w:t xml:space="preserve"/>
      </w:r>
    </w:p>
    <w:p>
      <w:pPr>
        <w:pStyle w:val="Heading2"/>
        <w:spacing w:after="100" w:before="240"/>
      </w:pPr>
      <w:r>
        <w:rPr>
          <w:rFonts w:ascii="Arial" w:cs="Arial" w:eastAsia="Arial" w:hAnsi="Arial"/>
          <w:b/>
          <w:bCs/>
          <w:color w:val="2E75B6"/>
          <w:sz w:val="26"/>
          <w:szCs w:val="26"/>
        </w:rP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80"/>
            </w:tcMar>
          </w:tcPr>
          <w:p>
            <w:r>
              <w:rPr>
                <w:rFonts w:ascii="Arial" w:cs="Arial" w:eastAsia="Arial" w:hAnsi="Arial"/>
                <w:b/>
                <w:bCs/>
                <w:color w:val="FFFFFF"/>
                <w:sz w:val="19"/>
                <w:szCs w:val="19"/>
              </w:rPr>
              <w:t xml:space="preserve">Component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80"/>
            </w:tcMar>
          </w:tcPr>
          <w:p>
            <w:r>
              <w:rPr>
                <w:rFonts w:ascii="Arial" w:cs="Arial" w:eastAsia="Arial" w:hAnsi="Arial"/>
                <w:b/>
                <w:bCs/>
                <w:color w:val="FFFFFF"/>
                <w:sz w:val="19"/>
                <w:szCs w:val="19"/>
              </w:rPr>
              <w:t xml:space="preserve">Technology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80"/>
            </w:tcMar>
          </w:tcPr>
          <w:p>
            <w:r>
              <w:rPr>
                <w:rFonts w:ascii="Arial" w:cs="Arial" w:eastAsia="Arial" w:hAnsi="Arial"/>
                <w:b/>
                <w:bCs/>
                <w:color w:val="FFFFFF"/>
                <w:sz w:val="19"/>
                <w:szCs w:val="19"/>
              </w:rPr>
              <w:t xml:space="preserve">Purpose</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Optimisation solver</w:t>
            </w:r>
          </w:p>
        </w:tc>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Python — PuLP or OR-Tools (open source)</w:t>
            </w:r>
          </w:p>
        </w:tc>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Solves the IP model per store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Data layer</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Microsoft Fabric Data Warehouse (T-SQL)</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Stores gold tables, revenue rates, SOH history</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App framework</w:t>
            </w:r>
          </w:p>
        </w:tc>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Streamlit (Python)</w:t>
            </w:r>
          </w:p>
        </w:tc>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Planner-facing UI — no frontend development needed</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App hosting</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Azure App Service or Fabric Notebook runner</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Internal access only, behind Entra ID authentication</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Display data upload</w:t>
            </w:r>
          </w:p>
        </w:tc>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Power App (existing URL)</w:t>
            </w:r>
          </w:p>
        </w:tc>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Store teams upload weekly Excel and Monday images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Export / activation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OpenPyXL (Excel), ReportLab (PDF)</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Monday activation artefacts for stores</w:t>
            </w:r>
          </w:p>
        </w:tc>
      </w:tr>
    </w:tbl>
    <w:p>
      <w:r>
        <w:br w:type="page"/>
      </w:r>
    </w:p>
    <w:p>
      <w:pPr>
        <w:pStyle w:val="Heading1"/>
        <w:pBdr>
          <w:bottom w:val="single" w:color="2E75B6" w:sz="8" w:space="4"/>
        </w:pBdr>
        <w:spacing w:after="140" w:before="320"/>
      </w:pPr>
      <w:r>
        <w:rPr>
          <w:rFonts w:ascii="Arial" w:cs="Arial" w:eastAsia="Arial" w:hAnsi="Arial"/>
          <w:b/>
          <w:bCs/>
          <w:color w:val="1F3864"/>
          <w:sz w:val="32"/>
          <w:szCs w:val="32"/>
        </w:rPr>
        <w:t xml:space="preserve">7. Roles and Risks</w:t>
      </w:r>
    </w:p>
    <w:p>
      <w:pPr>
        <w:pStyle w:val="Heading2"/>
        <w:spacing w:after="100" w:before="240"/>
      </w:pPr>
      <w:r>
        <w:rPr>
          <w:rFonts w:ascii="Arial" w:cs="Arial" w:eastAsia="Arial" w:hAnsi="Arial"/>
          <w:b/>
          <w:bCs/>
          <w:color w:val="2E75B6"/>
          <w:sz w:val="26"/>
          <w:szCs w:val="26"/>
        </w:rPr>
        <w:t xml:space="preserve">7.1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80"/>
            </w:tcMar>
          </w:tcPr>
          <w:p>
            <w:r>
              <w:rPr>
                <w:rFonts w:ascii="Arial" w:cs="Arial" w:eastAsia="Arial" w:hAnsi="Arial"/>
                <w:b/>
                <w:bCs/>
                <w:color w:val="FFFFFF"/>
                <w:sz w:val="19"/>
                <w:szCs w:val="19"/>
              </w:rPr>
              <w:t xml:space="preserve">Role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80"/>
            </w:tcMar>
          </w:tcPr>
          <w:p>
            <w:r>
              <w:rPr>
                <w:rFonts w:ascii="Arial" w:cs="Arial" w:eastAsia="Arial" w:hAnsi="Arial"/>
                <w:b/>
                <w:bCs/>
                <w:color w:val="FFFFFF"/>
                <w:sz w:val="19"/>
                <w:szCs w:val="19"/>
              </w:rPr>
              <w:t xml:space="preserve">Responsibility</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Analytics</w:t>
            </w:r>
          </w:p>
        </w:tc>
        <w:tc>
          <w:tcPr>
            <w:tcW w:type="dxa" w:w="468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Build gold tables in Fabric, code IP model, compute revenue rates each quarter, validate outputs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Technology</w:t>
            </w:r>
          </w:p>
        </w:tc>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Build and host Streamlit app, connect to Fabric, manage Power App upload pipeline</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Merchandising</w:t>
            </w:r>
          </w:p>
        </w:tc>
        <w:tc>
          <w:tcPr>
            <w:tcW w:type="dxa" w:w="468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Agree bucket taxonomy and priceband thresholds, provide store capacity Excel</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Area Managers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Review recommendations for their stores, submit overrides with reasons, conduct min-max audit</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Store Operations</w:t>
            </w:r>
          </w:p>
        </w:tc>
        <w:tc>
          <w:tcPr>
            <w:tcW w:type="dxa" w:w="468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Upload display Excel and Monday images weekly, activate Monday recommendations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Finance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Set revenue target uplift % per quarter, measure actuals vs model predictions</w:t>
            </w:r>
          </w:p>
        </w:tc>
      </w:tr>
    </w:tbl>
    <w:p>
      <w:pPr>
        <w:spacing w:after="120" w:before="0"/>
      </w:pPr>
      <w:r>
        <w:t xml:space="preserve"/>
      </w:r>
    </w:p>
    <w:p>
      <w:pPr>
        <w:pStyle w:val="Heading2"/>
        <w:spacing w:after="100" w:before="240"/>
      </w:pPr>
      <w:r>
        <w:rPr>
          <w:rFonts w:ascii="Arial" w:cs="Arial" w:eastAsia="Arial" w:hAnsi="Arial"/>
          <w:b/>
          <w:bCs/>
          <w:color w:val="2E75B6"/>
          <w:sz w:val="26"/>
          <w:szCs w:val="26"/>
        </w:rPr>
        <w:t xml:space="preserve">7.2  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80"/>
            </w:tcMar>
          </w:tcPr>
          <w:p>
            <w:r>
              <w:rPr>
                <w:rFonts w:ascii="Arial" w:cs="Arial" w:eastAsia="Arial" w:hAnsi="Arial"/>
                <w:b/>
                <w:bCs/>
                <w:color w:val="FFFFFF"/>
                <w:sz w:val="19"/>
                <w:szCs w:val="19"/>
              </w:rPr>
              <w:t xml:space="preserve">Risk</w:t>
            </w:r>
          </w:p>
        </w:tc>
        <w:tc>
          <w:tcPr>
            <w:tcW w:type="dxa" w:w="312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80"/>
            </w:tcMar>
          </w:tcPr>
          <w:p>
            <w:r>
              <w:rPr>
                <w:rFonts w:ascii="Arial" w:cs="Arial" w:eastAsia="Arial" w:hAnsi="Arial"/>
                <w:b/>
                <w:bCs/>
                <w:color w:val="FFFFFF"/>
                <w:sz w:val="19"/>
                <w:szCs w:val="19"/>
              </w:rPr>
              <w:t xml:space="preserve">Likelihood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80"/>
            </w:tcMar>
          </w:tcPr>
          <w:p>
            <w:r>
              <w:rPr>
                <w:rFonts w:ascii="Arial" w:cs="Arial" w:eastAsia="Arial" w:hAnsi="Arial"/>
                <w:b/>
                <w:bCs/>
                <w:color w:val="FFFFFF"/>
                <w:sz w:val="19"/>
                <w:szCs w:val="19"/>
              </w:rPr>
              <w:t xml:space="preserve">Mitigation</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Store capacity Excel is incomplete or inconsistent</w:t>
            </w:r>
          </w:p>
        </w:tc>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Medium</w:t>
            </w:r>
          </w:p>
        </w:tc>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Analytics validates store_id mapping in Week 1 before any modelling begins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Revenue rate r[s,b] is thin for low-volume buckets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High</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Seed from category average across comparable stores; flag low-confidence buckets in the UI</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IP solver returns infeasible for edge-case stores</w:t>
            </w:r>
          </w:p>
        </w:tc>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Low</w:t>
            </w:r>
          </w:p>
        </w:tc>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Add fallback: relax C4 floor to 0% for stores with very few buckets; alert in app</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Planners override heavily without logging reasons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High</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70"/>
            </w:tcMar>
          </w:tcPr>
          <w:p>
            <w:r>
              <w:rPr>
                <w:rFonts w:ascii="Arial" w:cs="Arial" w:eastAsia="Arial" w:hAnsi="Arial"/>
                <w:color w:val="1A1A1A"/>
                <w:sz w:val="19"/>
                <w:szCs w:val="19"/>
              </w:rPr>
              <w:t xml:space="preserve">Override reason is a mandatory field — app blocks saving without it. Overrides feed future model improvement</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Display capacity Excel not received before Week 1</w:t>
            </w:r>
          </w:p>
        </w:tc>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Medium</w:t>
            </w:r>
          </w:p>
        </w:tc>
        <w:tc>
          <w:tcPr>
            <w:tcW w:type="dxa" w:w="312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70"/>
            </w:tcMar>
          </w:tcPr>
          <w:p>
            <w:r>
              <w:rPr>
                <w:rFonts w:ascii="Arial" w:cs="Arial" w:eastAsia="Arial" w:hAnsi="Arial"/>
                <w:color w:val="1A1A1A"/>
                <w:sz w:val="19"/>
                <w:szCs w:val="19"/>
              </w:rPr>
              <w:t xml:space="preserve">Constraint C5 defaults to the 65% proxy until Excel is received; C5 is re-enabled once data arrives</w:t>
            </w:r>
          </w:p>
        </w:tc>
      </w:tr>
    </w:tbl>
    <w:p>
      <w:pPr>
        <w:spacing w:after="200" w:before="0"/>
      </w:pPr>
      <w:r>
        <w:t xml:space="preserve"/>
      </w:r>
    </w:p>
    <w:p>
      <w:pPr>
        <w:pBdr>
          <w:top w:val="single" w:color="D9D9D9" w:sz="4" w:space="8"/>
        </w:pBdr>
        <w:spacing w:after="0" w:before="160"/>
        <w:jc w:val="center"/>
      </w:pPr>
      <w:r>
        <w:rPr>
          <w:rFonts w:ascii="Arial" w:cs="Arial" w:eastAsia="Arial" w:hAnsi="Arial"/>
          <w:i/>
          <w:iCs/>
          <w:color w:val="AAAAAA"/>
          <w:sz w:val="18"/>
          <w:szCs w:val="18"/>
        </w:rPr>
        <w:t xml:space="preserve">Arvind Fashions Limited  |  Store Revenue Optimisation BRD v2.0  |  April 2026</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spacing w:after="0" w:before="60"/>
    </w:pPr>
    <w:r>
      <w:rPr>
        <w:rFonts w:ascii="Arial" w:cs="Arial" w:eastAsia="Arial" w:hAnsi="Arial"/>
        <w:color w:val="888888"/>
        <w:sz w:val="17"/>
        <w:szCs w:val="17"/>
      </w:rPr>
      <w:t xml:space="preserve">BRD v2.0  |  April 2026  |  Arvind Fashions Limited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0"/>
      <w:gridCol w:w="2720"/>
    </w:tblGrid>
    <w:tr>
      <w:tc>
        <w:tcPr>
          <w:tcW w:type="dxa" w:w="70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color w:val="777777"/>
              <w:sz w:val="18"/>
              <w:szCs w:val="18"/>
            </w:rPr>
            <w:t xml:space="preserve">Arvind Fashions Limited — Store Revenue Optimisation</w:t>
          </w:r>
        </w:p>
      </w:tc>
      <w:tc>
        <w:tcPr>
          <w:tcW w:type="dxa" w:w="272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b/>
              <w:bCs/>
              <w:color w:val="C00000"/>
              <w:sz w:val="18"/>
              <w:szCs w:val="18"/>
            </w:rPr>
            <w:t xml:space="preserve">CONFIDENTIAL</w:t>
          </w:r>
        </w:p>
      </w:tc>
    </w:tr>
  </w:tbl>
  <w:p>
    <w:pPr>
      <w:pBdr>
        <w:bottom w:val="single" w:color="1F3864" w:sz="6" w:space="4"/>
      </w:pBdr>
      <w:spacing w:after="0" w:before="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0B0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2026-04-14T13:40:44.954Z</dcterms:created>
  <dcterms:modified xsi:type="dcterms:W3CDTF">2026-04-14T13:40:44.955Z</dcterms:modified>
</cp:coreProperties>
</file>

<file path=docProps/custom.xml><?xml version="1.0" encoding="utf-8"?>
<Properties xmlns="http://schemas.openxmlformats.org/officeDocument/2006/custom-properties" xmlns:vt="http://schemas.openxmlformats.org/officeDocument/2006/docPropsVTypes"/>
</file>