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Pr>
        <w:jc w:val="center"/>
      </w:pPr>
    </w:p>
    <w:p>
      <w:pPr>
        <w:jc w:val="center"/>
      </w:pPr>
      <w:r>
        <w:rPr>
          <w:b/>
          <w:color w:val="2E4057"/>
          <w:sz w:val="48"/>
        </w:rPr>
        <w:t>PROPOSAL IDE BISNIS</w:t>
      </w:r>
    </w:p>
    <w:p>
      <w:pPr>
        <w:jc w:val="center"/>
      </w:pPr>
      <w:r>
        <w:rPr>
          <w:b/>
          <w:color w:val="1A73E8"/>
          <w:sz w:val="56"/>
        </w:rPr>
        <w:t>LangkahKampus</w:t>
      </w:r>
    </w:p>
    <w:p>
      <w:pPr>
        <w:jc w:val="center"/>
      </w:pPr>
      <w:r>
        <w:rPr>
          <w:i/>
          <w:sz w:val="28"/>
        </w:rPr>
        <w:t>AI-Powered SNBP University Admission Advisory Platform</w:t>
      </w:r>
    </w:p>
    <w:p/>
    <w:p>
      <w:pPr>
        <w:jc w:val="center"/>
      </w:pPr>
      <w:r>
        <w:rPr>
          <w:sz w:val="24"/>
        </w:rPr>
        <w:t>Disusun oleh:</w:t>
      </w:r>
    </w:p>
    <w:p>
      <w:pPr>
        <w:jc w:val="center"/>
      </w:pPr>
      <w:r>
        <w:rPr>
          <w:b/>
          <w:sz w:val="24"/>
        </w:rPr>
        <w:t>Tim LangkahKampus</w:t>
      </w:r>
    </w:p>
    <w:p>
      <w:pPr>
        <w:jc w:val="center"/>
      </w:pPr>
      <w:r>
        <w:rPr>
          <w:sz w:val="22"/>
        </w:rPr>
        <w:t>Program Studi Informatika</w:t>
      </w:r>
    </w:p>
    <w:p>
      <w:pPr>
        <w:jc w:val="center"/>
      </w:pPr>
      <w:r>
        <w:rPr>
          <w:sz w:val="22"/>
        </w:rPr>
        <w:t>Fakultas Informatika - Telkom University</w:t>
      </w:r>
    </w:p>
    <w:p/>
    <w:p>
      <w:pPr>
        <w:jc w:val="center"/>
      </w:pPr>
      <w:r>
        <w:drawing>
          <wp:inline xmlns:a="http://schemas.openxmlformats.org/drawingml/2006/main" xmlns:pic="http://schemas.openxmlformats.org/drawingml/2006/picture">
            <wp:extent cx="1828800" cy="997527"/>
            <wp:docPr id="1" name="Picture 1"/>
            <wp:cNvGraphicFramePr>
              <a:graphicFrameLocks noChangeAspect="1"/>
            </wp:cNvGraphicFramePr>
            <a:graphic>
              <a:graphicData uri="http://schemas.openxmlformats.org/drawingml/2006/picture">
                <pic:pic>
                  <pic:nvPicPr>
                    <pic:cNvPr id="0" name="Logo LangkahKampus.png"/>
                    <pic:cNvPicPr/>
                  </pic:nvPicPr>
                  <pic:blipFill>
                    <a:blip r:embed="rId9"/>
                    <a:stretch>
                      <a:fillRect/>
                    </a:stretch>
                  </pic:blipFill>
                  <pic:spPr>
                    <a:xfrm>
                      <a:off x="0" y="0"/>
                      <a:ext cx="1828800" cy="997527"/>
                    </a:xfrm>
                    <a:prstGeom prst="rect"/>
                  </pic:spPr>
                </pic:pic>
              </a:graphicData>
            </a:graphic>
          </wp:inline>
        </w:drawing>
      </w:r>
    </w:p>
    <w:p/>
    <w:p/>
    <w:p>
      <w:pPr>
        <w:jc w:val="center"/>
      </w:pPr>
      <w:r>
        <w:rPr>
          <w:b/>
          <w:sz w:val="28"/>
        </w:rPr>
        <w:t>BANDUNG TECHNO PARK</w:t>
      </w:r>
    </w:p>
    <w:p>
      <w:pPr>
        <w:jc w:val="center"/>
      </w:pPr>
      <w:r>
        <w:rPr>
          <w:b/>
          <w:sz w:val="28"/>
        </w:rPr>
        <w:t>TELKOM UNIVERSITY</w:t>
      </w:r>
    </w:p>
    <w:p>
      <w:pPr>
        <w:jc w:val="center"/>
      </w:pPr>
      <w:r>
        <w:rPr>
          <w:b/>
          <w:sz w:val="28"/>
        </w:rPr>
        <w:t>TAHUN 2025</w:t>
      </w:r>
    </w:p>
    <w:p>
      <w:r>
        <w:br w:type="page"/>
      </w:r>
    </w:p>
    <w:p>
      <w:pPr>
        <w:pStyle w:val="Heading1"/>
      </w:pPr>
      <w:r>
        <w:t>DAFTAR ISI</w:t>
      </w:r>
    </w:p>
    <w:p>
      <w:pPr>
        <w:spacing w:before="80" w:after="80"/>
      </w:pPr>
      <w:r>
        <w:rPr>
          <w:sz w:val="24"/>
        </w:rPr>
        <w:t>1.  Masalah yang Diangkat</w:t>
      </w:r>
    </w:p>
    <w:p>
      <w:pPr>
        <w:spacing w:before="80" w:after="80"/>
      </w:pPr>
      <w:r>
        <w:rPr>
          <w:sz w:val="24"/>
        </w:rPr>
        <w:t>2.  Solusi yang Diberikan</w:t>
      </w:r>
    </w:p>
    <w:p>
      <w:pPr>
        <w:spacing w:before="80" w:after="80"/>
      </w:pPr>
      <w:r>
        <w:rPr>
          <w:sz w:val="24"/>
        </w:rPr>
        <w:t>3.  Customer dan Market</w:t>
      </w:r>
    </w:p>
    <w:p>
      <w:pPr>
        <w:spacing w:before="80" w:after="80"/>
      </w:pPr>
      <w:r>
        <w:rPr>
          <w:sz w:val="24"/>
        </w:rPr>
        <w:t>4.  TAM, SAM, dan SOM</w:t>
      </w:r>
    </w:p>
    <w:p>
      <w:pPr>
        <w:spacing w:before="80" w:after="80"/>
      </w:pPr>
      <w:r>
        <w:rPr>
          <w:sz w:val="24"/>
        </w:rPr>
        <w:t>5.  Model Bisnis</w:t>
      </w:r>
    </w:p>
    <w:p>
      <w:pPr>
        <w:spacing w:before="80" w:after="80"/>
      </w:pPr>
      <w:r>
        <w:rPr>
          <w:sz w:val="24"/>
        </w:rPr>
        <w:t>6.  Teknologi yang Digunakan</w:t>
      </w:r>
    </w:p>
    <w:p>
      <w:pPr>
        <w:spacing w:before="80" w:after="80"/>
      </w:pPr>
      <w:r>
        <w:rPr>
          <w:sz w:val="24"/>
        </w:rPr>
        <w:t>7.  Analisis Keunggulan</w:t>
      </w:r>
    </w:p>
    <w:p>
      <w:pPr>
        <w:spacing w:before="80" w:after="80"/>
      </w:pPr>
      <w:r>
        <w:rPr>
          <w:sz w:val="24"/>
        </w:rPr>
        <w:t>8.  Daftar Referensi</w:t>
      </w:r>
    </w:p>
    <w:p>
      <w:r>
        <w:br w:type="page"/>
      </w:r>
    </w:p>
    <w:p>
      <w:pPr>
        <w:pStyle w:val="Heading1"/>
      </w:pPr>
      <w:r>
        <w:t>1. MASALAH YANG DIANGKAT</w:t>
      </w:r>
    </w:p>
    <w:p>
      <w:pPr>
        <w:pStyle w:val="Heading2"/>
      </w:pPr>
      <w:r>
        <w:t>1.1 Konteks Penerimaan Mahasiswa Baru Jalur SNBP</w:t>
      </w:r>
    </w:p>
    <w:p>
      <w:r>
        <w:t xml:space="preserve">Seleksi Nasional Berdasarkan Prestasi (SNBP) merupakan jalur penerimaan mahasiswa baru di Indonesia yang sepenuhnya berbasis nilai rapor dan prestasi akademik. Setiap tahunnya, sekitar </w:t>
      </w:r>
      <w:r>
        <w:rPr>
          <w:b/>
        </w:rPr>
        <w:t>800.000 siswa SMA/SMK</w:t>
      </w:r>
      <w:r>
        <w:t xml:space="preserve"> mendaftar melalui jalur ini [1] dari populasi total sekitar </w:t>
      </w:r>
      <w:r>
        <w:rPr>
          <w:b/>
        </w:rPr>
        <w:t>5,9 juta siswa SMA/SMK</w:t>
      </w:r>
      <w:r>
        <w:t xml:space="preserve"> di seluruh Indonesia [2]. Namun, hanya sekitar </w:t>
      </w:r>
      <w:r>
        <w:rPr>
          <w:b/>
        </w:rPr>
        <w:t>220.000 siswa (27%)</w:t>
      </w:r>
      <w:r>
        <w:t xml:space="preserve"> yang berhasil diterima [1], menjadikan SNBP sebagai salah satu seleksi paling kompetitif di Asia Tenggara. Kegagalan dalam proses ini memiliki dampak signifikan terhadap masa depan pendidikan dan karir siswa, serta menimbulkan beban psikologis yang tidak trivial bagi keluarga.</w:t>
      </w:r>
    </w:p>
    <w:p>
      <w:pPr>
        <w:pStyle w:val="Heading2"/>
      </w:pPr>
      <w:r>
        <w:t>1.2 The Choice-2 Trap: Jebakan Struktural Pilihan Kedua</w:t>
      </w:r>
    </w:p>
    <w:p>
      <w:r>
        <w:t xml:space="preserve">Permasalahan paling kritis dalam SNBP adalah fenomena yang kami identifikasi sebagai </w:t>
      </w:r>
      <w:r>
        <w:rPr>
          <w:b/>
        </w:rPr>
        <w:t>"Choice-2 Trap"</w:t>
      </w:r>
      <w:r>
        <w:t>. Dalam sistem SNBP, siswa memilih hingga dua program studi. Banyak universitas top tier (terutama PTN dengan peminat tinggi) memiliki kebijakan implisit untuk secara otomatis menolak calon yang menempatkan mereka sebagai pilihan kedua. Logikanya, universitas mengasumsikan bahwa kandidat lebih berkomitmen pada pilihan pertamanya, sehingga slot yang terbatas diprioritaskan untuk mereka yang menempatkan universitas tersebut di posisi pertama. Kebijakan ini tidak terdokumentasi secara publik dan hanya diketahui oleh kalangan terbatas, menciptakan information asymmetry yang merugikan siswa dari sekolah dengan akses informasi terbatas.</w:t>
      </w:r>
    </w:p>
    <w:p>
      <w:pPr>
        <w:pStyle w:val="Heading2"/>
      </w:pPr>
      <w:r>
        <w:t>1.3 Data Asymmetry dan Ketiadaan Decision-Support Tools</w:t>
      </w:r>
    </w:p>
    <w:p>
      <w:r>
        <w:t>Siswa dan orang tua saat ini membuat keputusan strategis pemilihan universitas dan program studi tanpa akses terhadap: (a) data historis acceptance rate per program studi per sekolah asal, (b) informasi kuota aktual vs jumlah pendaftar, (c) benchmark positioning nilai rapor relatif terhadap pendaftar lain, dan (d) insight tentang pola penolakan sistematis. Portal resmi SNBP dari pemerintah hanya menyediakan informasi administratif dasar tanpa analytical tools. Hasilnya, keputusan pemilihan universitas yang seharusnya berbasis data justru dilakukan berdasarkan intuisi, rumor, atau rekomendasi seadanya dari lingkungan sosial terdekat.</w:t>
      </w:r>
    </w:p>
    <w:p>
      <w:pPr>
        <w:pStyle w:val="Heading2"/>
      </w:pPr>
      <w:r>
        <w:t>1.4 Guru BK Overwhelmed: Rasio 1:300-500 Tanpa Analytical Tools</w:t>
      </w:r>
    </w:p>
    <w:p>
      <w:r>
        <w:t xml:space="preserve">Guru Bimbingan Konseling (Guru BK) berperan sebagai penasihat utama dalam proses pemilihan universitas. Namun, realitas di lapangan menunjukkan bahwa satu Guru BK menangani </w:t>
      </w:r>
      <w:r>
        <w:rPr>
          <w:b/>
        </w:rPr>
        <w:t>300 hingga 500+ siswa</w:t>
      </w:r>
      <w:r>
        <w:t xml:space="preserve"> secara bersamaan [3]. Data dari Kemendikbudristek menunjukkan bahwa </w:t>
      </w:r>
      <w:r>
        <w:rPr>
          <w:b/>
        </w:rPr>
        <w:t>lebih dari 70% Guru BK</w:t>
      </w:r>
      <w:r>
        <w:t xml:space="preserve"> di Indonesia tidak memiliki akses terhadap tools digital untuk mendukung advisory penerimaan mahasiswa [3]. Mereka mengandalkan spreadsheet manual, catatan tangan, dan pengalaman anekdotal untuk memberikan rekomendasi kepada ratusan siswa. Akibatnya, kualitas advisory sangat bervariasi antar sekolah dan seringkali suboptimal.</w:t>
      </w:r>
    </w:p>
    <w:p>
      <w:pPr>
        <w:pStyle w:val="Heading2"/>
      </w:pPr>
      <w:r>
        <w:t>1.5 Intra-School Collision: Kompetisi Tersembunyi Sesama Sekolah</w:t>
      </w:r>
    </w:p>
    <w:p>
      <w:r>
        <w:t xml:space="preserve">Permasalahan yang jarang dibahas namun sangat signifikan adalah fenomena </w:t>
      </w:r>
      <w:r>
        <w:rPr>
          <w:b/>
        </w:rPr>
        <w:t>intra-school collision</w:t>
      </w:r>
      <w:r>
        <w:t xml:space="preserve"> - situasi di mana beberapa siswa dari sekolah yang sama tanpa sadar mendaftar ke program studi identik di universitas yang sama, padahal kuota SNBP per sekolah sangat terbatas (umumnya 1-3 slot per prodi per sekolah). Tanpa mekanisme koordinasi internal, siswa saling berkompetisi tanpa menyadari peluang mereka sudah sangat tergerus. Guru BK yang bertanggung jawab atas koordinasi ini sering tidak memiliki visibilitas real-time terhadap pilihan seluruh siswa bimbingannya, terutama di sekolah besar dengan 400+ siswa di kelas 12.</w:t>
      </w:r>
    </w:p>
    <w:p>
      <w:pPr>
        <w:pStyle w:val="Heading2"/>
      </w:pPr>
      <w:r>
        <w:t>1.6 Dampak Kumulatif dan Urgensi Solusi</w:t>
      </w:r>
    </w:p>
    <w:p>
      <w:r>
        <w:t>Kombinasi dari kelima masalah di atas menciptakan systemic failure dimana ratusan ribu siswa berprestasi gagal masuk universitas yang sebenarnya dalam jangkauan mereka, bukan karena kurang mampu secara akademik, melainkan karena kurang informasi dan tools untuk membuat keputusan strategis yang optimal. Gap ini memiliki cost yang dapat dihitung: setiap tahun kelulusan yang suboptimal menghasilkan opportunity cost berupa lost earning potential, biaya tambahan untuk jalur mandiri (Rp15-50 juta per mahasiswa), dan beban psikologis gap year. LangkahKampus hadir untuk menutup gap ini melalui data-driven decision intelligence.</w:t>
      </w:r>
    </w:p>
    <w:p/>
    <w:p>
      <w:pPr>
        <w:jc w:val="center"/>
      </w:pPr>
      <w:r>
        <w:drawing>
          <wp:inline xmlns:a="http://schemas.openxmlformats.org/drawingml/2006/main" xmlns:pic="http://schemas.openxmlformats.org/drawingml/2006/picture">
            <wp:extent cx="4572000" cy="2825696"/>
            <wp:docPr id="2" name="Picture 2"/>
            <wp:cNvGraphicFramePr>
              <a:graphicFrameLocks noChangeAspect="1"/>
            </wp:cNvGraphicFramePr>
            <a:graphic>
              <a:graphicData uri="http://schemas.openxmlformats.org/drawingml/2006/picture">
                <pic:pic>
                  <pic:nvPicPr>
                    <pic:cNvPr id="0" name="snbp_acceptance_stats.png"/>
                    <pic:cNvPicPr/>
                  </pic:nvPicPr>
                  <pic:blipFill>
                    <a:blip r:embed="rId10"/>
                    <a:stretch>
                      <a:fillRect/>
                    </a:stretch>
                  </pic:blipFill>
                  <pic:spPr>
                    <a:xfrm>
                      <a:off x="0" y="0"/>
                      <a:ext cx="4572000" cy="2825696"/>
                    </a:xfrm>
                    <a:prstGeom prst="rect"/>
                  </pic:spPr>
                </pic:pic>
              </a:graphicData>
            </a:graphic>
          </wp:inline>
        </w:drawing>
      </w:r>
    </w:p>
    <w:p>
      <w:pPr>
        <w:spacing w:before="40" w:after="160"/>
        <w:jc w:val="center"/>
      </w:pPr>
      <w:r>
        <w:rPr>
          <w:i/>
          <w:color w:val="555555"/>
          <w:sz w:val="18"/>
        </w:rPr>
        <w:t>Gambar 1.1: Statistik Penerimaan SNBP Indonesia (Sumber: SNPMB/LTMPT, BPS 2024)</w:t>
      </w:r>
    </w:p>
    <w:p>
      <w:r>
        <w:br w:type="page"/>
      </w:r>
    </w:p>
    <w:p>
      <w:pPr>
        <w:pStyle w:val="Heading1"/>
      </w:pPr>
      <w:r>
        <w:t>2. SOLUSI YANG DIBERIKAN</w:t>
      </w:r>
    </w:p>
    <w:p>
      <w:r>
        <w:rPr>
          <w:b/>
        </w:rPr>
        <w:t>LangkahKampus</w:t>
      </w:r>
      <w:r>
        <w:t xml:space="preserve"> adalah platform advisory penerimaan mahasiswa berbasis AI yang dirancang secara khusus untuk ekosistem SNBP Indonesia. Platform ini mengintegrasikan machine learning, explainable AI, dan collaborative decision-making tools untuk memberikan rekomendasi yang actionable kepada siswa dan Guru BK. Berikut adalah lima modul inti yang membentuk solusi komprehensif kami:</w:t>
      </w:r>
    </w:p>
    <w:p>
      <w:pPr>
        <w:pStyle w:val="Heading2"/>
      </w:pPr>
      <w:r>
        <w:t>2.1 Hard-Rule Admission Validator</w:t>
      </w:r>
    </w:p>
    <w:p>
      <w:r>
        <w:t>Modul pertama berfungsi sebagai pre-screening layer yang secara instan mendeteksi batasan-batasan institusional yang bersifat deterministik. Validator ini memeriksa: (a) apakah universitas target menerapkan kebijakan penolakan otomatis terhadap pilihan kedua (Choice-2 Trap detection), (b) apakah kuota sekolah asal untuk prodi target sudah terisi dari tahun-tahun sebelumnya, (c) apakah terdapat minimum score threshold implisit berdasarkan data historis. Modul ini beroperasi sebagai binary classifier yang memberikan peringatan SEBELUM siswa menyelesaikan pendaftaran, mencegah kesalahan fatal yang tidak dapat diperbaiki. Database rule-nya di-update secara berkala berdasarkan analisis pola penerimaan 3 tahun terakhir.</w:t>
      </w:r>
    </w:p>
    <w:p>
      <w:pPr>
        <w:pStyle w:val="Heading2"/>
      </w:pPr>
      <w:r>
        <w:t>2.2 ML Probability Scoring Engine</w:t>
      </w:r>
    </w:p>
    <w:p>
      <w:r>
        <w:t xml:space="preserve">Inti prediktif LangkahKampus menggunakan ensemble stacking dari </w:t>
      </w:r>
      <w:r>
        <w:rPr>
          <w:b/>
        </w:rPr>
        <w:t>XGBoost dan LightGBM</w:t>
      </w:r>
      <w:r>
        <w:t xml:space="preserve"> yang dilatih pada data historis penerimaan SNBP [5][6]. Model menerima input berupa: nilai rapor semester 1-5, peringkat relatif di sekolah, akreditasi sekolah, lokasi geografis, dan metadata program studi target. Output berupa probability score (0-100%) dengan confidence interval, memungkinkan siswa memahami tidak hanya peluangnya, tetapi juga tingkat ketidakpastian prediksi. Ensemble approach dipilih karena performanya yang superior pada tabular data dibandingkan deep learning approaches (berdasarkan benchmark TabPFN [7] dan analisis meta-learning pada dataset serupa). Model di-retrain setiap siklus SNBP dengan data terbaru untuk mencegah concept drift.</w:t>
      </w:r>
    </w:p>
    <w:p>
      <w:pPr>
        <w:pStyle w:val="Heading2"/>
      </w:pPr>
      <w:r>
        <w:t>2.3 Counterfactual What-If Recommendation Engine</w:t>
      </w:r>
    </w:p>
    <w:p>
      <w:r>
        <w:t xml:space="preserve">Fitur diferensiator utama LangkahKampus adalah engine rekomendasi berbasis </w:t>
      </w:r>
      <w:r>
        <w:rPr>
          <w:b/>
        </w:rPr>
        <w:t>Diverse Counterfactual Explanations (DiCE)</w:t>
      </w:r>
      <w:r>
        <w:t xml:space="preserve"> [8] dan </w:t>
      </w:r>
      <w:r>
        <w:rPr>
          <w:b/>
        </w:rPr>
        <w:t>SHAP (SHapley Additive exPlanations)</w:t>
      </w:r>
      <w:r>
        <w:t xml:space="preserve"> [9]. Ketika prediksi menunjukkan probabilitas rendah, sistem secara otomatis menghasilkan counterfactual scenarios yang menunjukkan perubahan minimal yang diperlukan untuk membalikkan prediksi dari rejection ke acceptance. Contoh output: 'Jika Anda mengubah pilihan dari Teknik Informatika ITB ke Teknik Informatika Unpad, probabilitas penerimaan meningkat dari 23% menjadi 71%.' Engine ini memberikan power of agency kepada siswa: bukan hanya mengetahui peluangnya kecil, tetapi memahami apa yang bisa diubah untuk meningkatkannya. DiCE dipilih karena kemampuannya menghasilkan multiple diverse alternatives, bukan single nearest counterfactual.</w:t>
      </w:r>
    </w:p>
    <w:p>
      <w:pPr>
        <w:pStyle w:val="Heading2"/>
      </w:pPr>
      <w:r>
        <w:t>2.4 Geospatial dan Cognitive Profiling Engine</w:t>
      </w:r>
    </w:p>
    <w:p>
      <w:r>
        <w:t>Modul ini membantu siswa menemukan program studi yang sesuai berdasarkan dua dimensi yang sering diabaikan: (a) preferensi geografis, seperti jarak dari rumah, biaya hidup di kota tujuan, ketersediaan transportasi, dan (b) profil kognitif dan minat yang diukur melalui assessment singkat. Engine mengintegrasikan data geospasial (koordinat sekolah, universitas, rumah siswa) dengan profil minat untuk menghasilkan rekomendasi program studi yang tidak hanya feasible secara akademik, tetapi juga optimal dari perspektif personal-fit dan logistik. Filter radius memungkinkan siswa dengan constraint tertentu (misalnya, harus tinggal dekat keluarga) untuk mempersempit opsi secara cerdas tanpa melewatkan peluang tersembunyi di universitas yang kurang dikenal.</w:t>
      </w:r>
    </w:p>
    <w:p>
      <w:pPr>
        <w:pStyle w:val="Heading2"/>
      </w:pPr>
      <w:r>
        <w:t>2.5 Anti-Bentrok: Intra-School De-Confliction Dashboard</w:t>
      </w:r>
    </w:p>
    <w:p>
      <w:r>
        <w:t xml:space="preserve">Modul </w:t>
      </w:r>
      <w:r>
        <w:rPr>
          <w:b/>
        </w:rPr>
        <w:t>Anti-Bentrok</w:t>
      </w:r>
      <w:r>
        <w:t xml:space="preserve"> adalah fitur B2B yang dirancang khusus untuk Guru BK. Dashboard ini memberikan visibilitas real-time terhadap pilihan seluruh siswa kelas 12 di sekolah, mendeteksi potensi collision (multiple students targeting same limited slots), dan memberikan recommendation engine untuk redistribusi optimal. Fitur utama meliputi: (a) heatmap visualisasi demand vs capacity per prodi, (b) alert system ketika collision terdeteksi, (c) suggestion algorithm untuk alternatif redistribusi yang memaksimalkan total acceptance probability seluruh siswa, (d) komunikasi terenkripsi antara Guru BK dan siswa untuk koordinasi perubahan pilihan. Anti-Bentrok mengubah paradigma dari per-student advisory menjadi school-wide optimization.</w:t>
      </w:r>
    </w:p>
    <w:p>
      <w:r>
        <w:br w:type="page"/>
      </w:r>
    </w:p>
    <w:p>
      <w:pPr>
        <w:pStyle w:val="Heading1"/>
      </w:pPr>
      <w:r>
        <w:t>3. CUSTOMER DAN MARKET</w:t>
      </w:r>
    </w:p>
    <w:p>
      <w:pPr>
        <w:pStyle w:val="Heading2"/>
      </w:pPr>
      <w:r>
        <w:t>3.1 Segmen Pengguna Primer: Siswa SMA/SMK Kelas 11-12</w:t>
      </w:r>
    </w:p>
    <w:p>
      <w:r>
        <w:t xml:space="preserve">Target pengguna utama LangkahKampus adalah siswa SMA dan SMK kelas 11-12 yang sedang mempersiapkan pendaftaran SNBP. Populasi ini berjumlah sekitar </w:t>
      </w:r>
      <w:r>
        <w:rPr>
          <w:b/>
        </w:rPr>
        <w:t>3,2 juta siswa</w:t>
      </w:r>
      <w:r>
        <w:t xml:space="preserve"> per angkatan (kelas 11 dan 12 combined). Dari jumlah tersebut, sekitar 800.000 siswa secara aktif mendaftar SNBP setiap tahunnya [1]. Karakteristik segmen ini meliputi: digital native dengan smartphone penetration &gt;95% [4], aktif di media sosial (terutama TikTok dan Instagram), memiliki purchasing power terbatas namun orang tua bersedia invest untuk pendidikan, dan memiliki anxiety tinggi terkait masa depan akademik. Pain points utama mereka: ketidakpastian dalam pemilihan prodi, takut salah strategi, tidak memiliki benchmark terhadap kompetitor, dan tekanan sosial dari keluarga untuk masuk universitas top.</w:t>
      </w:r>
    </w:p>
    <w:p>
      <w:pPr>
        <w:pStyle w:val="Heading2"/>
      </w:pPr>
      <w:r>
        <w:t>3.2 Segmen Pengguna Sekunder: Guru BK dan Administrator Sekolah</w:t>
      </w:r>
    </w:p>
    <w:p>
      <w:r>
        <w:t>Guru BK di seluruh Indonesia (estimasi 45.000+ tenaga BK [3]) merupakan segmen pengguna B2B yang kritis. Mereka adalah decision-maker di tingkat sekolah yang mempengaruhi ratusan siswa sekaligus. Pain points Guru BK: (a) rasio siswa per BK terlalu tinggi (300-500:1 vs standar ideal 150:1) [3], (b) tidak ada tools digital untuk tracking pilihan siswa secara agregat, (c) sulit mengidentifikasi collision antar siswa, (d) tekanan dari manajemen sekolah untuk meningkatkan 'angka kelulusan SNBP' sebagai metrik reputasi sekolah. Administrator sekolah (Kepala Sekolah, Wakil Kurikulum) juga menjadi decision-maker dalam pembelian subscription B2B karena mempengaruhi alokasi budget teknologi sekolah.</w:t>
      </w:r>
    </w:p>
    <w:p>
      <w:pPr>
        <w:pStyle w:val="Heading2"/>
      </w:pPr>
      <w:r>
        <w:t>3.3 User Personas</w:t>
      </w:r>
    </w:p>
    <w:p>
      <w:r>
        <w:rPr>
          <w:b/>
        </w:rPr>
        <w:t xml:space="preserve">Persona 1 - Rina (Siswa Kelas 12, SMA Negeri di Bandung): </w:t>
      </w:r>
      <w:r>
        <w:t>Nilai rapor rata-rata 88, ingin masuk Teknik Informatika ITB tetapi tidak yakin apakah nilainya cukup kompetitif. Tidak memiliki informasi tentang acceptance rate historis dan takut 'membuang' slot pilihan. Orang tuanya bersedia membayar Rp25.000 untuk mendapatkan analisis prediktif yang akurat. Rina membutuhkan: probability scoring, counterfactual recommendations, dan validasi Choice-2 Trap.</w:t>
      </w:r>
    </w:p>
    <w:p>
      <w:r>
        <w:rPr>
          <w:b/>
        </w:rPr>
        <w:t xml:space="preserve">Persona 2 - Pak Ahmad (Guru BK, SMA Swasta di Surabaya): </w:t>
      </w:r>
      <w:r>
        <w:t>Menangani 420 siswa kelas 12 dengan bantuan 1 asisten. Tahun lalu, 3 siswa top-nya gagal SNBP karena ternyata mendaftar ke prodi yang sama dan saling 'mengkanibalisasi' slot. Membutuhkan Anti-Bentrok dashboard untuk visibility dan de-confliction. Sekolahnya bersedia berlangganan Rp3.000.000/tahun jika terbukti meningkatkan acceptance rate.</w:t>
      </w:r>
    </w:p>
    <w:p>
      <w:r>
        <w:rPr>
          <w:b/>
        </w:rPr>
        <w:t xml:space="preserve">Persona 3 - Dimas (Siswa Kelas 11, SMK di Semarang): </w:t>
      </w:r>
      <w:r>
        <w:t>Belum yakin ingin melanjutkan ke universitas atau langsung kerja. Membutuhkan cognitive profiling dan geospatial filter untuk menemukan opsi yang sesuai minat dan constraint geografisnya. User freemium yang berpotensi convert jika value proposition terbukti.</w:t>
      </w:r>
    </w:p>
    <w:p>
      <w:pPr>
        <w:pStyle w:val="Heading2"/>
      </w:pPr>
      <w:r>
        <w:t>3.4 Market Validation</w:t>
      </w:r>
    </w:p>
    <w:p>
      <w:r>
        <w:t>Validasi pasar dilakukan melalui: (a) survei terhadap 150 siswa kelas 12 di 5 SMA di Bandung Raya dengan hasil 89% menyatakan membutuhkan tools prediksi SNBP, (b) wawancara mendalam dengan 12 Guru BK yang seluruhnya mengonfirmasi pain point intra-school collision, (c) analisis search volume Google Trends menunjukkan 'prediksi SNBP' dan 'peluang SNBP' meningkat 300% setiap November-Januari (periode pendaftaran) [10], (d) competitive validation melalui analysis bahwa tidak ada pemain existing yang menawarkan counterfactual recommendation atau anti-collision features.</w:t>
      </w:r>
    </w:p>
    <w:p/>
    <w:p>
      <w:pPr>
        <w:jc w:val="center"/>
      </w:pPr>
      <w:r>
        <w:drawing>
          <wp:inline xmlns:a="http://schemas.openxmlformats.org/drawingml/2006/main" xmlns:pic="http://schemas.openxmlformats.org/drawingml/2006/picture">
            <wp:extent cx="4572000" cy="2525412"/>
            <wp:docPr id="3" name="Picture 3"/>
            <wp:cNvGraphicFramePr>
              <a:graphicFrameLocks noChangeAspect="1"/>
            </wp:cNvGraphicFramePr>
            <a:graphic>
              <a:graphicData uri="http://schemas.openxmlformats.org/drawingml/2006/picture">
                <pic:pic>
                  <pic:nvPicPr>
                    <pic:cNvPr id="0" name="market_validation_trends.png"/>
                    <pic:cNvPicPr/>
                  </pic:nvPicPr>
                  <pic:blipFill>
                    <a:blip r:embed="rId11"/>
                    <a:stretch>
                      <a:fillRect/>
                    </a:stretch>
                  </pic:blipFill>
                  <pic:spPr>
                    <a:xfrm>
                      <a:off x="0" y="0"/>
                      <a:ext cx="4572000" cy="2525412"/>
                    </a:xfrm>
                    <a:prstGeom prst="rect"/>
                  </pic:spPr>
                </pic:pic>
              </a:graphicData>
            </a:graphic>
          </wp:inline>
        </w:drawing>
      </w:r>
    </w:p>
    <w:p>
      <w:pPr>
        <w:spacing w:before="40" w:after="160"/>
        <w:jc w:val="center"/>
      </w:pPr>
      <w:r>
        <w:rPr>
          <w:i/>
          <w:color w:val="555555"/>
          <w:sz w:val="18"/>
        </w:rPr>
        <w:t>Gambar 3.1: Tren Pencarian 'Prediksi SNBP' di Google Trends (Sumber: Google Trends 2024)</w:t>
      </w:r>
    </w:p>
    <w:p>
      <w:r>
        <w:br w:type="page"/>
      </w:r>
    </w:p>
    <w:p>
      <w:pPr>
        <w:pStyle w:val="Heading1"/>
      </w:pPr>
      <w:r>
        <w:t>4. TAM, SAM, DAN SOM</w:t>
      </w:r>
    </w:p>
    <w:p>
      <w:pPr>
        <w:pStyle w:val="Heading2"/>
      </w:pPr>
      <w:r>
        <w:t>4.1 Total Addressable Market (TAM)</w:t>
      </w:r>
    </w:p>
    <w:p>
      <w:r>
        <w:t xml:space="preserve">TAM LangkahKampus mencakup seluruh siswa SMA/SMK di Indonesia yang mempertimbangkan melanjutkan ke perguruan tinggi. Dengan populasi </w:t>
      </w:r>
      <w:r>
        <w:rPr>
          <w:b/>
        </w:rPr>
        <w:t>~5,9 juta siswa SMA/SMK aktif</w:t>
      </w:r>
      <w:r>
        <w:t xml:space="preserve"> [2] dan estimasi 60% berencana melanjutkan kuliah (~3,5 juta siswa), serta Average Revenue Per User (ARPU) B2C sebesar Rp20.000, total TAM B2C mencapai Rp70 miliar/tahun. Ditambah TAM B2B dari ~28.000 SMA/SMK dengan potensi subscription Rp3 juta/tahun, menghasilkan TAM B2B sebesar Rp84 miliar/tahun. Total combined TAM: Rp154 miliar/tahun (~USD 10 juta). Angka ini belum memperhitungkan potensi ekspansi ke jalur SNBT, jalur mandiri, dan continuing education advisory.</w:t>
      </w:r>
    </w:p>
    <w:p>
      <w:pPr>
        <w:pStyle w:val="Heading2"/>
      </w:pPr>
      <w:r>
        <w:t>4.2 Serviceable Addressable Market (SAM)</w:t>
      </w:r>
    </w:p>
    <w:p>
      <w:r>
        <w:t xml:space="preserve">SAM difokuskan pada siswa yang secara aktif mendaftar melalui jalur SNBP, yaitu </w:t>
      </w:r>
      <w:r>
        <w:rPr>
          <w:b/>
        </w:rPr>
        <w:t>~800.000 siswa per tahun</w:t>
      </w:r>
      <w:r>
        <w:t xml:space="preserve"> [1]. Dengan willingness-to-pay yang telah divalidasi (89% dari survei menyatakan bersedia membayar Rp15.000-25.000 untuk prediksi akurat), SAM B2C berada di kisaran Rp12-20 miliar/tahun. SAM B2B difokuskan pada sekolah-sekolah yang secara aktif mendorong siswa mendaftar SNBP (~15.000 sekolah), menghasilkan SAM B2B sebesar Rp45 miliar/tahun. Total SAM: Rp57-65 miliar/tahun. SAM ini merepresentasikan pasar yang dapat dijangkau tanpa perlu ekspansi produk signifikan di luar fitur SNBP advisory.</w:t>
      </w:r>
    </w:p>
    <w:p>
      <w:pPr>
        <w:pStyle w:val="Heading2"/>
      </w:pPr>
      <w:r>
        <w:t>4.3 Serviceable Obtainable Market (SOM)</w:t>
      </w:r>
    </w:p>
    <w:p>
      <w:r>
        <w:t>SOM dihitung berdasarkan rencana penetrasi bertahap:</w:t>
      </w:r>
    </w:p>
    <w:p>
      <w:pPr>
        <w:pStyle w:val="ListBullet"/>
      </w:pPr>
      <w:r>
        <w:rPr>
          <w:b/>
        </w:rPr>
        <w:t xml:space="preserve">Tahun 1 (2025): </w:t>
      </w:r>
      <w:r>
        <w:t>50.000 siswa pengguna aktif (6.25% dari SAM) + 200 sekolah berlangganan. Revenue: Rp1 miliar B2C + Rp600 juta B2B = Rp1,6 miliar/tahun</w:t>
      </w:r>
    </w:p>
    <w:p>
      <w:pPr>
        <w:pStyle w:val="ListBullet"/>
      </w:pPr>
      <w:r>
        <w:rPr>
          <w:b/>
        </w:rPr>
        <w:t xml:space="preserve">Tahun 2 (2026): </w:t>
      </w:r>
      <w:r>
        <w:t>120.000 siswa + 800 sekolah. Revenue: Rp2,4 miliar B2C + Rp2,4 miliar B2B = Rp4,8 miliar/tahun</w:t>
      </w:r>
    </w:p>
    <w:p>
      <w:pPr>
        <w:pStyle w:val="ListBullet"/>
      </w:pPr>
      <w:r>
        <w:rPr>
          <w:b/>
        </w:rPr>
        <w:t xml:space="preserve">Tahun 3 (2027): </w:t>
      </w:r>
      <w:r>
        <w:t>200.000 siswa + 2.000 sekolah. Revenue: Rp4 miliar B2C + Rp6 miliar B2B = Rp10 miliar/tahun</w:t>
      </w:r>
    </w:p>
    <w:p>
      <w:r>
        <w:t>Strategi akuisisi dimulai dari Bandung dan Jawa Barat sebagai home market (proximity ke Telkom University dan Bandung Techno Park), kemudian ekspansi ke Jawa Timur, DKI Jakarta, dan seluruh Pulau Jawa di tahun 2. Ekspansi nasional dilakukan di tahun 3 dengan leverage dari partnership BK Association dan viral organic growth melalui TikTok education content.</w:t>
      </w:r>
    </w:p>
    <w:p/>
    <w:p>
      <w:pPr>
        <w:jc w:val="center"/>
      </w:pPr>
      <w:r>
        <w:drawing>
          <wp:inline xmlns:a="http://schemas.openxmlformats.org/drawingml/2006/main" xmlns:pic="http://schemas.openxmlformats.org/drawingml/2006/picture">
            <wp:extent cx="4572000" cy="4863596"/>
            <wp:docPr id="4" name="Picture 4"/>
            <wp:cNvGraphicFramePr>
              <a:graphicFrameLocks noChangeAspect="1"/>
            </wp:cNvGraphicFramePr>
            <a:graphic>
              <a:graphicData uri="http://schemas.openxmlformats.org/drawingml/2006/picture">
                <pic:pic>
                  <pic:nvPicPr>
                    <pic:cNvPr id="0" name="tam_sam_som_diagram.png"/>
                    <pic:cNvPicPr/>
                  </pic:nvPicPr>
                  <pic:blipFill>
                    <a:blip r:embed="rId12"/>
                    <a:stretch>
                      <a:fillRect/>
                    </a:stretch>
                  </pic:blipFill>
                  <pic:spPr>
                    <a:xfrm>
                      <a:off x="0" y="0"/>
                      <a:ext cx="4572000" cy="4863596"/>
                    </a:xfrm>
                    <a:prstGeom prst="rect"/>
                  </pic:spPr>
                </pic:pic>
              </a:graphicData>
            </a:graphic>
          </wp:inline>
        </w:drawing>
      </w:r>
    </w:p>
    <w:p>
      <w:pPr>
        <w:spacing w:before="40" w:after="160"/>
        <w:jc w:val="center"/>
      </w:pPr>
      <w:r>
        <w:rPr>
          <w:i/>
          <w:color w:val="555555"/>
          <w:sz w:val="18"/>
        </w:rPr>
        <w:t>Gambar 4.1: Diagram TAM, SAM, SOM - LangkahKampus Market Sizing (Sumber: Analisis Internal berdasarkan data BPS dan SNPMB 2024)</w:t>
      </w:r>
    </w:p>
    <w:p>
      <w:pPr>
        <w:pStyle w:val="Heading2"/>
      </w:pPr>
      <w:r>
        <w:t>4.4 Revenue Model Summary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80"/>
            <w:shd w:fill="2E4057" w:val="clear"/>
          </w:tcPr>
          <w:p>
            <w:r>
              <w:rPr>
                <w:b/>
                <w:color w:val="FFFFFF"/>
                <w:sz w:val="18"/>
              </w:rPr>
              <w:t>Stream</w:t>
            </w:r>
          </w:p>
        </w:tc>
        <w:tc>
          <w:tcPr>
            <w:tcW w:type="dxa" w:w="2880"/>
            <w:shd w:fill="2E4057" w:val="clear"/>
          </w:tcPr>
          <w:p>
            <w:r>
              <w:rPr>
                <w:b/>
                <w:color w:val="FFFFFF"/>
                <w:sz w:val="18"/>
              </w:rPr>
              <w:t>Pricing</w:t>
            </w:r>
          </w:p>
        </w:tc>
        <w:tc>
          <w:tcPr>
            <w:tcW w:type="dxa" w:w="2160"/>
            <w:shd w:fill="2E4057" w:val="clear"/>
          </w:tcPr>
          <w:p>
            <w:r>
              <w:rPr>
                <w:b/>
                <w:color w:val="FFFFFF"/>
                <w:sz w:val="18"/>
              </w:rPr>
              <w:t>Target Y1</w:t>
            </w:r>
          </w:p>
        </w:tc>
        <w:tc>
          <w:tcPr>
            <w:tcW w:type="dxa" w:w="2160"/>
            <w:shd w:fill="2E4057" w:val="clear"/>
          </w:tcPr>
          <w:p>
            <w:r>
              <w:rPr>
                <w:b/>
                <w:color w:val="FFFFFF"/>
                <w:sz w:val="18"/>
              </w:rPr>
              <w:t>Target Y3</w:t>
            </w:r>
          </w:p>
        </w:tc>
      </w:tr>
      <w:tr>
        <w:tc>
          <w:tcPr>
            <w:tcW w:type="dxa" w:w="2880"/>
          </w:tcPr>
          <w:p>
            <w:r>
              <w:rPr>
                <w:sz w:val="18"/>
              </w:rPr>
              <w:t>B2C Predict</w:t>
            </w:r>
          </w:p>
        </w:tc>
        <w:tc>
          <w:tcPr>
            <w:tcW w:type="dxa" w:w="2880"/>
          </w:tcPr>
          <w:p>
            <w:r>
              <w:rPr>
                <w:sz w:val="18"/>
              </w:rPr>
              <w:t>Rp15.000-25.000/prediksi</w:t>
            </w:r>
          </w:p>
        </w:tc>
        <w:tc>
          <w:tcPr>
            <w:tcW w:type="dxa" w:w="2160"/>
          </w:tcPr>
          <w:p>
            <w:r>
              <w:rPr>
                <w:sz w:val="18"/>
              </w:rPr>
              <w:t>50K users</w:t>
            </w:r>
          </w:p>
        </w:tc>
        <w:tc>
          <w:tcPr>
            <w:tcW w:type="dxa" w:w="2160"/>
          </w:tcPr>
          <w:p>
            <w:r>
              <w:rPr>
                <w:sz w:val="18"/>
              </w:rPr>
              <w:t>200K users</w:t>
            </w:r>
          </w:p>
        </w:tc>
      </w:tr>
      <w:tr>
        <w:tc>
          <w:tcPr>
            <w:tcW w:type="dxa" w:w="2880"/>
          </w:tcPr>
          <w:p>
            <w:r>
              <w:rPr>
                <w:sz w:val="18"/>
              </w:rPr>
              <w:t>B2B BK Command Center</w:t>
            </w:r>
          </w:p>
        </w:tc>
        <w:tc>
          <w:tcPr>
            <w:tcW w:type="dxa" w:w="2880"/>
          </w:tcPr>
          <w:p>
            <w:r>
              <w:rPr>
                <w:sz w:val="18"/>
              </w:rPr>
              <w:t>Rp2-5 juta/tahun/sekolah</w:t>
            </w:r>
          </w:p>
        </w:tc>
        <w:tc>
          <w:tcPr>
            <w:tcW w:type="dxa" w:w="2160"/>
          </w:tcPr>
          <w:p>
            <w:r>
              <w:rPr>
                <w:sz w:val="18"/>
              </w:rPr>
              <w:t>200 sekolah</w:t>
            </w:r>
          </w:p>
        </w:tc>
        <w:tc>
          <w:tcPr>
            <w:tcW w:type="dxa" w:w="2160"/>
          </w:tcPr>
          <w:p>
            <w:r>
              <w:rPr>
                <w:sz w:val="18"/>
              </w:rPr>
              <w:t>2.000 sekolah</w:t>
            </w:r>
          </w:p>
        </w:tc>
      </w:tr>
      <w:tr>
        <w:tc>
          <w:tcPr>
            <w:tcW w:type="dxa" w:w="2880"/>
          </w:tcPr>
          <w:p>
            <w:r>
              <w:rPr>
                <w:sz w:val="18"/>
              </w:rPr>
              <w:t>B2B Premium Analytics</w:t>
            </w:r>
          </w:p>
        </w:tc>
        <w:tc>
          <w:tcPr>
            <w:tcW w:type="dxa" w:w="2880"/>
          </w:tcPr>
          <w:p>
            <w:r>
              <w:rPr>
                <w:sz w:val="18"/>
              </w:rPr>
              <w:t>Rp500K-1,5M/tahun</w:t>
            </w:r>
          </w:p>
        </w:tc>
        <w:tc>
          <w:tcPr>
            <w:tcW w:type="dxa" w:w="2160"/>
          </w:tcPr>
          <w:p>
            <w:r>
              <w:rPr>
                <w:sz w:val="18"/>
              </w:rPr>
              <w:t>50 sekolah</w:t>
            </w:r>
          </w:p>
        </w:tc>
        <w:tc>
          <w:tcPr>
            <w:tcW w:type="dxa" w:w="2160"/>
          </w:tcPr>
          <w:p>
            <w:r>
              <w:rPr>
                <w:sz w:val="18"/>
              </w:rPr>
              <w:t>500 sekolah</w:t>
            </w:r>
          </w:p>
        </w:tc>
      </w:tr>
      <w:tr>
        <w:tc>
          <w:tcPr>
            <w:tcW w:type="dxa" w:w="2880"/>
          </w:tcPr>
          <w:p>
            <w:r>
              <w:rPr>
                <w:sz w:val="18"/>
              </w:rPr>
              <w:t>Data Insight Reports</w:t>
            </w:r>
          </w:p>
        </w:tc>
        <w:tc>
          <w:tcPr>
            <w:tcW w:type="dxa" w:w="2880"/>
          </w:tcPr>
          <w:p>
            <w:r>
              <w:rPr>
                <w:sz w:val="18"/>
              </w:rPr>
              <w:t>Rp10-25 juta/report</w:t>
            </w:r>
          </w:p>
        </w:tc>
        <w:tc>
          <w:tcPr>
            <w:tcW w:type="dxa" w:w="2160"/>
          </w:tcPr>
          <w:p>
            <w:r>
              <w:rPr>
                <w:sz w:val="18"/>
              </w:rPr>
              <w:t>5 clients</w:t>
            </w:r>
          </w:p>
        </w:tc>
        <w:tc>
          <w:tcPr>
            <w:tcW w:type="dxa" w:w="2160"/>
          </w:tcPr>
          <w:p>
            <w:r>
              <w:rPr>
                <w:sz w:val="18"/>
              </w:rPr>
              <w:t>20 clients</w:t>
            </w:r>
          </w:p>
        </w:tc>
      </w:tr>
    </w:tbl>
    <w:p>
      <w:r>
        <w:br w:type="page"/>
      </w:r>
    </w:p>
    <w:p>
      <w:pPr>
        <w:pStyle w:val="Heading1"/>
      </w:pPr>
      <w:r>
        <w:t>5. MODEL BISNIS</w:t>
      </w:r>
    </w:p>
    <w:p>
      <w:pPr>
        <w:pStyle w:val="Heading2"/>
      </w:pPr>
      <w:r>
        <w:t>5.1 B2C Freemium Model</w:t>
      </w:r>
    </w:p>
    <w:p>
      <w:r>
        <w:t>Model B2C LangkahKampus mengadopsi freemium approach yang telah terbukti efektif di edtech Indonesia (benchmark: Ruangguru free trial, Zenius freemium):</w:t>
      </w:r>
    </w:p>
    <w:p>
      <w:pPr>
        <w:pStyle w:val="ListBullet"/>
      </w:pPr>
      <w:r>
        <w:rPr>
          <w:b/>
        </w:rPr>
        <w:t>Free Tier:</w:t>
      </w:r>
      <w:r>
        <w:t xml:space="preserve"> SNBP eligibility check dasar, informasi umum program studi, 1x simulasi probabilitas tanpa detail breakdown. Tujuan: user acquisition dan value demonstration.</w:t>
      </w:r>
    </w:p>
    <w:p>
      <w:pPr>
        <w:pStyle w:val="ListBullet"/>
      </w:pPr>
      <w:r>
        <w:rPr>
          <w:b/>
        </w:rPr>
        <w:t>Premium Predict (Pay-per-Use):</w:t>
      </w:r>
      <w:r>
        <w:t xml:space="preserve"> Rp15.000-25.000 per deep prediction session. Termasuk: probability scoring dengan confidence interval, counterfactual recommendations (3 alternatif), SHAP explanation visualization, Choice-2 Trap validation, dan PDF report. Pricing ditetapkan berdasarkan willingness-to-pay survey (sweet spot Rp20.000 di mana 73% responden menyatakan 'pasti beli').</w:t>
      </w:r>
    </w:p>
    <w:p>
      <w:pPr>
        <w:pStyle w:val="ListBullet"/>
      </w:pPr>
      <w:r>
        <w:rPr>
          <w:b/>
        </w:rPr>
        <w:t>Subscription Tier:</w:t>
      </w:r>
      <w:r>
        <w:t xml:space="preserve"> Rp49.000/bulan atau Rp99.000 untuk full season (Nov-Mar). Termasuk: unlimited predictions, geospatial profiling, cognitive assessment, priority support, dan early access ke data terbaru.</w:t>
      </w:r>
    </w:p>
    <w:p>
      <w:pPr>
        <w:pStyle w:val="Heading2"/>
      </w:pPr>
      <w:r>
        <w:t>5.2 B2B SaaS Model: BK Command Center</w:t>
      </w:r>
    </w:p>
    <w:p>
      <w:r>
        <w:t>Produk B2B menargetkan sekolah sebagai institutional buyer dengan subscription tahunan:</w:t>
      </w:r>
    </w:p>
    <w:p>
      <w:pPr>
        <w:pStyle w:val="ListBullet"/>
      </w:pPr>
      <w:r>
        <w:rPr>
          <w:b/>
        </w:rPr>
        <w:t>Paket Sekolah Basic:</w:t>
      </w:r>
      <w:r>
        <w:t xml:space="preserve"> Rp2.000.000/tahun. Fitur: Anti-Bentrok dashboard (hingga 200 siswa), basic collision detection, aggregate analytics, 1 admin account.</w:t>
      </w:r>
    </w:p>
    <w:p>
      <w:pPr>
        <w:pStyle w:val="ListBullet"/>
      </w:pPr>
      <w:r>
        <w:rPr>
          <w:b/>
        </w:rPr>
        <w:t>Paket Sekolah Pro:</w:t>
      </w:r>
      <w:r>
        <w:t xml:space="preserve"> Rp3.500.000/tahun. Fitur: unlimited siswa, advanced de-confliction algorithm, historical trend analysis, 3 admin accounts, priority support.</w:t>
      </w:r>
    </w:p>
    <w:p>
      <w:pPr>
        <w:pStyle w:val="ListBullet"/>
      </w:pPr>
      <w:r>
        <w:rPr>
          <w:b/>
        </w:rPr>
        <w:t>Paket Sekolah Enterprise:</w:t>
      </w:r>
      <w:r>
        <w:t xml:space="preserve"> Rp5.000.000/tahun. Fitur: semua Pro features + custom reporting, API integration dengan sistem akademik sekolah, dedicated account manager, training workshop untuk Guru BK.</w:t>
      </w:r>
    </w:p>
    <w:p>
      <w:pPr>
        <w:pStyle w:val="Heading2"/>
      </w:pPr>
      <w:r>
        <w:t>5.3 Unit Economics</w:t>
      </w:r>
    </w:p>
    <w:p>
      <w:r>
        <w:t>Analisis unit economics per customer segment: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168"/>
            <w:shd w:fill="2E4057" w:val="clear"/>
          </w:tcPr>
          <w:p>
            <w:r>
              <w:rPr>
                <w:b/>
                <w:color w:val="FFFFFF"/>
                <w:sz w:val="18"/>
              </w:rPr>
              <w:t>Metric</w:t>
            </w:r>
          </w:p>
        </w:tc>
        <w:tc>
          <w:tcPr>
            <w:tcW w:type="dxa" w:w="2592"/>
            <w:shd w:fill="2E4057" w:val="clear"/>
          </w:tcPr>
          <w:p>
            <w:r>
              <w:rPr>
                <w:b/>
                <w:color w:val="FFFFFF"/>
                <w:sz w:val="18"/>
              </w:rPr>
              <w:t>B2C Premium</w:t>
            </w:r>
          </w:p>
        </w:tc>
        <w:tc>
          <w:tcPr>
            <w:tcW w:type="dxa" w:w="2592"/>
            <w:shd w:fill="2E4057" w:val="clear"/>
          </w:tcPr>
          <w:p>
            <w:r>
              <w:rPr>
                <w:b/>
                <w:color w:val="FFFFFF"/>
                <w:sz w:val="18"/>
              </w:rPr>
              <w:t>B2B Basic</w:t>
            </w:r>
          </w:p>
        </w:tc>
        <w:tc>
          <w:tcPr>
            <w:tcW w:type="dxa" w:w="2592"/>
            <w:shd w:fill="2E4057" w:val="clear"/>
          </w:tcPr>
          <w:p>
            <w:r>
              <w:rPr>
                <w:b/>
                <w:color w:val="FFFFFF"/>
                <w:sz w:val="18"/>
              </w:rPr>
              <w:t>B2B Pro</w:t>
            </w:r>
          </w:p>
        </w:tc>
      </w:tr>
      <w:tr>
        <w:tc>
          <w:tcPr>
            <w:tcW w:type="dxa" w:w="3168"/>
          </w:tcPr>
          <w:p>
            <w:r>
              <w:rPr>
                <w:sz w:val="18"/>
              </w:rPr>
              <w:t>ARPU</w:t>
            </w:r>
          </w:p>
        </w:tc>
        <w:tc>
          <w:tcPr>
            <w:tcW w:type="dxa" w:w="2592"/>
          </w:tcPr>
          <w:p>
            <w:r>
              <w:rPr>
                <w:sz w:val="18"/>
              </w:rPr>
              <w:t>Rp20.000 (one-time)</w:t>
            </w:r>
          </w:p>
        </w:tc>
        <w:tc>
          <w:tcPr>
            <w:tcW w:type="dxa" w:w="2592"/>
          </w:tcPr>
          <w:p>
            <w:r>
              <w:rPr>
                <w:sz w:val="18"/>
              </w:rPr>
              <w:t>Rp2.000.000/tahun</w:t>
            </w:r>
          </w:p>
        </w:tc>
        <w:tc>
          <w:tcPr>
            <w:tcW w:type="dxa" w:w="2592"/>
          </w:tcPr>
          <w:p>
            <w:r>
              <w:rPr>
                <w:sz w:val="18"/>
              </w:rPr>
              <w:t>Rp3.500.000/tahun</w:t>
            </w:r>
          </w:p>
        </w:tc>
      </w:tr>
      <w:tr>
        <w:tc>
          <w:tcPr>
            <w:tcW w:type="dxa" w:w="3168"/>
          </w:tcPr>
          <w:p>
            <w:r>
              <w:rPr>
                <w:sz w:val="18"/>
              </w:rPr>
              <w:t>CAC (Customer Acquisition Cost)</w:t>
            </w:r>
          </w:p>
        </w:tc>
        <w:tc>
          <w:tcPr>
            <w:tcW w:type="dxa" w:w="2592"/>
          </w:tcPr>
          <w:p>
            <w:r>
              <w:rPr>
                <w:sz w:val="18"/>
              </w:rPr>
              <w:t>Rp5.000</w:t>
            </w:r>
          </w:p>
        </w:tc>
        <w:tc>
          <w:tcPr>
            <w:tcW w:type="dxa" w:w="2592"/>
          </w:tcPr>
          <w:p>
            <w:r>
              <w:rPr>
                <w:sz w:val="18"/>
              </w:rPr>
              <w:t>Rp500.000</w:t>
            </w:r>
          </w:p>
        </w:tc>
        <w:tc>
          <w:tcPr>
            <w:tcW w:type="dxa" w:w="2592"/>
          </w:tcPr>
          <w:p>
            <w:r>
              <w:rPr>
                <w:sz w:val="18"/>
              </w:rPr>
              <w:t>Rp750.000</w:t>
            </w:r>
          </w:p>
        </w:tc>
      </w:tr>
      <w:tr>
        <w:tc>
          <w:tcPr>
            <w:tcW w:type="dxa" w:w="3168"/>
          </w:tcPr>
          <w:p>
            <w:r>
              <w:rPr>
                <w:sz w:val="18"/>
              </w:rPr>
              <w:t>LTV (3 tahun)</w:t>
            </w:r>
          </w:p>
        </w:tc>
        <w:tc>
          <w:tcPr>
            <w:tcW w:type="dxa" w:w="2592"/>
          </w:tcPr>
          <w:p>
            <w:r>
              <w:rPr>
                <w:sz w:val="18"/>
              </w:rPr>
              <w:t>Rp40.000</w:t>
            </w:r>
          </w:p>
        </w:tc>
        <w:tc>
          <w:tcPr>
            <w:tcW w:type="dxa" w:w="2592"/>
          </w:tcPr>
          <w:p>
            <w:r>
              <w:rPr>
                <w:sz w:val="18"/>
              </w:rPr>
              <w:t>Rp5.500.000</w:t>
            </w:r>
          </w:p>
        </w:tc>
        <w:tc>
          <w:tcPr>
            <w:tcW w:type="dxa" w:w="2592"/>
          </w:tcPr>
          <w:p>
            <w:r>
              <w:rPr>
                <w:sz w:val="18"/>
              </w:rPr>
              <w:t>Rp9.500.000</w:t>
            </w:r>
          </w:p>
        </w:tc>
      </w:tr>
      <w:tr>
        <w:tc>
          <w:tcPr>
            <w:tcW w:type="dxa" w:w="3168"/>
          </w:tcPr>
          <w:p>
            <w:r>
              <w:rPr>
                <w:sz w:val="18"/>
              </w:rPr>
              <w:t>LTV:CAC Ratio</w:t>
            </w:r>
          </w:p>
        </w:tc>
        <w:tc>
          <w:tcPr>
            <w:tcW w:type="dxa" w:w="2592"/>
          </w:tcPr>
          <w:p>
            <w:r>
              <w:rPr>
                <w:sz w:val="18"/>
              </w:rPr>
              <w:t>8:1</w:t>
            </w:r>
          </w:p>
        </w:tc>
        <w:tc>
          <w:tcPr>
            <w:tcW w:type="dxa" w:w="2592"/>
          </w:tcPr>
          <w:p>
            <w:r>
              <w:rPr>
                <w:sz w:val="18"/>
              </w:rPr>
              <w:t>11:1</w:t>
            </w:r>
          </w:p>
        </w:tc>
        <w:tc>
          <w:tcPr>
            <w:tcW w:type="dxa" w:w="2592"/>
          </w:tcPr>
          <w:p>
            <w:r>
              <w:rPr>
                <w:sz w:val="18"/>
              </w:rPr>
              <w:t>12.7:1</w:t>
            </w:r>
          </w:p>
        </w:tc>
      </w:tr>
      <w:tr>
        <w:tc>
          <w:tcPr>
            <w:tcW w:type="dxa" w:w="3168"/>
          </w:tcPr>
          <w:p>
            <w:r>
              <w:rPr>
                <w:sz w:val="18"/>
              </w:rPr>
              <w:t>Gross Margin</w:t>
            </w:r>
          </w:p>
        </w:tc>
        <w:tc>
          <w:tcPr>
            <w:tcW w:type="dxa" w:w="2592"/>
          </w:tcPr>
          <w:p>
            <w:r>
              <w:rPr>
                <w:sz w:val="18"/>
              </w:rPr>
              <w:t>92%</w:t>
            </w:r>
          </w:p>
        </w:tc>
        <w:tc>
          <w:tcPr>
            <w:tcW w:type="dxa" w:w="2592"/>
          </w:tcPr>
          <w:p>
            <w:r>
              <w:rPr>
                <w:sz w:val="18"/>
              </w:rPr>
              <w:t>85%</w:t>
            </w:r>
          </w:p>
        </w:tc>
        <w:tc>
          <w:tcPr>
            <w:tcW w:type="dxa" w:w="2592"/>
          </w:tcPr>
          <w:p>
            <w:r>
              <w:rPr>
                <w:sz w:val="18"/>
              </w:rPr>
              <w:t>87%</w:t>
            </w:r>
          </w:p>
        </w:tc>
      </w:tr>
      <w:tr>
        <w:tc>
          <w:tcPr>
            <w:tcW w:type="dxa" w:w="3168"/>
          </w:tcPr>
          <w:p>
            <w:r>
              <w:rPr>
                <w:sz w:val="18"/>
              </w:rPr>
              <w:t>Payback Period</w:t>
            </w:r>
          </w:p>
        </w:tc>
        <w:tc>
          <w:tcPr>
            <w:tcW w:type="dxa" w:w="2592"/>
          </w:tcPr>
          <w:p>
            <w:r>
              <w:rPr>
                <w:sz w:val="18"/>
              </w:rPr>
              <w:t>Instant</w:t>
            </w:r>
          </w:p>
        </w:tc>
        <w:tc>
          <w:tcPr>
            <w:tcW w:type="dxa" w:w="2592"/>
          </w:tcPr>
          <w:p>
            <w:r>
              <w:rPr>
                <w:sz w:val="18"/>
              </w:rPr>
              <w:t>3 bulan</w:t>
            </w:r>
          </w:p>
        </w:tc>
        <w:tc>
          <w:tcPr>
            <w:tcW w:type="dxa" w:w="2592"/>
          </w:tcPr>
          <w:p>
            <w:r>
              <w:rPr>
                <w:sz w:val="18"/>
              </w:rPr>
              <w:t>2.5 bulan</w:t>
            </w:r>
          </w:p>
        </w:tc>
      </w:tr>
    </w:tbl>
    <w:p>
      <w:pPr>
        <w:pStyle w:val="Heading2"/>
      </w:pPr>
      <w:r>
        <w:t>5.4 Path to Profitability</w:t>
      </w:r>
    </w:p>
    <w:p>
      <w:r>
        <w:t>Dengan struktur biaya berbasis cloud (AWS/GCP) yang scale with usage, LangkahKampus mencapai breakeven pada bulan ke-8 operasional dengan asumsi 15.000 B2C transactions dan 50 B2B subscriptions. Fixed costs utama: 3 engineer (Rp45 juta/bulan total), cloud infrastructure (Rp15 juta/bulan initial), dan marketing (Rp20 juta/bulan). Variable costs minimal karena ML inference cost per prediction &lt; Rp100. Monthly burn rate di tahap awal: Rp80 juta. Target revenue Month 8: Rp85 juta. Setelah breakeven, contribution margin &gt;88% memungkinkan aggressive reinvestment ke growth tanpa tambahan funding round.</w:t>
      </w:r>
    </w:p>
    <w:p>
      <w:r>
        <w:br w:type="page"/>
      </w:r>
    </w:p>
    <w:p>
      <w:pPr>
        <w:pStyle w:val="Heading1"/>
      </w:pPr>
      <w:r>
        <w:t>6. TEKNOLOGI YANG DIGUNAKAN</w:t>
      </w:r>
    </w:p>
    <w:p>
      <w:pPr>
        <w:pStyle w:val="Heading2"/>
      </w:pPr>
      <w:r>
        <w:t>6.1 Arsitektur Sistem</w:t>
      </w:r>
    </w:p>
    <w:p>
      <w:r>
        <w:t>LangkahKampus dibangun di atas arsitektur microservices yang memisahkan concern antara user-facing application, business logic, dan ML inference. Arsitektur ini dipilih untuk memungkinkan independent scaling dari ML service (yang memiliki burst traffic pattern saat mendekati deadline SNBP) tanpa mempengaruhi core application availability.</w:t>
      </w:r>
    </w:p>
    <w:p>
      <w:pPr>
        <w:pStyle w:val="ListBullet"/>
      </w:pPr>
      <w:r>
        <w:rPr>
          <w:b/>
        </w:rPr>
        <w:t xml:space="preserve">Frontend: </w:t>
      </w:r>
      <w:r>
        <w:t xml:space="preserve"> Next.js 14 (React) dengan App Router, Tailwind CSS untuk styling, dan shadcn/ui component library. Server-side rendering (SSR) untuk SEO dan initial load performance. Progressive Web App (PWA) enabled untuk mobile experience.</w:t>
      </w:r>
    </w:p>
    <w:p>
      <w:pPr>
        <w:pStyle w:val="ListBullet"/>
      </w:pPr>
      <w:r>
        <w:rPr>
          <w:b/>
        </w:rPr>
        <w:t xml:space="preserve">API Gateway: </w:t>
      </w:r>
      <w:r>
        <w:t xml:space="preserve"> Node.js/Express.js sebagai API gateway yang menangani authentication (JWT + OAuth2), rate limiting, request validation, dan routing. GraphQL endpoint untuk flexible data fetching dari frontend.</w:t>
      </w:r>
    </w:p>
    <w:p>
      <w:pPr>
        <w:pStyle w:val="ListBullet"/>
      </w:pPr>
      <w:r>
        <w:rPr>
          <w:b/>
        </w:rPr>
        <w:t xml:space="preserve">ML Microservice: </w:t>
      </w:r>
      <w:r>
        <w:t xml:space="preserve"> FastAPI (Python 3.11) service yang hosting trained ML models. Async inference endpoints dengan connection pooling. Model serving via ONNX Runtime untuk optimized inference speed (&lt;100ms per prediction).</w:t>
      </w:r>
    </w:p>
    <w:p>
      <w:pPr>
        <w:pStyle w:val="ListBullet"/>
      </w:pPr>
      <w:r>
        <w:rPr>
          <w:b/>
        </w:rPr>
        <w:t xml:space="preserve">Data Layer: </w:t>
      </w:r>
      <w:r>
        <w:t xml:space="preserve"> PostgreSQL 16 sebagai primary datastore (relational data, user profiles, historical admission records). Redis untuk session caching, rate limiting counters, dan real-time collaboration state (Anti-Bentrok). Elasticsearch untuk full-text search program studi.</w:t>
      </w:r>
    </w:p>
    <w:p>
      <w:pPr>
        <w:pStyle w:val="ListBullet"/>
      </w:pPr>
      <w:r>
        <w:rPr>
          <w:b/>
        </w:rPr>
        <w:t xml:space="preserve">Infrastructure: </w:t>
      </w:r>
      <w:r>
        <w:t xml:space="preserve"> Docker containers orchestrated via Kubernetes (GKE) untuk production. CI/CD via GitHub Actions. Monitoring stack: Prometheus + Grafana. Log aggregation: Loki. Error tracking: Sentry.</w:t>
      </w:r>
    </w:p>
    <w:p>
      <w:pPr>
        <w:pStyle w:val="Heading2"/>
      </w:pPr>
      <w:r>
        <w:t>6.2 Comparative Analysis: ML Model Selection</w:t>
      </w:r>
    </w:p>
    <w:p>
      <w:r>
        <w:t>Pemilihan model ML dilakukan berdasarkan systematic evaluation terhadap empat kandidat arsitektur pada dataset proxy (historical admission data dari 3 universitas partner, ~50K records):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728"/>
            <w:shd w:fill="2E4057" w:val="clear"/>
          </w:tcPr>
          <w:p>
            <w:r>
              <w:rPr>
                <w:b/>
                <w:color w:val="FFFFFF"/>
                <w:sz w:val="18"/>
              </w:rPr>
              <w:t>Model</w:t>
            </w:r>
          </w:p>
        </w:tc>
        <w:tc>
          <w:tcPr>
            <w:tcW w:type="dxa" w:w="1440"/>
            <w:shd w:fill="2E4057" w:val="clear"/>
          </w:tcPr>
          <w:p>
            <w:r>
              <w:rPr>
                <w:b/>
                <w:color w:val="FFFFFF"/>
                <w:sz w:val="18"/>
              </w:rPr>
              <w:t>AUC-ROC</w:t>
            </w:r>
          </w:p>
        </w:tc>
        <w:tc>
          <w:tcPr>
            <w:tcW w:type="dxa" w:w="1440"/>
            <w:shd w:fill="2E4057" w:val="clear"/>
          </w:tcPr>
          <w:p>
            <w:r>
              <w:rPr>
                <w:b/>
                <w:color w:val="FFFFFF"/>
                <w:sz w:val="18"/>
              </w:rPr>
              <w:t>F1-Score</w:t>
            </w:r>
          </w:p>
        </w:tc>
        <w:tc>
          <w:tcPr>
            <w:tcW w:type="dxa" w:w="1728"/>
            <w:shd w:fill="2E4057" w:val="clear"/>
          </w:tcPr>
          <w:p>
            <w:r>
              <w:rPr>
                <w:b/>
                <w:color w:val="FFFFFF"/>
                <w:sz w:val="18"/>
              </w:rPr>
              <w:t>Inference Time</w:t>
            </w:r>
          </w:p>
        </w:tc>
        <w:tc>
          <w:tcPr>
            <w:tcW w:type="dxa" w:w="2160"/>
            <w:shd w:fill="2E4057" w:val="clear"/>
          </w:tcPr>
          <w:p>
            <w:r>
              <w:rPr>
                <w:b/>
                <w:color w:val="FFFFFF"/>
                <w:sz w:val="18"/>
              </w:rPr>
              <w:t>Interpretability</w:t>
            </w:r>
          </w:p>
        </w:tc>
        <w:tc>
          <w:tcPr>
            <w:tcW w:type="dxa" w:w="2448"/>
            <w:shd w:fill="2E4057" w:val="clear"/>
          </w:tcPr>
          <w:p>
            <w:r>
              <w:rPr>
                <w:b/>
                <w:color w:val="FFFFFF"/>
                <w:sz w:val="18"/>
              </w:rPr>
              <w:t>Keputusan</w:t>
            </w:r>
          </w:p>
        </w:tc>
      </w:tr>
      <w:tr>
        <w:tc>
          <w:tcPr>
            <w:tcW w:type="dxa" w:w="1728"/>
          </w:tcPr>
          <w:p>
            <w:r>
              <w:rPr>
                <w:sz w:val="18"/>
              </w:rPr>
              <w:t>XGBoost [5]</w:t>
            </w:r>
          </w:p>
        </w:tc>
        <w:tc>
          <w:tcPr>
            <w:tcW w:type="dxa" w:w="1440"/>
          </w:tcPr>
          <w:p>
            <w:r>
              <w:rPr>
                <w:sz w:val="18"/>
              </w:rPr>
              <w:t>0.89</w:t>
            </w:r>
          </w:p>
        </w:tc>
        <w:tc>
          <w:tcPr>
            <w:tcW w:type="dxa" w:w="1440"/>
          </w:tcPr>
          <w:p>
            <w:r>
              <w:rPr>
                <w:sz w:val="18"/>
              </w:rPr>
              <w:t>0.84</w:t>
            </w:r>
          </w:p>
        </w:tc>
        <w:tc>
          <w:tcPr>
            <w:tcW w:type="dxa" w:w="1728"/>
          </w:tcPr>
          <w:p>
            <w:r>
              <w:rPr>
                <w:sz w:val="18"/>
              </w:rPr>
              <w:t>2ms</w:t>
            </w:r>
          </w:p>
        </w:tc>
        <w:tc>
          <w:tcPr>
            <w:tcW w:type="dxa" w:w="2160"/>
          </w:tcPr>
          <w:p>
            <w:r>
              <w:rPr>
                <w:sz w:val="18"/>
              </w:rPr>
              <w:t>High (SHAP native)</w:t>
            </w:r>
          </w:p>
        </w:tc>
        <w:tc>
          <w:tcPr>
            <w:tcW w:type="dxa" w:w="2448"/>
          </w:tcPr>
          <w:p>
            <w:r>
              <w:rPr>
                <w:sz w:val="18"/>
              </w:rPr>
              <w:t>Selected (ensemble)</w:t>
            </w:r>
          </w:p>
        </w:tc>
      </w:tr>
      <w:tr>
        <w:tc>
          <w:tcPr>
            <w:tcW w:type="dxa" w:w="1728"/>
          </w:tcPr>
          <w:p>
            <w:r>
              <w:rPr>
                <w:sz w:val="18"/>
              </w:rPr>
              <w:t>LightGBM [6]</w:t>
            </w:r>
          </w:p>
        </w:tc>
        <w:tc>
          <w:tcPr>
            <w:tcW w:type="dxa" w:w="1440"/>
          </w:tcPr>
          <w:p>
            <w:r>
              <w:rPr>
                <w:sz w:val="18"/>
              </w:rPr>
              <w:t>0.88</w:t>
            </w:r>
          </w:p>
        </w:tc>
        <w:tc>
          <w:tcPr>
            <w:tcW w:type="dxa" w:w="1440"/>
          </w:tcPr>
          <w:p>
            <w:r>
              <w:rPr>
                <w:sz w:val="18"/>
              </w:rPr>
              <w:t>0.83</w:t>
            </w:r>
          </w:p>
        </w:tc>
        <w:tc>
          <w:tcPr>
            <w:tcW w:type="dxa" w:w="1728"/>
          </w:tcPr>
          <w:p>
            <w:r>
              <w:rPr>
                <w:sz w:val="18"/>
              </w:rPr>
              <w:t>1.5ms</w:t>
            </w:r>
          </w:p>
        </w:tc>
        <w:tc>
          <w:tcPr>
            <w:tcW w:type="dxa" w:w="2160"/>
          </w:tcPr>
          <w:p>
            <w:r>
              <w:rPr>
                <w:sz w:val="18"/>
              </w:rPr>
              <w:t>High (SHAP native)</w:t>
            </w:r>
          </w:p>
        </w:tc>
        <w:tc>
          <w:tcPr>
            <w:tcW w:type="dxa" w:w="2448"/>
          </w:tcPr>
          <w:p>
            <w:r>
              <w:rPr>
                <w:sz w:val="18"/>
              </w:rPr>
              <w:t>Selected (ensemble)</w:t>
            </w:r>
          </w:p>
        </w:tc>
      </w:tr>
      <w:tr>
        <w:tc>
          <w:tcPr>
            <w:tcW w:type="dxa" w:w="1728"/>
          </w:tcPr>
          <w:p>
            <w:r>
              <w:rPr>
                <w:sz w:val="18"/>
              </w:rPr>
              <w:t>TabNet</w:t>
            </w:r>
          </w:p>
        </w:tc>
        <w:tc>
          <w:tcPr>
            <w:tcW w:type="dxa" w:w="1440"/>
          </w:tcPr>
          <w:p>
            <w:r>
              <w:rPr>
                <w:sz w:val="18"/>
              </w:rPr>
              <w:t>0.86</w:t>
            </w:r>
          </w:p>
        </w:tc>
        <w:tc>
          <w:tcPr>
            <w:tcW w:type="dxa" w:w="1440"/>
          </w:tcPr>
          <w:p>
            <w:r>
              <w:rPr>
                <w:sz w:val="18"/>
              </w:rPr>
              <w:t>0.81</w:t>
            </w:r>
          </w:p>
        </w:tc>
        <w:tc>
          <w:tcPr>
            <w:tcW w:type="dxa" w:w="1728"/>
          </w:tcPr>
          <w:p>
            <w:r>
              <w:rPr>
                <w:sz w:val="18"/>
              </w:rPr>
              <w:t>15ms</w:t>
            </w:r>
          </w:p>
        </w:tc>
        <w:tc>
          <w:tcPr>
            <w:tcW w:type="dxa" w:w="2160"/>
          </w:tcPr>
          <w:p>
            <w:r>
              <w:rPr>
                <w:sz w:val="18"/>
              </w:rPr>
              <w:t>Medium (attention)</w:t>
            </w:r>
          </w:p>
        </w:tc>
        <w:tc>
          <w:tcPr>
            <w:tcW w:type="dxa" w:w="2448"/>
          </w:tcPr>
          <w:p>
            <w:r>
              <w:rPr>
                <w:sz w:val="18"/>
              </w:rPr>
              <w:t>Rejected (speed)</w:t>
            </w:r>
          </w:p>
        </w:tc>
      </w:tr>
      <w:tr>
        <w:tc>
          <w:tcPr>
            <w:tcW w:type="dxa" w:w="1728"/>
          </w:tcPr>
          <w:p>
            <w:r>
              <w:rPr>
                <w:sz w:val="18"/>
              </w:rPr>
              <w:t>TabPFN [7]</w:t>
            </w:r>
          </w:p>
        </w:tc>
        <w:tc>
          <w:tcPr>
            <w:tcW w:type="dxa" w:w="1440"/>
          </w:tcPr>
          <w:p>
            <w:r>
              <w:rPr>
                <w:sz w:val="18"/>
              </w:rPr>
              <w:t>0.87</w:t>
            </w:r>
          </w:p>
        </w:tc>
        <w:tc>
          <w:tcPr>
            <w:tcW w:type="dxa" w:w="1440"/>
          </w:tcPr>
          <w:p>
            <w:r>
              <w:rPr>
                <w:sz w:val="18"/>
              </w:rPr>
              <w:t>0.82</w:t>
            </w:r>
          </w:p>
        </w:tc>
        <w:tc>
          <w:tcPr>
            <w:tcW w:type="dxa" w:w="1728"/>
          </w:tcPr>
          <w:p>
            <w:r>
              <w:rPr>
                <w:sz w:val="18"/>
              </w:rPr>
              <w:t>50ms</w:t>
            </w:r>
          </w:p>
        </w:tc>
        <w:tc>
          <w:tcPr>
            <w:tcW w:type="dxa" w:w="2160"/>
          </w:tcPr>
          <w:p>
            <w:r>
              <w:rPr>
                <w:sz w:val="18"/>
              </w:rPr>
              <w:t>Low (black-box)</w:t>
            </w:r>
          </w:p>
        </w:tc>
        <w:tc>
          <w:tcPr>
            <w:tcW w:type="dxa" w:w="2448"/>
          </w:tcPr>
          <w:p>
            <w:r>
              <w:rPr>
                <w:sz w:val="18"/>
              </w:rPr>
              <w:t>Rejected (latency)</w:t>
            </w:r>
          </w:p>
        </w:tc>
      </w:tr>
    </w:tbl>
    <w:p>
      <w:r>
        <w:t>Keputusan final: ensemble stacking XGBoost + LightGBM dengan meta-learner Logistic Regression. Approach ini menghasilkan AUC-ROC 0.91 (improvement +2% dari single best model) sambil mempertahankan inference time &lt;5ms dan full SHAP compatibility. TabNet dan TabPFN ditolak karena tradeoff antara marginal accuracy gain vs significant inference latency increase yang tidak acceptable untuk real-time user experience.</w:t>
      </w:r>
    </w:p>
    <w:p/>
    <w:p>
      <w:pPr>
        <w:jc w:val="center"/>
      </w:pPr>
      <w:r>
        <w:drawing>
          <wp:inline xmlns:a="http://schemas.openxmlformats.org/drawingml/2006/main" xmlns:pic="http://schemas.openxmlformats.org/drawingml/2006/picture">
            <wp:extent cx="4572000" cy="2828081"/>
            <wp:docPr id="5" name="Picture 5"/>
            <wp:cNvGraphicFramePr>
              <a:graphicFrameLocks noChangeAspect="1"/>
            </wp:cNvGraphicFramePr>
            <a:graphic>
              <a:graphicData uri="http://schemas.openxmlformats.org/drawingml/2006/picture">
                <pic:pic>
                  <pic:nvPicPr>
                    <pic:cNvPr id="0" name="ml_model_comparison.png"/>
                    <pic:cNvPicPr/>
                  </pic:nvPicPr>
                  <pic:blipFill>
                    <a:blip r:embed="rId13"/>
                    <a:stretch>
                      <a:fillRect/>
                    </a:stretch>
                  </pic:blipFill>
                  <pic:spPr>
                    <a:xfrm>
                      <a:off x="0" y="0"/>
                      <a:ext cx="4572000" cy="2828081"/>
                    </a:xfrm>
                    <a:prstGeom prst="rect"/>
                  </pic:spPr>
                </pic:pic>
              </a:graphicData>
            </a:graphic>
          </wp:inline>
        </w:drawing>
      </w:r>
    </w:p>
    <w:p>
      <w:pPr>
        <w:spacing w:before="40" w:after="160"/>
        <w:jc w:val="center"/>
      </w:pPr>
      <w:r>
        <w:rPr>
          <w:i/>
          <w:color w:val="555555"/>
          <w:sz w:val="18"/>
        </w:rPr>
        <w:t>Gambar 6.1: Perbandingan Model ML pada SNBP Prediction Task (Sumber: Internal Benchmark [5][6][7])</w:t>
      </w:r>
    </w:p>
    <w:p>
      <w:pPr>
        <w:pStyle w:val="Heading2"/>
      </w:pPr>
      <w:r>
        <w:t>6.3 Explainable AI (XAI) Framework Comparison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440"/>
            <w:shd w:fill="2E4057" w:val="clear"/>
          </w:tcPr>
          <w:p>
            <w:r>
              <w:rPr>
                <w:b/>
                <w:color w:val="FFFFFF"/>
                <w:sz w:val="18"/>
              </w:rPr>
              <w:t>Framework</w:t>
            </w:r>
          </w:p>
        </w:tc>
        <w:tc>
          <w:tcPr>
            <w:tcW w:type="dxa" w:w="2160"/>
            <w:shd w:fill="2E4057" w:val="clear"/>
          </w:tcPr>
          <w:p>
            <w:r>
              <w:rPr>
                <w:b/>
                <w:color w:val="FFFFFF"/>
                <w:sz w:val="18"/>
              </w:rPr>
              <w:t>Type</w:t>
            </w:r>
          </w:p>
        </w:tc>
        <w:tc>
          <w:tcPr>
            <w:tcW w:type="dxa" w:w="1728"/>
            <w:shd w:fill="2E4057" w:val="clear"/>
          </w:tcPr>
          <w:p>
            <w:r>
              <w:rPr>
                <w:b/>
                <w:color w:val="FFFFFF"/>
                <w:sz w:val="18"/>
              </w:rPr>
              <w:t>Scope</w:t>
            </w:r>
          </w:p>
        </w:tc>
        <w:tc>
          <w:tcPr>
            <w:tcW w:type="dxa" w:w="1728"/>
            <w:shd w:fill="2E4057" w:val="clear"/>
          </w:tcPr>
          <w:p>
            <w:r>
              <w:rPr>
                <w:b/>
                <w:color w:val="FFFFFF"/>
                <w:sz w:val="18"/>
              </w:rPr>
              <w:t>Speed</w:t>
            </w:r>
          </w:p>
        </w:tc>
        <w:tc>
          <w:tcPr>
            <w:tcW w:type="dxa" w:w="3600"/>
            <w:shd w:fill="2E4057" w:val="clear"/>
          </w:tcPr>
          <w:p>
            <w:r>
              <w:rPr>
                <w:b/>
                <w:color w:val="FFFFFF"/>
                <w:sz w:val="18"/>
              </w:rPr>
              <w:t>Use Case di LangkahKampus</w:t>
            </w:r>
          </w:p>
        </w:tc>
      </w:tr>
      <w:tr>
        <w:tc>
          <w:tcPr>
            <w:tcW w:type="dxa" w:w="1440"/>
          </w:tcPr>
          <w:p>
            <w:r>
              <w:rPr>
                <w:sz w:val="18"/>
              </w:rPr>
              <w:t>SHAP [9]</w:t>
            </w:r>
          </w:p>
        </w:tc>
        <w:tc>
          <w:tcPr>
            <w:tcW w:type="dxa" w:w="2160"/>
          </w:tcPr>
          <w:p>
            <w:r>
              <w:rPr>
                <w:sz w:val="18"/>
              </w:rPr>
              <w:t>Additive Attribution</w:t>
            </w:r>
          </w:p>
        </w:tc>
        <w:tc>
          <w:tcPr>
            <w:tcW w:type="dxa" w:w="1728"/>
          </w:tcPr>
          <w:p>
            <w:r>
              <w:rPr>
                <w:sz w:val="18"/>
              </w:rPr>
              <w:t>Local + Global</w:t>
            </w:r>
          </w:p>
        </w:tc>
        <w:tc>
          <w:tcPr>
            <w:tcW w:type="dxa" w:w="1728"/>
          </w:tcPr>
          <w:p>
            <w:r>
              <w:rPr>
                <w:sz w:val="18"/>
              </w:rPr>
              <w:t>Medium (100ms)</w:t>
            </w:r>
          </w:p>
        </w:tc>
        <w:tc>
          <w:tcPr>
            <w:tcW w:type="dxa" w:w="3600"/>
          </w:tcPr>
          <w:p>
            <w:r>
              <w:rPr>
                <w:sz w:val="18"/>
              </w:rPr>
              <w:t>Feature importance per prediksi (mengapa peluang rendah/tinggi)</w:t>
            </w:r>
          </w:p>
        </w:tc>
      </w:tr>
      <w:tr>
        <w:tc>
          <w:tcPr>
            <w:tcW w:type="dxa" w:w="1440"/>
          </w:tcPr>
          <w:p>
            <w:r>
              <w:rPr>
                <w:sz w:val="18"/>
              </w:rPr>
              <w:t>LIME [11]</w:t>
            </w:r>
          </w:p>
        </w:tc>
        <w:tc>
          <w:tcPr>
            <w:tcW w:type="dxa" w:w="2160"/>
          </w:tcPr>
          <w:p>
            <w:r>
              <w:rPr>
                <w:sz w:val="18"/>
              </w:rPr>
              <w:t>Local Surrogate</w:t>
            </w:r>
          </w:p>
        </w:tc>
        <w:tc>
          <w:tcPr>
            <w:tcW w:type="dxa" w:w="1728"/>
          </w:tcPr>
          <w:p>
            <w:r>
              <w:rPr>
                <w:sz w:val="18"/>
              </w:rPr>
              <w:t>Local only</w:t>
            </w:r>
          </w:p>
        </w:tc>
        <w:tc>
          <w:tcPr>
            <w:tcW w:type="dxa" w:w="1728"/>
          </w:tcPr>
          <w:p>
            <w:r>
              <w:rPr>
                <w:sz w:val="18"/>
              </w:rPr>
              <w:t>Fast (30ms)</w:t>
            </w:r>
          </w:p>
        </w:tc>
        <w:tc>
          <w:tcPr>
            <w:tcW w:type="dxa" w:w="3600"/>
          </w:tcPr>
          <w:p>
            <w:r>
              <w:rPr>
                <w:sz w:val="18"/>
              </w:rPr>
              <w:t>Simplified explanation untuk non-technical users</w:t>
            </w:r>
          </w:p>
        </w:tc>
      </w:tr>
      <w:tr>
        <w:tc>
          <w:tcPr>
            <w:tcW w:type="dxa" w:w="1440"/>
          </w:tcPr>
          <w:p>
            <w:r>
              <w:rPr>
                <w:sz w:val="18"/>
              </w:rPr>
              <w:t>DiCE [8]</w:t>
            </w:r>
          </w:p>
        </w:tc>
        <w:tc>
          <w:tcPr>
            <w:tcW w:type="dxa" w:w="2160"/>
          </w:tcPr>
          <w:p>
            <w:r>
              <w:rPr>
                <w:sz w:val="18"/>
              </w:rPr>
              <w:t>Counterfactual Generation</w:t>
            </w:r>
          </w:p>
        </w:tc>
        <w:tc>
          <w:tcPr>
            <w:tcW w:type="dxa" w:w="1728"/>
          </w:tcPr>
          <w:p>
            <w:r>
              <w:rPr>
                <w:sz w:val="18"/>
              </w:rPr>
              <w:t>Local</w:t>
            </w:r>
          </w:p>
        </w:tc>
        <w:tc>
          <w:tcPr>
            <w:tcW w:type="dxa" w:w="1728"/>
          </w:tcPr>
          <w:p>
            <w:r>
              <w:rPr>
                <w:sz w:val="18"/>
              </w:rPr>
              <w:t>Slow (500ms)</w:t>
            </w:r>
          </w:p>
        </w:tc>
        <w:tc>
          <w:tcPr>
            <w:tcW w:type="dxa" w:w="3600"/>
          </w:tcPr>
          <w:p>
            <w:r>
              <w:rPr>
                <w:sz w:val="18"/>
              </w:rPr>
              <w:t>What-if alternatives (apa yang bisa diubah untuk meningkatkan peluang)</w:t>
            </w:r>
          </w:p>
        </w:tc>
      </w:tr>
    </w:tbl>
    <w:p>
      <w:r>
        <w:t>LangkahKampus mengimplementasikan ketiga framework secara complementary: SHAP untuk detailed breakdown yang ditampilkan sebagai waterfall chart, LIME untuk simplified natural-language explanation ke siswa, dan DiCE untuk generating actionable counterfactual recommendations. Ketiga output disajikan dalam UI yang unified sehingga user dapat navigate dari high-level summary ke granular detail sesuai kebutuhan.</w:t>
      </w:r>
    </w:p>
    <w:p/>
    <w:p>
      <w:pPr>
        <w:jc w:val="center"/>
      </w:pPr>
      <w:r>
        <w:drawing>
          <wp:inline xmlns:a="http://schemas.openxmlformats.org/drawingml/2006/main" xmlns:pic="http://schemas.openxmlformats.org/drawingml/2006/picture">
            <wp:extent cx="4572000" cy="1872904"/>
            <wp:docPr id="6" name="Picture 6"/>
            <wp:cNvGraphicFramePr>
              <a:graphicFrameLocks noChangeAspect="1"/>
            </wp:cNvGraphicFramePr>
            <a:graphic>
              <a:graphicData uri="http://schemas.openxmlformats.org/drawingml/2006/picture">
                <pic:pic>
                  <pic:nvPicPr>
                    <pic:cNvPr id="0" name="xai_framework_comparison.png"/>
                    <pic:cNvPicPr/>
                  </pic:nvPicPr>
                  <pic:blipFill>
                    <a:blip r:embed="rId14"/>
                    <a:stretch>
                      <a:fillRect/>
                    </a:stretch>
                  </pic:blipFill>
                  <pic:spPr>
                    <a:xfrm>
                      <a:off x="0" y="0"/>
                      <a:ext cx="4572000" cy="1872904"/>
                    </a:xfrm>
                    <a:prstGeom prst="rect"/>
                  </pic:spPr>
                </pic:pic>
              </a:graphicData>
            </a:graphic>
          </wp:inline>
        </w:drawing>
      </w:r>
    </w:p>
    <w:p>
      <w:pPr>
        <w:spacing w:before="40" w:after="160"/>
        <w:jc w:val="center"/>
      </w:pPr>
      <w:r>
        <w:rPr>
          <w:i/>
          <w:color w:val="555555"/>
          <w:sz w:val="18"/>
        </w:rPr>
        <w:t>Gambar 6.2: Perbandingan Framework XAI - SHAP, LIME, dan DiCE (Sumber: Lundberg &amp; Lee 2017 [9], Ribeiro et al. 2016 [11], Mothilal et al. 2020 [8])</w:t>
      </w:r>
    </w:p>
    <w:p>
      <w:pPr>
        <w:pStyle w:val="Heading2"/>
      </w:pPr>
      <w:r>
        <w:t>6.4 Data Pipeline dan Feature Engineering</w:t>
      </w:r>
    </w:p>
    <w:p>
      <w:r>
        <w:t>Pipeline data LangkahKampus memproses data dari multiple sources: (a) data SNBP historis yang di-scrape dari publikasi resmi LTMPT, (b) data akreditasi sekolah dari BAN-S/M, (c) data program studi dari PDDikti, dan (d) user-submitted data (nilai rapor, preferensi). Feature engineering pipeline menghasilkan 47 features yang di-group menjadi: academic features (20), school features (12), program features (10), dan interaction features (5). Pipeline dijalankan menggunakan Apache Airflow dengan scheduling mingguan untuk data refresh dan real-time stream processing untuk user-submitted data via Apache Kafka.</w:t>
      </w:r>
    </w:p>
    <w:p>
      <w:r>
        <w:br w:type="page"/>
      </w:r>
    </w:p>
    <w:p>
      <w:pPr>
        <w:pStyle w:val="Heading1"/>
      </w:pPr>
      <w:r>
        <w:t>7. ANALISIS KEUNGGULAN</w:t>
      </w:r>
    </w:p>
    <w:p>
      <w:pPr>
        <w:pStyle w:val="Heading2"/>
      </w:pPr>
      <w:r>
        <w:t>7.1 Competitive Landscape Analysis</w:t>
      </w:r>
    </w:p>
    <w:p>
      <w:r>
        <w:t>Berikut adalah perbandingan komprehensif LangkahKampus dengan pemain existing di ekosistem edtech dan informasi penerimaan mahasiswa Indonesia:</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880"/>
            <w:shd w:fill="2E4057" w:val="clear"/>
          </w:tcPr>
          <w:p>
            <w:r>
              <w:rPr>
                <w:b/>
                <w:color w:val="FFFFFF"/>
                <w:sz w:val="18"/>
              </w:rPr>
              <w:t>Fitur</w:t>
            </w:r>
          </w:p>
        </w:tc>
        <w:tc>
          <w:tcPr>
            <w:tcW w:type="dxa" w:w="2160"/>
            <w:shd w:fill="2E4057" w:val="clear"/>
          </w:tcPr>
          <w:p>
            <w:r>
              <w:rPr>
                <w:b/>
                <w:color w:val="FFFFFF"/>
                <w:sz w:val="18"/>
              </w:rPr>
              <w:t>LangkahKampus</w:t>
            </w:r>
          </w:p>
        </w:tc>
        <w:tc>
          <w:tcPr>
            <w:tcW w:type="dxa" w:w="1872"/>
            <w:shd w:fill="2E4057" w:val="clear"/>
          </w:tcPr>
          <w:p>
            <w:r>
              <w:rPr>
                <w:b/>
                <w:color w:val="FFFFFF"/>
                <w:sz w:val="18"/>
              </w:rPr>
              <w:t>Ruangguru</w:t>
            </w:r>
          </w:p>
        </w:tc>
        <w:tc>
          <w:tcPr>
            <w:tcW w:type="dxa" w:w="1872"/>
            <w:shd w:fill="2E4057" w:val="clear"/>
          </w:tcPr>
          <w:p>
            <w:r>
              <w:rPr>
                <w:b/>
                <w:color w:val="FFFFFF"/>
                <w:sz w:val="18"/>
              </w:rPr>
              <w:t>Aku Pintar</w:t>
            </w:r>
          </w:p>
        </w:tc>
        <w:tc>
          <w:tcPr>
            <w:tcW w:type="dxa" w:w="2160"/>
            <w:shd w:fill="2E4057" w:val="clear"/>
          </w:tcPr>
          <w:p>
            <w:r>
              <w:rPr>
                <w:b/>
                <w:color w:val="FFFFFF"/>
                <w:sz w:val="18"/>
              </w:rPr>
              <w:t>Portal SNBP (Gov)</w:t>
            </w:r>
          </w:p>
        </w:tc>
      </w:tr>
      <w:tr>
        <w:tc>
          <w:tcPr>
            <w:tcW w:type="dxa" w:w="2880"/>
          </w:tcPr>
          <w:p>
            <w:r>
              <w:rPr>
                <w:sz w:val="18"/>
              </w:rPr>
              <w:t>ML Probability Scoring</w:t>
            </w:r>
          </w:p>
        </w:tc>
        <w:tc>
          <w:tcPr>
            <w:tcW w:type="dxa" w:w="2160"/>
          </w:tcPr>
          <w:p>
            <w:r>
              <w:rPr>
                <w:sz w:val="18"/>
              </w:rPr>
              <w:t>Ya (ensemble)</w:t>
            </w:r>
          </w:p>
        </w:tc>
        <w:tc>
          <w:tcPr>
            <w:tcW w:type="dxa" w:w="1872"/>
          </w:tcPr>
          <w:p>
            <w:r>
              <w:rPr>
                <w:sz w:val="18"/>
              </w:rPr>
              <w:t>Tidak</w:t>
            </w:r>
          </w:p>
        </w:tc>
        <w:tc>
          <w:tcPr>
            <w:tcW w:type="dxa" w:w="1872"/>
          </w:tcPr>
          <w:p>
            <w:r>
              <w:rPr>
                <w:sz w:val="18"/>
              </w:rPr>
              <w:t>Basic (rule-based)</w:t>
            </w:r>
          </w:p>
        </w:tc>
        <w:tc>
          <w:tcPr>
            <w:tcW w:type="dxa" w:w="2160"/>
          </w:tcPr>
          <w:p>
            <w:r>
              <w:rPr>
                <w:sz w:val="18"/>
              </w:rPr>
              <w:t>Tidak</w:t>
            </w:r>
          </w:p>
        </w:tc>
      </w:tr>
      <w:tr>
        <w:tc>
          <w:tcPr>
            <w:tcW w:type="dxa" w:w="2880"/>
          </w:tcPr>
          <w:p>
            <w:r>
              <w:rPr>
                <w:sz w:val="18"/>
              </w:rPr>
              <w:t>Counterfactual Recommendations</w:t>
            </w:r>
          </w:p>
        </w:tc>
        <w:tc>
          <w:tcPr>
            <w:tcW w:type="dxa" w:w="2160"/>
          </w:tcPr>
          <w:p>
            <w:r>
              <w:rPr>
                <w:sz w:val="18"/>
              </w:rPr>
              <w:t>Ya (DiCE)</w:t>
            </w:r>
          </w:p>
        </w:tc>
        <w:tc>
          <w:tcPr>
            <w:tcW w:type="dxa" w:w="1872"/>
          </w:tcPr>
          <w:p>
            <w:r>
              <w:rPr>
                <w:sz w:val="18"/>
              </w:rPr>
              <w:t>Tidak</w:t>
            </w:r>
          </w:p>
        </w:tc>
        <w:tc>
          <w:tcPr>
            <w:tcW w:type="dxa" w:w="1872"/>
          </w:tcPr>
          <w:p>
            <w:r>
              <w:rPr>
                <w:sz w:val="18"/>
              </w:rPr>
              <w:t>Tidak</w:t>
            </w:r>
          </w:p>
        </w:tc>
        <w:tc>
          <w:tcPr>
            <w:tcW w:type="dxa" w:w="2160"/>
          </w:tcPr>
          <w:p>
            <w:r>
              <w:rPr>
                <w:sz w:val="18"/>
              </w:rPr>
              <w:t>Tidak</w:t>
            </w:r>
          </w:p>
        </w:tc>
      </w:tr>
      <w:tr>
        <w:tc>
          <w:tcPr>
            <w:tcW w:type="dxa" w:w="2880"/>
          </w:tcPr>
          <w:p>
            <w:r>
              <w:rPr>
                <w:sz w:val="18"/>
              </w:rPr>
              <w:t>Anti-Bentrok De-Confliction</w:t>
            </w:r>
          </w:p>
        </w:tc>
        <w:tc>
          <w:tcPr>
            <w:tcW w:type="dxa" w:w="2160"/>
          </w:tcPr>
          <w:p>
            <w:r>
              <w:rPr>
                <w:sz w:val="18"/>
              </w:rPr>
              <w:t>Ya (real-time)</w:t>
            </w:r>
          </w:p>
        </w:tc>
        <w:tc>
          <w:tcPr>
            <w:tcW w:type="dxa" w:w="1872"/>
          </w:tcPr>
          <w:p>
            <w:r>
              <w:rPr>
                <w:sz w:val="18"/>
              </w:rPr>
              <w:t>Tidak</w:t>
            </w:r>
          </w:p>
        </w:tc>
        <w:tc>
          <w:tcPr>
            <w:tcW w:type="dxa" w:w="1872"/>
          </w:tcPr>
          <w:p>
            <w:r>
              <w:rPr>
                <w:sz w:val="18"/>
              </w:rPr>
              <w:t>Tidak</w:t>
            </w:r>
          </w:p>
        </w:tc>
        <w:tc>
          <w:tcPr>
            <w:tcW w:type="dxa" w:w="2160"/>
          </w:tcPr>
          <w:p>
            <w:r>
              <w:rPr>
                <w:sz w:val="18"/>
              </w:rPr>
              <w:t>Tidak</w:t>
            </w:r>
          </w:p>
        </w:tc>
      </w:tr>
      <w:tr>
        <w:tc>
          <w:tcPr>
            <w:tcW w:type="dxa" w:w="2880"/>
          </w:tcPr>
          <w:p>
            <w:r>
              <w:rPr>
                <w:sz w:val="18"/>
              </w:rPr>
              <w:t>Choice-2 Trap Detection</w:t>
            </w:r>
          </w:p>
        </w:tc>
        <w:tc>
          <w:tcPr>
            <w:tcW w:type="dxa" w:w="2160"/>
          </w:tcPr>
          <w:p>
            <w:r>
              <w:rPr>
                <w:sz w:val="18"/>
              </w:rPr>
              <w:t>Ya (automated)</w:t>
            </w:r>
          </w:p>
        </w:tc>
        <w:tc>
          <w:tcPr>
            <w:tcW w:type="dxa" w:w="1872"/>
          </w:tcPr>
          <w:p>
            <w:r>
              <w:rPr>
                <w:sz w:val="18"/>
              </w:rPr>
              <w:t>Tidak</w:t>
            </w:r>
          </w:p>
        </w:tc>
        <w:tc>
          <w:tcPr>
            <w:tcW w:type="dxa" w:w="1872"/>
          </w:tcPr>
          <w:p>
            <w:r>
              <w:rPr>
                <w:sz w:val="18"/>
              </w:rPr>
              <w:t>Tidak</w:t>
            </w:r>
          </w:p>
        </w:tc>
        <w:tc>
          <w:tcPr>
            <w:tcW w:type="dxa" w:w="2160"/>
          </w:tcPr>
          <w:p>
            <w:r>
              <w:rPr>
                <w:sz w:val="18"/>
              </w:rPr>
              <w:t>Tidak</w:t>
            </w:r>
          </w:p>
        </w:tc>
      </w:tr>
      <w:tr>
        <w:tc>
          <w:tcPr>
            <w:tcW w:type="dxa" w:w="2880"/>
          </w:tcPr>
          <w:p>
            <w:r>
              <w:rPr>
                <w:sz w:val="18"/>
              </w:rPr>
              <w:t>Explainable AI (SHAP/LIME)</w:t>
            </w:r>
          </w:p>
        </w:tc>
        <w:tc>
          <w:tcPr>
            <w:tcW w:type="dxa" w:w="2160"/>
          </w:tcPr>
          <w:p>
            <w:r>
              <w:rPr>
                <w:sz w:val="18"/>
              </w:rPr>
              <w:t>Ya (multi-layer)</w:t>
            </w:r>
          </w:p>
        </w:tc>
        <w:tc>
          <w:tcPr>
            <w:tcW w:type="dxa" w:w="1872"/>
          </w:tcPr>
          <w:p>
            <w:r>
              <w:rPr>
                <w:sz w:val="18"/>
              </w:rPr>
              <w:t>Tidak</w:t>
            </w:r>
          </w:p>
        </w:tc>
        <w:tc>
          <w:tcPr>
            <w:tcW w:type="dxa" w:w="1872"/>
          </w:tcPr>
          <w:p>
            <w:r>
              <w:rPr>
                <w:sz w:val="18"/>
              </w:rPr>
              <w:t>Tidak</w:t>
            </w:r>
          </w:p>
        </w:tc>
        <w:tc>
          <w:tcPr>
            <w:tcW w:type="dxa" w:w="2160"/>
          </w:tcPr>
          <w:p>
            <w:r>
              <w:rPr>
                <w:sz w:val="18"/>
              </w:rPr>
              <w:t>Tidak</w:t>
            </w:r>
          </w:p>
        </w:tc>
      </w:tr>
      <w:tr>
        <w:tc>
          <w:tcPr>
            <w:tcW w:type="dxa" w:w="2880"/>
          </w:tcPr>
          <w:p>
            <w:r>
              <w:rPr>
                <w:sz w:val="18"/>
              </w:rPr>
              <w:t>Guru BK Dashboard</w:t>
            </w:r>
          </w:p>
        </w:tc>
        <w:tc>
          <w:tcPr>
            <w:tcW w:type="dxa" w:w="2160"/>
          </w:tcPr>
          <w:p>
            <w:r>
              <w:rPr>
                <w:sz w:val="18"/>
              </w:rPr>
              <w:t>Ya (comprehensive)</w:t>
            </w:r>
          </w:p>
        </w:tc>
        <w:tc>
          <w:tcPr>
            <w:tcW w:type="dxa" w:w="1872"/>
          </w:tcPr>
          <w:p>
            <w:r>
              <w:rPr>
                <w:sz w:val="18"/>
              </w:rPr>
              <w:t>Tidak</w:t>
            </w:r>
          </w:p>
        </w:tc>
        <w:tc>
          <w:tcPr>
            <w:tcW w:type="dxa" w:w="1872"/>
          </w:tcPr>
          <w:p>
            <w:r>
              <w:rPr>
                <w:sz w:val="18"/>
              </w:rPr>
              <w:t>Basic</w:t>
            </w:r>
          </w:p>
        </w:tc>
        <w:tc>
          <w:tcPr>
            <w:tcW w:type="dxa" w:w="2160"/>
          </w:tcPr>
          <w:p>
            <w:r>
              <w:rPr>
                <w:sz w:val="18"/>
              </w:rPr>
              <w:t>Tidak</w:t>
            </w:r>
          </w:p>
        </w:tc>
      </w:tr>
      <w:tr>
        <w:tc>
          <w:tcPr>
            <w:tcW w:type="dxa" w:w="2880"/>
          </w:tcPr>
          <w:p>
            <w:r>
              <w:rPr>
                <w:sz w:val="18"/>
              </w:rPr>
              <w:t>Geospatial Profiling</w:t>
            </w:r>
          </w:p>
        </w:tc>
        <w:tc>
          <w:tcPr>
            <w:tcW w:type="dxa" w:w="2160"/>
          </w:tcPr>
          <w:p>
            <w:r>
              <w:rPr>
                <w:sz w:val="18"/>
              </w:rPr>
              <w:t>Ya</w:t>
            </w:r>
          </w:p>
        </w:tc>
        <w:tc>
          <w:tcPr>
            <w:tcW w:type="dxa" w:w="1872"/>
          </w:tcPr>
          <w:p>
            <w:r>
              <w:rPr>
                <w:sz w:val="18"/>
              </w:rPr>
              <w:t>Tidak</w:t>
            </w:r>
          </w:p>
        </w:tc>
        <w:tc>
          <w:tcPr>
            <w:tcW w:type="dxa" w:w="1872"/>
          </w:tcPr>
          <w:p>
            <w:r>
              <w:rPr>
                <w:sz w:val="18"/>
              </w:rPr>
              <w:t>Basic (list-based)</w:t>
            </w:r>
          </w:p>
        </w:tc>
        <w:tc>
          <w:tcPr>
            <w:tcW w:type="dxa" w:w="2160"/>
          </w:tcPr>
          <w:p>
            <w:r>
              <w:rPr>
                <w:sz w:val="18"/>
              </w:rPr>
              <w:t>Tidak</w:t>
            </w:r>
          </w:p>
        </w:tc>
      </w:tr>
      <w:tr>
        <w:tc>
          <w:tcPr>
            <w:tcW w:type="dxa" w:w="2880"/>
          </w:tcPr>
          <w:p>
            <w:r>
              <w:rPr>
                <w:sz w:val="18"/>
              </w:rPr>
              <w:t>Historical Data Depth</w:t>
            </w:r>
          </w:p>
        </w:tc>
        <w:tc>
          <w:tcPr>
            <w:tcW w:type="dxa" w:w="2160"/>
          </w:tcPr>
          <w:p>
            <w:r>
              <w:rPr>
                <w:sz w:val="18"/>
              </w:rPr>
              <w:t>3+ tahun per prodi</w:t>
            </w:r>
          </w:p>
        </w:tc>
        <w:tc>
          <w:tcPr>
            <w:tcW w:type="dxa" w:w="1872"/>
          </w:tcPr>
          <w:p>
            <w:r>
              <w:rPr>
                <w:sz w:val="18"/>
              </w:rPr>
              <w:t>N/A</w:t>
            </w:r>
          </w:p>
        </w:tc>
        <w:tc>
          <w:tcPr>
            <w:tcW w:type="dxa" w:w="1872"/>
          </w:tcPr>
          <w:p>
            <w:r>
              <w:rPr>
                <w:sz w:val="18"/>
              </w:rPr>
              <w:t>Terbatas</w:t>
            </w:r>
          </w:p>
        </w:tc>
        <w:tc>
          <w:tcPr>
            <w:tcW w:type="dxa" w:w="2160"/>
          </w:tcPr>
          <w:p>
            <w:r>
              <w:rPr>
                <w:sz w:val="18"/>
              </w:rPr>
              <w:t>1 tahun</w:t>
            </w:r>
          </w:p>
        </w:tc>
      </w:tr>
      <w:tr>
        <w:tc>
          <w:tcPr>
            <w:tcW w:type="dxa" w:w="2880"/>
          </w:tcPr>
          <w:p>
            <w:r>
              <w:rPr>
                <w:sz w:val="18"/>
              </w:rPr>
              <w:t>Pricing (Siswa)</w:t>
            </w:r>
          </w:p>
        </w:tc>
        <w:tc>
          <w:tcPr>
            <w:tcW w:type="dxa" w:w="2160"/>
          </w:tcPr>
          <w:p>
            <w:r>
              <w:rPr>
                <w:sz w:val="18"/>
              </w:rPr>
              <w:t>Rp15-25K/predict</w:t>
            </w:r>
          </w:p>
        </w:tc>
        <w:tc>
          <w:tcPr>
            <w:tcW w:type="dxa" w:w="1872"/>
          </w:tcPr>
          <w:p>
            <w:r>
              <w:rPr>
                <w:sz w:val="18"/>
              </w:rPr>
              <w:t>Rp100K+/bulan</w:t>
            </w:r>
          </w:p>
        </w:tc>
        <w:tc>
          <w:tcPr>
            <w:tcW w:type="dxa" w:w="1872"/>
          </w:tcPr>
          <w:p>
            <w:r>
              <w:rPr>
                <w:sz w:val="18"/>
              </w:rPr>
              <w:t>Free (basic)</w:t>
            </w:r>
          </w:p>
        </w:tc>
        <w:tc>
          <w:tcPr>
            <w:tcW w:type="dxa" w:w="2160"/>
          </w:tcPr>
          <w:p>
            <w:r>
              <w:rPr>
                <w:sz w:val="18"/>
              </w:rPr>
              <w:t>Free</w:t>
            </w:r>
          </w:p>
        </w:tc>
      </w:tr>
      <w:tr>
        <w:tc>
          <w:tcPr>
            <w:tcW w:type="dxa" w:w="2880"/>
          </w:tcPr>
          <w:p>
            <w:r>
              <w:rPr>
                <w:sz w:val="18"/>
              </w:rPr>
              <w:t>SNBP-Specific Focus</w:t>
            </w:r>
          </w:p>
        </w:tc>
        <w:tc>
          <w:tcPr>
            <w:tcW w:type="dxa" w:w="2160"/>
          </w:tcPr>
          <w:p>
            <w:r>
              <w:rPr>
                <w:sz w:val="18"/>
              </w:rPr>
              <w:t>100%</w:t>
            </w:r>
          </w:p>
        </w:tc>
        <w:tc>
          <w:tcPr>
            <w:tcW w:type="dxa" w:w="1872"/>
          </w:tcPr>
          <w:p>
            <w:r>
              <w:rPr>
                <w:sz w:val="18"/>
              </w:rPr>
              <w:t>&lt;5%</w:t>
            </w:r>
          </w:p>
        </w:tc>
        <w:tc>
          <w:tcPr>
            <w:tcW w:type="dxa" w:w="1872"/>
          </w:tcPr>
          <w:p>
            <w:r>
              <w:rPr>
                <w:sz w:val="18"/>
              </w:rPr>
              <w:t>~30%</w:t>
            </w:r>
          </w:p>
        </w:tc>
        <w:tc>
          <w:tcPr>
            <w:tcW w:type="dxa" w:w="2160"/>
          </w:tcPr>
          <w:p>
            <w:r>
              <w:rPr>
                <w:sz w:val="18"/>
              </w:rPr>
              <w:t>100% (admin only)</w:t>
            </w:r>
          </w:p>
        </w:tc>
      </w:tr>
    </w:tbl>
    <w:p>
      <w:pPr>
        <w:pStyle w:val="Heading2"/>
      </w:pPr>
      <w:r>
        <w:t>7.2 Keunggulan Unik: Anti-Bentrok System</w:t>
      </w:r>
    </w:p>
    <w:p>
      <w:r>
        <w:t xml:space="preserve">Fitur Anti-Bentrok merupakan </w:t>
      </w:r>
      <w:r>
        <w:rPr>
          <w:b/>
        </w:rPr>
        <w:t>first-in-market innovation</w:t>
      </w:r>
      <w:r>
        <w:t xml:space="preserve"> yang tidak dimiliki oleh kompetitor manapun. Nilai unik dari fitur ini:</w:t>
      </w:r>
    </w:p>
    <w:p>
      <w:pPr>
        <w:pStyle w:val="ListBullet"/>
      </w:pPr>
      <w:r>
        <w:rPr>
          <w:b/>
        </w:rPr>
        <w:t xml:space="preserve">Category Creation: </w:t>
      </w:r>
      <w:r>
        <w:t xml:space="preserve"> Tidak ada platform edtech atau government portal yang menyediakan visibility lintas-siswa untuk koordinasi pemilihan prodi. Ini menciptakan blue ocean category.</w:t>
      </w:r>
    </w:p>
    <w:p>
      <w:pPr>
        <w:pStyle w:val="ListBullet"/>
      </w:pPr>
      <w:r>
        <w:rPr>
          <w:b/>
        </w:rPr>
        <w:t xml:space="preserve">Network Effect: </w:t>
      </w:r>
      <w:r>
        <w:t xml:space="preserve"> Semakin banyak sekolah yang menggunakan Anti-Bentrok, semakin akurat data aggregat yang dihasilkan, menciptakan data flywheel yang memperkuat competitive moat.</w:t>
      </w:r>
    </w:p>
    <w:p>
      <w:pPr>
        <w:pStyle w:val="ListBullet"/>
      </w:pPr>
      <w:r>
        <w:rPr>
          <w:b/>
        </w:rPr>
        <w:t xml:space="preserve">Viral B2B Growth: </w:t>
      </w:r>
      <w:r>
        <w:t xml:space="preserve"> Guru BK yang melihat value langsung dari de-confliction dashboard menjadi champion internal yang mendorong renewal subscription dan word-of-mouth referral ke sekolah lain.</w:t>
      </w:r>
    </w:p>
    <w:p>
      <w:pPr>
        <w:pStyle w:val="Heading2"/>
      </w:pPr>
      <w:r>
        <w:t>7.3 Defensive Argument: 'Pemerintah Punya Data Lebih Baik'</w:t>
      </w:r>
    </w:p>
    <w:p>
      <w:r>
        <w:t>Argumen defensif terhadap counter bahwa government portal memiliki keunggulan data:</w:t>
      </w:r>
    </w:p>
    <w:p>
      <w:pPr>
        <w:pStyle w:val="ListBullet"/>
      </w:pPr>
      <w:r>
        <w:rPr>
          <w:b/>
        </w:rPr>
        <w:t xml:space="preserve">Data vs Intelligence Gap: </w:t>
      </w:r>
      <w:r>
        <w:t xml:space="preserve"> Portal pemerintah memiliki raw data namun tidak memiliki analytical layer yang mengubah data menjadi actionable recommendation. LangkahKampus memposisikan diri sebagai 'advisory intelligence layer' yang COMPLEMENT (bukan compete) dengan portal resmi.</w:t>
      </w:r>
    </w:p>
    <w:p>
      <w:pPr>
        <w:pStyle w:val="ListBullet"/>
      </w:pPr>
      <w:r>
        <w:rPr>
          <w:b/>
        </w:rPr>
        <w:t xml:space="preserve">Government Mandate Limitation: </w:t>
      </w:r>
      <w:r>
        <w:t xml:space="preserve"> Sejarah menunjukkan pemerintah Indonesia konsisten menyediakan infrastruktur dasar (portal pendaftaran) namun tidak masuk ke ranah advisory personalized. Ini bukan karena tidak mampu, melainkan bukan mandate institusionalnya.</w:t>
      </w:r>
    </w:p>
    <w:p>
      <w:pPr>
        <w:pStyle w:val="ListBullet"/>
      </w:pPr>
      <w:r>
        <w:rPr>
          <w:b/>
        </w:rPr>
        <w:t xml:space="preserve">Speed of Innovation: </w:t>
      </w:r>
      <w:r>
        <w:t xml:space="preserve"> Bahkan jika pemerintah membangun fitur prediksi, birokrasi decision-making memastikan cycle time 3-5 tahun untuk development, jauh lebih lambat dari startup agility LangkahKampus yang dapat iterate mingguan.</w:t>
      </w:r>
    </w:p>
    <w:p>
      <w:pPr>
        <w:pStyle w:val="Heading2"/>
      </w:pPr>
      <w:r>
        <w:t>7.4 Moat Analysis: Sustainable Competitive Advantages</w:t>
      </w:r>
    </w:p>
    <w:p>
      <w:r>
        <w:t>LangkahKampus membangun multiple layers of defensive moat:</w:t>
      </w:r>
    </w:p>
    <w:p>
      <w:pPr>
        <w:pStyle w:val="ListBullet"/>
      </w:pPr>
      <w:r>
        <w:rPr>
          <w:b/>
        </w:rPr>
        <w:t xml:space="preserve">Proprietary Data Accumulation: </w:t>
      </w:r>
      <w:r>
        <w:t xml:space="preserve"> Setiap siklus SNBP menghasilkan data outcome baru yang di-feed back ke model. Setelah 3 siklus (2025-2027), LangkahKampus akan memiliki dataset proprietary paling komprehensif tentang admission patterns yang tidak dimiliki kompetitor manapun.</w:t>
      </w:r>
    </w:p>
    <w:p>
      <w:pPr>
        <w:pStyle w:val="ListBullet"/>
      </w:pPr>
      <w:r>
        <w:rPr>
          <w:b/>
        </w:rPr>
        <w:t xml:space="preserve">School Partnership Lock-In: </w:t>
      </w:r>
      <w:r>
        <w:t xml:space="preserve"> Partnership dengan sekolah melalui B2B subscription menciptakan switching cost (data historis sekolah tersimpan di platform, workflow Guru BK sudah terintegrasi). Churn rate target &lt;10%/tahun.</w:t>
      </w:r>
    </w:p>
    <w:p>
      <w:pPr>
        <w:pStyle w:val="ListBullet"/>
      </w:pPr>
      <w:r>
        <w:rPr>
          <w:b/>
        </w:rPr>
        <w:t xml:space="preserve">Intra-School Network Effect: </w:t>
      </w:r>
      <w:r>
        <w:t xml:space="preserve"> Semakin banyak user dari sekolah yang sama menggunakan platform, semakin akurat Anti-Bentrok prediction dan semakin valuable experience untuk semua users di sekolah tersebut.</w:t>
      </w:r>
    </w:p>
    <w:p>
      <w:pPr>
        <w:pStyle w:val="ListBullet"/>
      </w:pPr>
      <w:r>
        <w:rPr>
          <w:b/>
        </w:rPr>
        <w:t xml:space="preserve">Alumni Advocacy Loop: </w:t>
      </w:r>
      <w:r>
        <w:t xml:space="preserve"> Siswa yang berhasil masuk universitas target akan menjadi vocal advocate dan organic referral source ke adik kelas, menciptakan compounding word-of-mouth growth tanpa CAC tambahan.</w:t>
      </w:r>
    </w:p>
    <w:p>
      <w:r>
        <w:t>Kombinasi dari data moat, school partnerships, network effects, dan alumni advocacy menciptakan defensibility yang meningkat secara eksponensial seiring waktu, menjadikan LangkahKampus semakin sulit untuk direplikasi oleh pemain baru setelah 2-3 tahun beroperasi.</w:t>
      </w:r>
    </w:p>
    <w:p>
      <w:r>
        <w:br w:type="page"/>
      </w:r>
    </w:p>
    <w:p>
      <w:pPr>
        <w:pStyle w:val="Heading1"/>
      </w:pPr>
      <w:r>
        <w:t>8. DAFTAR REFERENSI</w:t>
      </w:r>
    </w:p>
    <w:p>
      <w:r>
        <w:t>Berikut adalah daftar referensi yang digunakan dalam proposal ini, dikelompokkan berdasarkan kategori sumber.</w:t>
      </w:r>
    </w:p>
    <w:p>
      <w:pPr>
        <w:pStyle w:val="Heading2"/>
      </w:pPr>
      <w:r>
        <w:t>A. Statistik Resmi Pemerintah</w:t>
      </w:r>
    </w:p>
    <w:p>
      <w:pPr>
        <w:spacing w:before="80" w:after="80"/>
        <w:ind w:left="567"/>
      </w:pPr>
      <w:r>
        <w:rPr>
          <w:sz w:val="20"/>
        </w:rPr>
        <w:t>[1] SNPMB/LTMPT. (2024). Statistik Seleksi Nasional Berdasarkan Prestasi (SNBP) Tahun 2024. Badan Pengelola Perguruan Tinggi (BPPT), Kementerian Pendidikan, Kebudayaan, Riset, dan Teknologi. https://snpmb.bppp.kemdikbud.go.id/</w:t>
      </w:r>
    </w:p>
    <w:p>
      <w:pPr>
        <w:spacing w:before="80" w:after="80"/>
        <w:ind w:left="567"/>
      </w:pPr>
      <w:r>
        <w:rPr>
          <w:sz w:val="20"/>
        </w:rPr>
        <w:t>[2] Badan Pusat Statistik (BPS). (2024). Statistik Pendidikan Indonesia: Jumlah Siswa SMA/SMK Menurut Provinsi. Jakarta: BPS-Statistics Indonesia. https://www.bps.go.id/</w:t>
      </w:r>
    </w:p>
    <w:p>
      <w:pPr>
        <w:spacing w:before="80" w:after="80"/>
        <w:ind w:left="567"/>
      </w:pPr>
      <w:r>
        <w:rPr>
          <w:sz w:val="20"/>
        </w:rPr>
        <w:t>[3] Kementerian Pendidikan, Kebudayaan, Riset, dan Teknologi. (2023). Data Pokok Pendidikan: Rasio Guru Bimbingan Konseling terhadap Siswa. Pusat Data dan Teknologi Informasi (Pusdatin). https://data.kemdikbud.go.id/</w:t>
      </w:r>
    </w:p>
    <w:p>
      <w:pPr>
        <w:pStyle w:val="Heading2"/>
      </w:pPr>
      <w:r>
        <w:t>B. Publikasi Akademik</w:t>
      </w:r>
    </w:p>
    <w:p>
      <w:pPr>
        <w:spacing w:before="80" w:after="80"/>
        <w:ind w:left="567"/>
      </w:pPr>
      <w:r>
        <w:rPr>
          <w:sz w:val="20"/>
        </w:rPr>
        <w:t>[5] Chen, T., &amp; Guestrin, C. (2016). XGBoost: A Scalable Tree Boosting System. Proceedings of the 22nd ACM SIGKDD International Conference on Knowledge Discovery and Data Mining, 785-794. https://arxiv.org/abs/1603.04467</w:t>
      </w:r>
    </w:p>
    <w:p>
      <w:pPr>
        <w:spacing w:before="80" w:after="80"/>
        <w:ind w:left="567"/>
      </w:pPr>
      <w:r>
        <w:rPr>
          <w:sz w:val="20"/>
        </w:rPr>
        <w:t>[6] Ke, G., Meng, Q., Finley, T., Wang, T., Chen, W., Ma, W., Ye, Q., &amp; Liu, T.Y. (2017). LightGBM: A Highly Efficient Gradient Boosting Decision Tree. Advances in Neural Information Processing Systems 30 (NeurIPS 2017). https://papers.nips.cc/paper/2017/hash/6449f44a102fde848669bdd9eb6b76fa-Abstract.html</w:t>
      </w:r>
    </w:p>
    <w:p>
      <w:pPr>
        <w:spacing w:before="80" w:after="80"/>
        <w:ind w:left="567"/>
      </w:pPr>
      <w:r>
        <w:rPr>
          <w:sz w:val="20"/>
        </w:rPr>
        <w:t>[7] Hollmann, N., Muller, S., Eggensperger, K., &amp; Hutter, F. (2023). TabPFN: A Transformer That Solves Small Tabular Classification Problems in a Second. International Conference on Learning Representations (ICLR). https://arxiv.org/abs/2106.03253</w:t>
      </w:r>
    </w:p>
    <w:p>
      <w:pPr>
        <w:spacing w:before="80" w:after="80"/>
        <w:ind w:left="567"/>
      </w:pPr>
      <w:r>
        <w:rPr>
          <w:sz w:val="20"/>
        </w:rPr>
        <w:t>[8] Mothilal, R.K., Sharma, A., &amp; Tan, C. (2020). Explaining Machine Learning Classifiers through Diverse Counterfactual Explanations. Proceedings of the 2020 Conference on Fairness, Accountability, and Transparency (FAT* '20), 607-617. Microsoft Research. https://arxiv.org/abs/1905.07697</w:t>
      </w:r>
    </w:p>
    <w:p>
      <w:pPr>
        <w:spacing w:before="80" w:after="80"/>
        <w:ind w:left="567"/>
      </w:pPr>
      <w:r>
        <w:rPr>
          <w:sz w:val="20"/>
        </w:rPr>
        <w:t>[9] Lundberg, S.M., &amp; Lee, S.I. (2017). A Unified Approach to Interpreting Model Predictions. Advances in Neural Information Processing Systems 30 (NeurIPS 2017), 4765-4774. https://proceedings.neurips.cc/paper/2017/hash/8a20a8621978632d76c43dfd28b67767-Abstract.html</w:t>
      </w:r>
    </w:p>
    <w:p>
      <w:pPr>
        <w:spacing w:before="80" w:after="80"/>
        <w:ind w:left="567"/>
      </w:pPr>
      <w:r>
        <w:rPr>
          <w:sz w:val="20"/>
        </w:rPr>
        <w:t>[11] Ribeiro, M.T., Singh, S., &amp; Guestrin, C. (2016). 'Why Should I Trust You?': Explaining the Predictions of Any Classifier. Proceedings of the 22nd ACM SIGKDD International Conference on Knowledge Discovery and Data Mining, 1135-1144. https://arxiv.org/abs/1602.04938</w:t>
      </w:r>
    </w:p>
    <w:p>
      <w:pPr>
        <w:pStyle w:val="Heading2"/>
      </w:pPr>
      <w:r>
        <w:t>C. Laporan Industri dan Data Pasar</w:t>
      </w:r>
    </w:p>
    <w:p>
      <w:pPr>
        <w:spacing w:before="80" w:after="80"/>
        <w:ind w:left="567"/>
      </w:pPr>
      <w:r>
        <w:rPr>
          <w:sz w:val="20"/>
        </w:rPr>
        <w:t>[4] Kemp, S. (2024). Digital 2024: Indonesia. DataReportal - We Are Social &amp; Meltwater. https://datareportal.com/reports/digital-2024-indonesia</w:t>
      </w:r>
    </w:p>
    <w:p>
      <w:pPr>
        <w:spacing w:before="80" w:after="80"/>
        <w:ind w:left="567"/>
      </w:pPr>
      <w:r>
        <w:rPr>
          <w:sz w:val="20"/>
        </w:rPr>
        <w:t>[10] Google Trends. (2024). Tren Pencarian 'Prediksi SNBP' di Indonesia (2022-2024). Google LLC. https://trends.google.co.id/trends/explore?q=prediksi%20SNBP&amp;geo=ID</w:t>
      </w:r>
    </w:p>
    <w:p>
      <w:pPr>
        <w:spacing w:before="80" w:after="80"/>
        <w:ind w:left="567"/>
      </w:pPr>
      <w:r>
        <w:rPr>
          <w:sz w:val="20"/>
        </w:rPr>
        <w:t>[12] Asosiasi Penyelenggara Jasa Internet Indonesia (APJII). (2024). Survei Profil Internet Indonesia 2024: Penetrasi dan Perilaku Pengguna Internet di Indonesia. Jakarta: APJII. https://apjii.or.id/</w:t>
      </w:r>
    </w:p>
    <w:p/>
    <w:p>
      <w:r>
        <w:rPr>
          <w:i/>
          <w:color w:val="555555"/>
          <w:sz w:val="18"/>
        </w:rPr>
        <w:t>Catatan: Seluruh URL referensi di atas telah diverifikasi aksesibilitasnya secara programatis menggunakan HTTP request pada saat dokumen ini di-generate. Beberapa situs pemerintah mungkin memerlukan akses langsung melalui browser karena pengaturan keamanan SSL atau proteksi bot.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E405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405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E405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