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Evaluating Probabilistic Prediction Performance of Natural Gradient Boosting for Water Quality Classification</w:t>
      </w:r>
    </w:p>
    <w:p>
      <w:pPr>
        <w:spacing w:after="60"/>
        <w:jc w:val="center"/>
      </w:pPr>
      <w:r>
        <w:rPr>
          <w:rFonts w:ascii="Times New Roman" w:hAnsi="Times New Roman"/>
          <w:sz w:val="22"/>
        </w:rPr>
        <w:t>Aflah Zaki Siregar</w:t>
      </w:r>
    </w:p>
    <w:p>
      <w:pPr>
        <w:spacing w:after="240"/>
        <w:jc w:val="center"/>
      </w:pPr>
      <w:r>
        <w:rPr>
          <w:rFonts w:ascii="Times New Roman" w:hAnsi="Times New Roman"/>
          <w:i/>
          <w:sz w:val="20"/>
        </w:rPr>
        <w:t>School of Computing, Telkom University, Bandung, Indonesia</w:t>
      </w:r>
    </w:p>
    <w:p>
      <w:pPr>
        <w:spacing w:before="240" w:after="120"/>
        <w:jc w:val="left"/>
      </w:pPr>
      <w:r>
        <w:rPr>
          <w:rFonts w:ascii="Times New Roman" w:hAnsi="Times New Roman"/>
          <w:b/>
          <w:sz w:val="20"/>
        </w:rPr>
        <w:t>Abstract</w:t>
      </w:r>
    </w:p>
    <w:p>
      <w:pPr>
        <w:spacing w:after="60"/>
        <w:ind w:firstLine="283"/>
        <w:jc w:val="both"/>
      </w:pPr>
      <w:r>
        <w:rPr>
          <w:rFonts w:ascii="Times New Roman" w:hAnsi="Times New Roman"/>
          <w:sz w:val="20"/>
        </w:rPr>
        <w:t>Water quality assessment is a critical component of public health protection, yet conventional binary classification approaches fail to communicate the inherent uncertainty in predictions. This study evaluates the probabilistic prediction performance of Natural Gradient Boosting (NGBoost) for water potability classification, comparing it against XGBoost and Random Forest as baseline models. Using a publicly available water potability dataset comprising 3,276 samples with 9 physicochemical parameters, we assess model performance through classification metrics (accuracy, precision, recall, F1-score), calibration quality (Expected Calibration Error, Negative Log-Likelihood), and uncertainty quantification via zone-based analysis. Experimental results indicate that the models achieve comparable accuracy (NGBoost: 0.6646, XGBoost: 0.6646, Random Forest: 0.6585), with McNemar's test confirming no statistically significant differences (p &gt; 0.05). Although Random Forest attains the lowest calibration error (ECE = 0.0423) and NGBoost the highest (ECE = 0.0686), NGBoost provides explicit, interpretable probabilistic outputs that enable uncertainty-aware decision-making. The uncertainty zone analysis reveals that predictions in extreme probability zones (zones 1 and 5) exhibit substantially higher accuracy than those in the ambiguous middle zone. Furthermore, SMOTE-ENN resampling degrades performance across all models, suggesting that the original class distribution better supports generalization. These findings establish NGBoost as a viable framework for uncertainty-aware water quality monitoring systems where confidence quantification is essential for operational decision-making.</w:t>
      </w:r>
    </w:p>
    <w:p>
      <w:pPr>
        <w:spacing w:after="240"/>
        <w:jc w:val="both"/>
      </w:pPr>
      <w:r>
        <w:rPr>
          <w:rFonts w:ascii="Times New Roman" w:hAnsi="Times New Roman"/>
          <w:b/>
          <w:i/>
          <w:sz w:val="20"/>
        </w:rPr>
        <w:t>Index Terms—</w:t>
      </w:r>
      <w:r>
        <w:rPr>
          <w:rFonts w:ascii="Times New Roman" w:hAnsi="Times New Roman"/>
          <w:i/>
          <w:sz w:val="20"/>
        </w:rPr>
        <w:t>NGBoost, probabilistic classification, water quality, uncertainty quantification, calibration, XGBoost, Random Forest</w:t>
      </w:r>
    </w:p>
    <w:p>
      <w:pPr>
        <w:spacing w:before="240" w:after="120"/>
        <w:jc w:val="left"/>
      </w:pPr>
      <w:r>
        <w:rPr>
          <w:rFonts w:ascii="Times New Roman" w:hAnsi="Times New Roman"/>
          <w:b/>
          <w:sz w:val="20"/>
        </w:rPr>
        <w:t>I. INTRODUCTION</w:t>
      </w:r>
    </w:p>
    <w:p>
      <w:pPr>
        <w:spacing w:after="60"/>
        <w:ind w:firstLine="283"/>
        <w:jc w:val="both"/>
      </w:pPr>
      <w:r>
        <w:rPr>
          <w:rFonts w:ascii="Times New Roman" w:hAnsi="Times New Roman"/>
          <w:sz w:val="20"/>
        </w:rPr>
        <w:t>Access to safe drinking water remains a fundamental global challenge. The World Health Organization (WHO) reports that approximately 2.2 billion people lack access to safely managed drinking water services [1]. Water quality monitoring involves the assessment of multiple physicochemical parameters including pH, hardness, total dissolved solids, chloramines, sulfate, conductivity, organic carbon, trihalomethanes, and turbidity. The complex, nonlinear interactions among these parameters make binary potability determination a challenging classification task [2].</w:t>
      </w:r>
    </w:p>
    <w:p>
      <w:pPr>
        <w:spacing w:after="60"/>
        <w:ind w:firstLine="283"/>
        <w:jc w:val="both"/>
      </w:pPr>
      <w:r>
        <w:rPr>
          <w:rFonts w:ascii="Times New Roman" w:hAnsi="Times New Roman"/>
          <w:sz w:val="20"/>
        </w:rPr>
        <w:t>Traditional machine learning approaches to water quality classification, such as logistic regression, decision trees, and support vector machines, produce deterministic predictions without quantifying prediction uncertainty [3]. In safety-critical domains like water quality assessment, the confidence level associated with a prediction is equally important as the prediction itself. A probabilistic model that outputs calibrated probability distributions enables operators to identify ambiguous samples requiring additional testing, thereby reducing both false clearances and unnecessary resource expenditure [4].</w:t>
      </w:r>
    </w:p>
    <w:p>
      <w:pPr>
        <w:spacing w:after="60"/>
        <w:ind w:firstLine="283"/>
        <w:jc w:val="both"/>
      </w:pPr>
      <w:r>
        <w:rPr>
          <w:rFonts w:ascii="Times New Roman" w:hAnsi="Times New Roman"/>
          <w:sz w:val="20"/>
        </w:rPr>
        <w:t>Natural Gradient Boosting (NGBoost), introduced by Duan et al. [5], extends gradient boosting by fitting the parameters of a conditional probability distribution rather than a point estimate. By employing the natural gradient for parameter updates, NGBoost produces well-calibrated probabilistic predictions that can quantify epistemic uncertainty at the individual sample level. This capability distinguishes NGBoost from conventional ensemble methods such as XGBoost [6] and Random Forest [7], which typically provide probability estimates derived from vote aggregation or sigmoid transformations without explicit distributional assumptions.</w:t>
      </w:r>
    </w:p>
    <w:p>
      <w:pPr>
        <w:spacing w:after="60"/>
        <w:ind w:firstLine="283"/>
        <w:jc w:val="both"/>
      </w:pPr>
      <w:r>
        <w:rPr>
          <w:rFonts w:ascii="Times New Roman" w:hAnsi="Times New Roman"/>
          <w:sz w:val="20"/>
        </w:rPr>
        <w:t>Despite its theoretical advantages, NGBoost has received limited empirical evaluation in environmental monitoring applications. Previous studies on water potability classification have primarily focused on maximizing accuracy through hyperparameter optimization or ensemble stacking [8], without addressing whether the resulting probability outputs are well-calibrated or suitable for uncertainty-aware decision support. Furthermore, the impact of data imbalance correction techniques such as SMOTE-ENN on probabilistic calibration remains underexplored [9].</w:t>
      </w:r>
    </w:p>
    <w:p>
      <w:pPr>
        <w:spacing w:after="60"/>
        <w:ind w:firstLine="283"/>
        <w:jc w:val="both"/>
      </w:pPr>
      <w:r>
        <w:rPr>
          <w:rFonts w:ascii="Times New Roman" w:hAnsi="Times New Roman"/>
          <w:sz w:val="20"/>
        </w:rPr>
        <w:t>This study addresses the following research questions: (1) How does NGBoost perform relative to XGBoost and Random Forest on water potability classification in terms of both discriminative and calibration metrics? (2) Does NGBoost's probabilistic framework provide actionable uncertainty information through zone-based analysis? (3) What is the effect of SMOTE-ENN resampling on model performance and calibration quality? The contributions of this paper include a comprehensive multi-metric evaluation framework for probabilistic water quality classifiers, empirical evidence regarding the limitations of resampling on calibrated models, and a zone-based uncertainty analysis methodology for operational decision support.</w:t>
      </w:r>
    </w:p>
    <w:p>
      <w:pPr>
        <w:spacing w:before="240" w:after="120"/>
        <w:jc w:val="left"/>
      </w:pPr>
      <w:r>
        <w:rPr>
          <w:rFonts w:ascii="Times New Roman" w:hAnsi="Times New Roman"/>
          <w:b/>
          <w:sz w:val="20"/>
        </w:rPr>
        <w:t>II. RELATED WORK</w:t>
      </w:r>
    </w:p>
    <w:p>
      <w:pPr>
        <w:spacing w:before="120" w:after="60"/>
        <w:jc w:val="left"/>
      </w:pPr>
      <w:r>
        <w:rPr>
          <w:rFonts w:ascii="Times New Roman" w:hAnsi="Times New Roman"/>
          <w:b/>
          <w:i/>
          <w:sz w:val="20"/>
        </w:rPr>
        <w:t>A. Machine Learning for Water Quality Classification</w:t>
      </w:r>
    </w:p>
    <w:p>
      <w:pPr>
        <w:spacing w:after="60"/>
        <w:ind w:firstLine="283"/>
        <w:jc w:val="both"/>
      </w:pPr>
      <w:r>
        <w:rPr>
          <w:rFonts w:ascii="Times New Roman" w:hAnsi="Times New Roman"/>
          <w:sz w:val="20"/>
        </w:rPr>
        <w:t>Machine learning methods have been extensively applied to water quality prediction tasks. Ahmed et al. [2] employed Random Forest and gradient boosting techniques for water potability prediction, achieving accuracy levels between 65-70% on the same public dataset. Krishan et al. [3] applied support vector machines and k-nearest neighbors to classify water samples, noting that ensemble methods consistently outperformed single classifiers. More recently, deep learning approaches including multi-layer perceptrons and convolutional neural networks have been explored [10], though their computational overhead and interpretability limitations restrict practical deployment in resource-constrained monitoring systems.</w:t>
      </w:r>
    </w:p>
    <w:p>
      <w:pPr>
        <w:spacing w:after="60"/>
        <w:ind w:firstLine="283"/>
        <w:jc w:val="both"/>
      </w:pPr>
      <w:r>
        <w:rPr>
          <w:rFonts w:ascii="Times New Roman" w:hAnsi="Times New Roman"/>
          <w:sz w:val="20"/>
        </w:rPr>
        <w:t>A common limitation across these studies is the exclusive reliance on discriminative metrics such as accuracy and F1-score. While these metrics assess whether predictions are correct, they do not evaluate whether the associated probability estimates reflect true outcome likelihoods. In water quality monitoring, a model that assigns 0.95 probability to potability should be correct approximately 95% of the time for that confidence level; this property is known as calibration [11].</w:t>
      </w:r>
    </w:p>
    <w:p>
      <w:pPr>
        <w:spacing w:before="120" w:after="60"/>
        <w:jc w:val="left"/>
      </w:pPr>
      <w:r>
        <w:rPr>
          <w:rFonts w:ascii="Times New Roman" w:hAnsi="Times New Roman"/>
          <w:b/>
          <w:i/>
          <w:sz w:val="20"/>
        </w:rPr>
        <w:t>B. Probabilistic Prediction and NGBoost</w:t>
      </w:r>
    </w:p>
    <w:p>
      <w:pPr>
        <w:spacing w:after="60"/>
        <w:ind w:firstLine="283"/>
        <w:jc w:val="both"/>
      </w:pPr>
      <w:r>
        <w:rPr>
          <w:rFonts w:ascii="Times New Roman" w:hAnsi="Times New Roman"/>
          <w:sz w:val="20"/>
        </w:rPr>
        <w:t>Probabilistic prediction methods extend standard classification by outputting full conditional distributions. Bayesian approaches such as Gaussian Processes and Bayesian Neural Networks provide principled uncertainty estimates but often suffer from computational intractability on moderate-scale datasets [12]. NGBoost [5] addresses this limitation by combining the scalability of gradient boosting with probabilistic output through natural gradient descent on scoring rule objectives. The natural gradient accounts for the information geometry of the parameter space, enabling efficient optimization of distributional parameters including location and scale.</w:t>
      </w:r>
    </w:p>
    <w:p>
      <w:pPr>
        <w:spacing w:after="60"/>
        <w:ind w:firstLine="283"/>
        <w:jc w:val="both"/>
      </w:pPr>
      <w:r>
        <w:rPr>
          <w:rFonts w:ascii="Times New Roman" w:hAnsi="Times New Roman"/>
          <w:sz w:val="20"/>
        </w:rPr>
        <w:t>For binary classification, NGBoost models the conditional distribution as Bernoulli, directly outputting calibrated probability estimates. This contrasts with XGBoost's sigmoid-transformed log-odds, which may exhibit systematic miscalibration [6]. Empirical evaluations in healthcare and climate science domains have demonstrated NGBoost's competitive predictive performance alongside superior calibration compared to standard boosting methods [5][13].</w:t>
      </w:r>
    </w:p>
    <w:p>
      <w:pPr>
        <w:spacing w:before="120" w:after="60"/>
        <w:jc w:val="left"/>
      </w:pPr>
      <w:r>
        <w:rPr>
          <w:rFonts w:ascii="Times New Roman" w:hAnsi="Times New Roman"/>
          <w:b/>
          <w:i/>
          <w:sz w:val="20"/>
        </w:rPr>
        <w:t>C. Class Imbalance and Resampling Techniques</w:t>
      </w:r>
    </w:p>
    <w:p>
      <w:pPr>
        <w:spacing w:after="60"/>
        <w:ind w:firstLine="283"/>
        <w:jc w:val="both"/>
      </w:pPr>
      <w:r>
        <w:rPr>
          <w:rFonts w:ascii="Times New Roman" w:hAnsi="Times New Roman"/>
          <w:sz w:val="20"/>
        </w:rPr>
        <w:t>Class imbalance is prevalent in water quality datasets where safe samples typically outnumber contaminated ones. SMOTE (Synthetic Minority Over-sampling Technique) generates synthetic minority instances through linear interpolation in feature space [9]. SMOTE-ENN combines oversampling with Edited Nearest Neighbors cleaning to remove noisy samples from both classes. While resampling can improve recall for minority classes, its impact on probability calibration is less understood. Wallace and Dahabreh [14] demonstrated that resampling distorts posterior probabilities, potentially degrading calibration quality even when classification accuracy improves.</w:t>
      </w:r>
    </w:p>
    <w:p>
      <w:pPr>
        <w:spacing w:before="240" w:after="120"/>
        <w:jc w:val="left"/>
      </w:pPr>
      <w:r>
        <w:rPr>
          <w:rFonts w:ascii="Times New Roman" w:hAnsi="Times New Roman"/>
          <w:b/>
          <w:sz w:val="20"/>
        </w:rPr>
        <w:t>III. METHODOLOGY</w:t>
      </w:r>
    </w:p>
    <w:p>
      <w:pPr>
        <w:spacing w:before="120" w:after="60"/>
        <w:jc w:val="left"/>
      </w:pPr>
      <w:r>
        <w:rPr>
          <w:rFonts w:ascii="Times New Roman" w:hAnsi="Times New Roman"/>
          <w:b/>
          <w:i/>
          <w:sz w:val="20"/>
        </w:rPr>
        <w:t>A. Dataset Description</w:t>
      </w:r>
    </w:p>
    <w:p>
      <w:pPr>
        <w:spacing w:after="60"/>
        <w:ind w:firstLine="283"/>
        <w:jc w:val="both"/>
      </w:pPr>
      <w:r>
        <w:rPr>
          <w:rFonts w:ascii="Times New Roman" w:hAnsi="Times New Roman"/>
          <w:sz w:val="20"/>
        </w:rPr>
        <w:t>This study utilizes the Water Potability dataset publicly available on Kaggle, comprising 3,276 water samples characterized by 9 physicochemical features: pH, Hardness, Solids (total dissolved solids), Chloramines, Sulfate, Conductivity, Organic Carbon, Trihalomethanes, and Turbidity. The binary target variable indicates potability (1) or non-potability (0). The dataset exhibits moderate class imbalance with 1,998 non-potable samples (60.99%) and 1,278 potable samples (39.01%).</w:t>
      </w:r>
    </w:p>
    <w:p>
      <w:pPr>
        <w:spacing w:after="60"/>
        <w:ind w:firstLine="283"/>
        <w:jc w:val="both"/>
      </w:pPr>
      <w:r>
        <w:rPr>
          <w:rFonts w:ascii="Times New Roman" w:hAnsi="Times New Roman"/>
          <w:sz w:val="20"/>
        </w:rPr>
        <w:t>Missing values are present in three features: Sulfate (23.84%), pH (14.99%), and Trihalomethanes (4.95%). These missing values are addressed through multivariate imputation by chained equations (MICE), which models each feature with missing entries as a function of the remaining features and is more robust than univariate mean or median imputation under a missing-at-random assumption. Feature standardization (zero mean, unit variance) is applied prior to model training to ensure equitable contribution of all features regardless of their native scales.</w:t>
      </w:r>
    </w:p>
    <w:p>
      <w:pPr>
        <w:jc w:val="center"/>
      </w:pPr>
      <w:r>
        <w:drawing>
          <wp:inline xmlns:a="http://schemas.openxmlformats.org/drawingml/2006/main" xmlns:pic="http://schemas.openxmlformats.org/drawingml/2006/picture">
            <wp:extent cx="3200400" cy="2101714"/>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3200400" cy="2101714"/>
                    </a:xfrm>
                    <a:prstGeom prst="rect"/>
                  </pic:spPr>
                </pic:pic>
              </a:graphicData>
            </a:graphic>
          </wp:inline>
        </w:drawing>
      </w:r>
    </w:p>
    <w:p>
      <w:pPr>
        <w:spacing w:after="120"/>
        <w:jc w:val="center"/>
      </w:pPr>
      <w:r>
        <w:rPr>
          <w:rFonts w:ascii="Times New Roman" w:hAnsi="Times New Roman"/>
          <w:sz w:val="18"/>
        </w:rPr>
        <w:t>Fig. 1. Class distribution in the water potability dataset.</w:t>
      </w:r>
    </w:p>
    <w:p>
      <w:pPr>
        <w:jc w:val="center"/>
      </w:pPr>
      <w:r>
        <w:drawing>
          <wp:inline xmlns:a="http://schemas.openxmlformats.org/drawingml/2006/main" xmlns:pic="http://schemas.openxmlformats.org/drawingml/2006/picture">
            <wp:extent cx="3200400" cy="1566587"/>
            <wp:docPr id="2" name="Picture 2"/>
            <wp:cNvGraphicFramePr>
              <a:graphicFrameLocks noChangeAspect="1"/>
            </wp:cNvGraphicFramePr>
            <a:graphic>
              <a:graphicData uri="http://schemas.openxmlformats.org/drawingml/2006/picture">
                <pic:pic>
                  <pic:nvPicPr>
                    <pic:cNvPr id="0" name="missing_values.png"/>
                    <pic:cNvPicPr/>
                  </pic:nvPicPr>
                  <pic:blipFill>
                    <a:blip r:embed="rId10"/>
                    <a:stretch>
                      <a:fillRect/>
                    </a:stretch>
                  </pic:blipFill>
                  <pic:spPr>
                    <a:xfrm>
                      <a:off x="0" y="0"/>
                      <a:ext cx="3200400" cy="1566587"/>
                    </a:xfrm>
                    <a:prstGeom prst="rect"/>
                  </pic:spPr>
                </pic:pic>
              </a:graphicData>
            </a:graphic>
          </wp:inline>
        </w:drawing>
      </w:r>
    </w:p>
    <w:p>
      <w:pPr>
        <w:spacing w:after="120"/>
        <w:jc w:val="center"/>
      </w:pPr>
      <w:r>
        <w:rPr>
          <w:rFonts w:ascii="Times New Roman" w:hAnsi="Times New Roman"/>
          <w:sz w:val="18"/>
        </w:rPr>
        <w:t>Fig. 2. Percentage of missing values per feature.</w:t>
      </w:r>
    </w:p>
    <w:p>
      <w:pPr>
        <w:spacing w:before="120" w:after="60"/>
        <w:jc w:val="left"/>
      </w:pPr>
      <w:r>
        <w:rPr>
          <w:rFonts w:ascii="Times New Roman" w:hAnsi="Times New Roman"/>
          <w:b/>
          <w:i/>
          <w:sz w:val="20"/>
        </w:rPr>
        <w:t>B. Data Partitioning</w:t>
      </w:r>
    </w:p>
    <w:p>
      <w:pPr>
        <w:spacing w:after="60"/>
        <w:ind w:firstLine="283"/>
        <w:jc w:val="both"/>
      </w:pPr>
      <w:r>
        <w:rPr>
          <w:rFonts w:ascii="Times New Roman" w:hAnsi="Times New Roman"/>
          <w:sz w:val="20"/>
        </w:rPr>
        <w:t>The dataset is partitioned into training (70%), validation (15%), and test (15%) subsets using stratified sampling to preserve class proportions across all splits. This yields 2,292 training samples, 492 validation samples, and 492 test samples. The validation set serves dual purposes: early stopping monitoring for the boosting models and model selection. All reported performance metrics are computed exclusively on the held-out test set to ensure unbiased evaluation.</w:t>
      </w:r>
    </w:p>
    <w:p>
      <w:pPr>
        <w:spacing w:before="120" w:after="60"/>
        <w:jc w:val="left"/>
      </w:pPr>
      <w:r>
        <w:rPr>
          <w:rFonts w:ascii="Times New Roman" w:hAnsi="Times New Roman"/>
          <w:b/>
          <w:i/>
          <w:sz w:val="20"/>
        </w:rPr>
        <w:t>C. Model Architectures</w:t>
      </w:r>
    </w:p>
    <w:p>
      <w:pPr>
        <w:spacing w:after="60"/>
        <w:ind w:firstLine="283"/>
        <w:jc w:val="both"/>
      </w:pPr>
      <w:r>
        <w:rPr>
          <w:rFonts w:ascii="Times New Roman" w:hAnsi="Times New Roman"/>
          <w:sz w:val="20"/>
        </w:rPr>
        <w:t>Three gradient boosting variants are evaluated. NGBoost [5] is configured with a Bernoulli distributional assumption for binary classification, 300 estimators, a learning rate of 0.05, and stochastic subsampling (minibatch fraction 0.8, column subsample 0.8). The natural gradient update rule optimizes the negative log-likelihood scoring rule, directly producing calibrated posterior probabilities. XGBoost [6] is configured with 300 estimators, a learning rate of 0.05, maximum depth of 4, and row/column subsampling of 0.8, employing log-loss as the objective function. Random Forest [7] utilizes 300 trees with default hyperparameters, providing probability estimates through vote averaging across the ensemble.</w:t>
      </w:r>
    </w:p>
    <w:p>
      <w:pPr>
        <w:spacing w:after="60"/>
        <w:ind w:firstLine="288"/>
        <w:jc w:val="both"/>
      </w:pPr>
      <w:r>
        <w:rPr>
          <w:rFonts w:ascii="Times New Roman" w:hAnsi="Times New Roman"/>
          <w:sz w:val="20"/>
        </w:rPr>
        <w:t>Gradient boosting constructs an additive model by sequentially fitting base learners to the functional gradient of a differentiable loss. After M boosting iterations, the prediction is expressed as:</w:t>
      </w:r>
    </w:p>
    <w:p>
      <w:pPr>
        <w:tabs>
          <w:tab w:pos="4824" w:val="center"/>
          <w:tab w:pos="9648" w:val="right"/>
        </w:tabs>
        <w:spacing w:before="120" w:after="120"/>
        <w:jc w:val="left"/>
      </w:pPr>
      <w:r>
        <w:tab/>
      </w:r>
      <m:oMath>
        <m:sSub>
          <m:e>
            <m:r>
              <m:t>F</m:t>
            </m:r>
          </m:e>
          <m:sub>
            <m:r>
              <m:t>M</m:t>
            </m:r>
          </m:sub>
        </m:sSub>
        <m:r>
          <m:rPr>
            <m:sty m:val="p"/>
          </m:rPr>
          <m:t>(</m:t>
        </m:r>
        <m:r>
          <m:t>x</m:t>
        </m:r>
        <m:r>
          <m:rPr>
            <m:sty m:val="p"/>
          </m:rPr>
          <m:t>)</m:t>
        </m:r>
        <m:r>
          <m:rPr>
            <m:sty m:val="p"/>
          </m:rPr>
          <m:t>=</m:t>
        </m:r>
        <m:sSub>
          <m:e>
            <m:r>
              <m:t>F</m:t>
            </m:r>
          </m:e>
          <m:sub>
            <m:r>
              <m:t>0</m:t>
            </m:r>
          </m:sub>
        </m:sSub>
        <m:r>
          <m:rPr>
            <m:sty m:val="p"/>
          </m:rPr>
          <m:t>(</m:t>
        </m:r>
        <m:r>
          <m:t>x</m:t>
        </m:r>
        <m:r>
          <m:rPr>
            <m:sty m:val="p"/>
          </m:rPr>
          <m:t>)</m:t>
        </m:r>
        <m:r>
          <m:rPr>
            <m:sty m:val="p"/>
          </m:rPr>
          <m:t>+</m:t>
        </m:r>
        <m:nary>
          <m:naryPr>
            <m:chr m:val="∑"/>
            <m:limLoc m:val="undOvr"/>
            <m:subHide m:val="off"/>
            <m:supHide m:val="off"/>
          </m:naryPr>
          <m:sub>
            <m:r>
              <m:t>m</m:t>
            </m:r>
            <m:r>
              <m:rPr>
                <m:sty m:val="p"/>
              </m:rPr>
              <m:t>=</m:t>
            </m:r>
            <m:r>
              <m:t>1</m:t>
            </m:r>
          </m:sub>
          <m:sup>
            <m:r>
              <m:t>M</m:t>
            </m:r>
          </m:sup>
          <m:e>
            <m:r>
              <m:t>η</m:t>
            </m:r>
          </m:e>
        </m:nary>
        <m:r>
          <m:t> </m:t>
        </m:r>
        <m:sSub>
          <m:e>
            <m:r>
              <m:t>h</m:t>
            </m:r>
          </m:e>
          <m:sub>
            <m:r>
              <m:t>m</m:t>
            </m:r>
          </m:sub>
        </m:sSub>
        <m:r>
          <m:rPr>
            <m:sty m:val="p"/>
          </m:rPr>
          <m:t>(</m:t>
        </m:r>
        <m:r>
          <m:t>x</m:t>
        </m:r>
        <m:r>
          <m:rPr>
            <m:sty m:val="p"/>
          </m:rPr>
          <m:t>)</m:t>
        </m:r>
      </m:oMath>
      <w:r>
        <w:rPr>
          <w:rFonts w:ascii="Times New Roman" w:hAnsi="Times New Roman"/>
          <w:sz w:val="20"/>
        </w:rPr>
        <w:tab/>
        <w:t>(1)</w:t>
      </w:r>
    </w:p>
    <w:p>
      <w:pPr>
        <w:spacing w:after="60"/>
        <w:ind w:firstLine="288"/>
        <w:jc w:val="both"/>
      </w:pPr>
      <w:r>
        <w:rPr>
          <w:rFonts w:ascii="Times New Roman" w:hAnsi="Times New Roman"/>
          <w:sz w:val="20"/>
        </w:rPr>
        <w:t>where F_0(x) is the initial estimate, h_m(x) is the m-th base learner (a decision tree), and η is the learning rate. Unlike conventional gradient boosting that predicts a point estimate, NGBoost predicts the parameters θ of a full conditional distribution P_θ(y|x). For binary potability classification, a Bernoulli distribution is assumed with probability mass function:</w:t>
      </w:r>
    </w:p>
    <w:p>
      <w:pPr>
        <w:tabs>
          <w:tab w:pos="4824" w:val="center"/>
          <w:tab w:pos="9648" w:val="right"/>
        </w:tabs>
        <w:spacing w:before="120" w:after="120"/>
        <w:jc w:val="left"/>
      </w:pPr>
      <w:r>
        <w:tab/>
      </w:r>
      <m:oMath>
        <m:r>
          <m:t>P</m:t>
        </m:r>
        <m:r>
          <m:rPr>
            <m:sty m:val="p"/>
          </m:rPr>
          <m:t>(</m:t>
        </m:r>
        <m:r>
          <m:t>y</m:t>
        </m:r>
        <m:r>
          <m:rPr>
            <m:sty m:val="p"/>
          </m:rPr>
          <m:t>∣</m:t>
        </m:r>
        <m:r>
          <m:t>p</m:t>
        </m:r>
        <m:r>
          <m:rPr>
            <m:sty m:val="p"/>
          </m:rPr>
          <m:t>)</m:t>
        </m:r>
        <m:r>
          <m:rPr>
            <m:sty m:val="p"/>
          </m:rPr>
          <m:t>=</m:t>
        </m:r>
        <m:sSup>
          <m:e>
            <m:r>
              <m:t>p</m:t>
            </m:r>
          </m:e>
          <m:sup>
            <m:r>
              <m:t> </m:t>
            </m:r>
            <m:r>
              <m:t>y</m:t>
            </m:r>
          </m:sup>
        </m:sSup>
        <m:r>
          <m:t> </m:t>
        </m:r>
        <m:r>
          <m:rPr>
            <m:sty m:val="p"/>
          </m:rPr>
          <m:t>(</m:t>
        </m:r>
        <m:r>
          <m:t>1</m:t>
        </m:r>
        <m:r>
          <m:rPr>
            <m:sty m:val="p"/>
          </m:rPr>
          <m:t>−</m:t>
        </m:r>
        <m:r>
          <m:t>p</m:t>
        </m:r>
        <m:sSup>
          <m:e>
            <m:r>
              <m:rPr>
                <m:sty m:val="p"/>
              </m:rPr>
              <m:t>)</m:t>
            </m:r>
          </m:e>
          <m:sup>
            <m:r>
              <m:t> </m:t>
            </m:r>
            <m:r>
              <m:t>1</m:t>
            </m:r>
            <m:r>
              <m:rPr>
                <m:sty m:val="p"/>
              </m:rPr>
              <m:t>−</m:t>
            </m:r>
            <m:r>
              <m:t>y</m:t>
            </m:r>
          </m:sup>
        </m:sSup>
        <m:r>
          <m:rPr>
            <m:sty m:val="p"/>
          </m:rPr>
          <m:t>,</m:t>
        </m:r>
        <m:r>
          <m:t> </m:t>
        </m:r>
        <m:r>
          <m:t>y</m:t>
        </m:r>
        <m:r>
          <m:rPr>
            <m:sty m:val="p"/>
          </m:rPr>
          <m:t>∈</m:t>
        </m:r>
        <m:r>
          <m:rPr>
            <m:sty m:val="p"/>
          </m:rPr>
          <m:t>{</m:t>
        </m:r>
        <m:r>
          <m:t>0</m:t>
        </m:r>
        <m:r>
          <m:rPr>
            <m:sty m:val="p"/>
          </m:rPr>
          <m:t>,</m:t>
        </m:r>
        <m:r>
          <m:t>1</m:t>
        </m:r>
        <m:r>
          <m:rPr>
            <m:sty m:val="p"/>
          </m:rPr>
          <m:t>}</m:t>
        </m:r>
      </m:oMath>
      <w:r>
        <w:rPr>
          <w:rFonts w:ascii="Times New Roman" w:hAnsi="Times New Roman"/>
          <w:sz w:val="20"/>
        </w:rPr>
        <w:tab/>
        <w:t>(2)</w:t>
      </w:r>
    </w:p>
    <w:p>
      <w:pPr>
        <w:spacing w:after="60"/>
        <w:ind w:firstLine="288"/>
        <w:jc w:val="both"/>
      </w:pPr>
      <w:r>
        <w:rPr>
          <w:rFonts w:ascii="Times New Roman" w:hAnsi="Times New Roman"/>
          <w:sz w:val="20"/>
        </w:rPr>
        <w:t>where p is the predicted probability of potability. NGBoost is trained by minimizing a proper scoring rule; using the logarithmic score, the loss for a single observation is the negative log-likelihood:</w:t>
      </w:r>
    </w:p>
    <w:p>
      <w:pPr>
        <w:tabs>
          <w:tab w:pos="4824" w:val="center"/>
          <w:tab w:pos="9648" w:val="right"/>
        </w:tabs>
        <w:spacing w:before="120" w:after="120"/>
        <w:jc w:val="left"/>
      </w:pPr>
      <w:r>
        <w:tab/>
      </w:r>
      <m:oMath>
        <m:r>
          <m:t>S</m:t>
        </m:r>
        <m:r>
          <m:rPr>
            <m:sty m:val="p"/>
          </m:rPr>
          <m:t>(</m:t>
        </m:r>
        <m:r>
          <m:t>θ</m:t>
        </m:r>
        <m:r>
          <m:rPr>
            <m:sty m:val="p"/>
          </m:rPr>
          <m:t>,</m:t>
        </m:r>
        <m:r>
          <m:t>y</m:t>
        </m:r>
        <m:r>
          <m:rPr>
            <m:sty m:val="p"/>
          </m:rPr>
          <m:t>)</m:t>
        </m:r>
        <m:r>
          <m:rPr>
            <m:sty m:val="p"/>
          </m:rPr>
          <m:t>=</m:t>
        </m:r>
        <m:r>
          <m:rPr>
            <m:sty m:val="p"/>
          </m:rPr>
          <m:t>−</m:t>
        </m:r>
        <m:r>
          <m:rPr>
            <m:sty m:val="p"/>
          </m:rPr>
          <m:t>log</m:t>
        </m:r>
        <m:sSub>
          <m:e>
            <m:r>
              <m:t>P</m:t>
            </m:r>
          </m:e>
          <m:sub>
            <m:r>
              <m:t>θ</m:t>
            </m:r>
          </m:sub>
        </m:sSub>
        <m:r>
          <m:rPr>
            <m:sty m:val="p"/>
          </m:rPr>
          <m:t>(</m:t>
        </m:r>
        <m:r>
          <m:t>y</m:t>
        </m:r>
        <m:r>
          <m:rPr>
            <m:sty m:val="p"/>
          </m:rPr>
          <m:t>)</m:t>
        </m:r>
      </m:oMath>
      <w:r>
        <w:rPr>
          <w:rFonts w:ascii="Times New Roman" w:hAnsi="Times New Roman"/>
          <w:sz w:val="20"/>
        </w:rPr>
        <w:tab/>
        <w:t>(3)</w:t>
      </w:r>
    </w:p>
    <w:p>
      <w:pPr>
        <w:spacing w:after="60"/>
        <w:ind w:firstLine="288"/>
        <w:jc w:val="both"/>
      </w:pPr>
      <w:r>
        <w:rPr>
          <w:rFonts w:ascii="Times New Roman" w:hAnsi="Times New Roman"/>
          <w:sz w:val="20"/>
        </w:rPr>
        <w:t>Proper scoring rules attain their expected minimum only when the predicted distribution equals the true data-generating distribution, which directly encourages well-calibrated probabilities. The defining feature of NGBoost is the use of the natural gradient in place of the ordinary gradient. The natural gradient rescales the ordinary gradient by the inverse Fisher information matrix I_S(θ), accounting for the information geometry of the parameter space:</w:t>
      </w:r>
    </w:p>
    <w:p>
      <w:pPr>
        <w:tabs>
          <w:tab w:pos="4824" w:val="center"/>
          <w:tab w:pos="9648" w:val="right"/>
        </w:tabs>
        <w:spacing w:before="120" w:after="120"/>
        <w:jc w:val="left"/>
      </w:pPr>
      <w:r>
        <w:tab/>
      </w:r>
      <m:oMath>
        <m:sSub>
          <m:e>
            <m:r>
              <m:t>I</m:t>
            </m:r>
          </m:e>
          <m:sub>
            <m:r>
              <m:t>S</m:t>
            </m:r>
          </m:sub>
        </m:sSub>
        <m:r>
          <m:rPr>
            <m:sty m:val="p"/>
          </m:rPr>
          <m:t>(</m:t>
        </m:r>
        <m:r>
          <m:t>θ</m:t>
        </m:r>
        <m:r>
          <m:rPr>
            <m:sty m:val="p"/>
          </m:rPr>
          <m:t>)</m:t>
        </m:r>
        <m:r>
          <m:rPr>
            <m:sty m:val="p"/>
          </m:rPr>
          <m:t>=</m:t>
        </m:r>
        <m:sSub>
          <m:e>
            <m:r>
              <m:rPr>
                <m:scr m:val="double-struck"/>
                <m:sty m:val="p"/>
              </m:rPr>
              <m:t>E</m:t>
            </m:r>
          </m:e>
          <m:sub>
            <m:r>
              <m:t>y</m:t>
            </m:r>
            <m:r>
              <m:rPr>
                <m:sty m:val="p"/>
              </m:rPr>
              <m:t>∼</m:t>
            </m:r>
            <m:sSub>
              <m:e>
                <m:r>
                  <m:t>P</m:t>
                </m:r>
              </m:e>
              <m:sub>
                <m:r>
                  <m:t>θ</m:t>
                </m:r>
              </m:sub>
            </m:sSub>
          </m:sub>
        </m:sSub>
        <m:r>
          <m:t>​</m:t>
        </m:r>
        <m:d>
          <m:dPr>
            <m:begChr m:val="["/>
            <m:sepChr m:val=""/>
            <m:endChr m:val="]"/>
            <m:grow/>
          </m:dPr>
          <m:e>
            <m:sSub>
              <m:e>
                <m:r>
                  <m:rPr>
                    <m:sty m:val="p"/>
                  </m:rPr>
                  <m:t>∇</m:t>
                </m:r>
              </m:e>
              <m:sub>
                <m:r>
                  <m:t>θ</m:t>
                </m:r>
              </m:sub>
            </m:sSub>
            <m:r>
              <m:rPr>
                <m:sty m:val="p"/>
              </m:rPr>
              <m:t>log</m:t>
            </m:r>
            <m:sSub>
              <m:e>
                <m:r>
                  <m:t>P</m:t>
                </m:r>
              </m:e>
              <m:sub>
                <m:r>
                  <m:t>θ</m:t>
                </m:r>
              </m:sub>
            </m:sSub>
            <m:r>
              <m:rPr>
                <m:sty m:val="p"/>
              </m:rPr>
              <m:t>(</m:t>
            </m:r>
            <m:r>
              <m:t>y</m:t>
            </m:r>
            <m:r>
              <m:rPr>
                <m:sty m:val="p"/>
              </m:rPr>
              <m:t>)</m:t>
            </m:r>
            <m:r>
              <m:t> </m:t>
            </m:r>
            <m:sSub>
              <m:e>
                <m:r>
                  <m:rPr>
                    <m:sty m:val="p"/>
                  </m:rPr>
                  <m:t>∇</m:t>
                </m:r>
              </m:e>
              <m:sub>
                <m:r>
                  <m:t>θ</m:t>
                </m:r>
              </m:sub>
            </m:sSub>
            <m:r>
              <m:rPr>
                <m:sty m:val="p"/>
              </m:rPr>
              <m:t>log</m:t>
            </m:r>
            <m:sSub>
              <m:e>
                <m:r>
                  <m:t>P</m:t>
                </m:r>
              </m:e>
              <m:sub>
                <m:r>
                  <m:t>θ</m:t>
                </m:r>
              </m:sub>
            </m:sSub>
            <m:r>
              <m:rPr>
                <m:sty m:val="p"/>
              </m:rPr>
              <m:t>(</m:t>
            </m:r>
            <m:r>
              <m:t>y</m:t>
            </m:r>
            <m:sSup>
              <m:e>
                <m:r>
                  <m:rPr>
                    <m:sty m:val="p"/>
                  </m:rPr>
                  <m:t>)</m:t>
                </m:r>
              </m:e>
              <m:sup>
                <m:r>
                  <m:rPr>
                    <m:sty m:val="p"/>
                  </m:rPr>
                  <m:t>⊤</m:t>
                </m:r>
              </m:sup>
            </m:sSup>
          </m:e>
        </m:d>
      </m:oMath>
      <w:r>
        <w:rPr>
          <w:rFonts w:ascii="Times New Roman" w:hAnsi="Times New Roman"/>
          <w:sz w:val="20"/>
        </w:rPr>
        <w:tab/>
        <w:t>(4)</w:t>
      </w:r>
    </w:p>
    <w:p>
      <w:pPr>
        <w:tabs>
          <w:tab w:pos="4824" w:val="center"/>
          <w:tab w:pos="9648" w:val="right"/>
        </w:tabs>
        <w:spacing w:before="120" w:after="120"/>
        <w:jc w:val="left"/>
      </w:pPr>
      <w:r>
        <w:tab/>
      </w:r>
      <m:oMath>
        <m:acc>
          <m:accPr>
            <m:chr m:val="̃"/>
          </m:accPr>
          <m:e>
            <m:r>
              <m:rPr>
                <m:sty m:val="p"/>
              </m:rPr>
              <m:t>∇</m:t>
            </m:r>
          </m:e>
        </m:acc>
        <m:r>
          <m:t> </m:t>
        </m:r>
        <m:r>
          <m:t>S</m:t>
        </m:r>
        <m:r>
          <m:rPr>
            <m:sty m:val="p"/>
          </m:rPr>
          <m:t>(</m:t>
        </m:r>
        <m:r>
          <m:t>θ</m:t>
        </m:r>
        <m:r>
          <m:rPr>
            <m:sty m:val="p"/>
          </m:rPr>
          <m:t>,</m:t>
        </m:r>
        <m:r>
          <m:t>y</m:t>
        </m:r>
        <m:r>
          <m:rPr>
            <m:sty m:val="p"/>
          </m:rPr>
          <m:t>)</m:t>
        </m:r>
        <m:r>
          <m:rPr>
            <m:sty m:val="p"/>
          </m:rPr>
          <m:t>=</m:t>
        </m:r>
        <m:sSub>
          <m:e>
            <m:r>
              <m:t>I</m:t>
            </m:r>
          </m:e>
          <m:sub>
            <m:r>
              <m:t>S</m:t>
            </m:r>
          </m:sub>
        </m:sSub>
        <m:r>
          <m:rPr>
            <m:sty m:val="p"/>
          </m:rPr>
          <m:t>(</m:t>
        </m:r>
        <m:r>
          <m:t>θ</m:t>
        </m:r>
        <m:sSup>
          <m:e>
            <m:r>
              <m:rPr>
                <m:sty m:val="p"/>
              </m:rPr>
              <m:t>)</m:t>
            </m:r>
          </m:e>
          <m:sup>
            <m:r>
              <m:rPr>
                <m:sty m:val="p"/>
              </m:rPr>
              <m:t>−</m:t>
            </m:r>
            <m:r>
              <m:t>1</m:t>
            </m:r>
          </m:sup>
        </m:sSup>
        <m:r>
          <m:t> </m:t>
        </m:r>
        <m:sSub>
          <m:e>
            <m:r>
              <m:rPr>
                <m:sty m:val="p"/>
              </m:rPr>
              <m:t>∇</m:t>
            </m:r>
          </m:e>
          <m:sub>
            <m:r>
              <m:t>θ</m:t>
            </m:r>
          </m:sub>
        </m:sSub>
        <m:r>
          <m:t>S</m:t>
        </m:r>
        <m:r>
          <m:rPr>
            <m:sty m:val="p"/>
          </m:rPr>
          <m:t>(</m:t>
        </m:r>
        <m:r>
          <m:t>θ</m:t>
        </m:r>
        <m:r>
          <m:rPr>
            <m:sty m:val="p"/>
          </m:rPr>
          <m:t>,</m:t>
        </m:r>
        <m:r>
          <m:t>y</m:t>
        </m:r>
        <m:r>
          <m:rPr>
            <m:sty m:val="p"/>
          </m:rPr>
          <m:t>)</m:t>
        </m:r>
      </m:oMath>
      <w:r>
        <w:rPr>
          <w:rFonts w:ascii="Times New Roman" w:hAnsi="Times New Roman"/>
          <w:sz w:val="20"/>
        </w:rPr>
        <w:tab/>
        <w:t>(5)</w:t>
      </w:r>
    </w:p>
    <w:p>
      <w:pPr>
        <w:spacing w:after="60"/>
        <w:ind w:firstLine="288"/>
        <w:jc w:val="both"/>
      </w:pPr>
      <w:r>
        <w:rPr>
          <w:rFonts w:ascii="Times New Roman" w:hAnsi="Times New Roman"/>
          <w:sz w:val="20"/>
        </w:rPr>
        <w:t>The distributional parameters are then updated as θ ← θ − η · natural-gradient, which yields invariance to reparameterization and more stable optimization of probabilistic outputs than first-order gradient descent.</w:t>
      </w:r>
    </w:p>
    <w:p>
      <w:pPr>
        <w:spacing w:before="120" w:after="60"/>
        <w:jc w:val="left"/>
      </w:pPr>
      <w:r>
        <w:rPr>
          <w:rFonts w:ascii="Times New Roman" w:hAnsi="Times New Roman"/>
          <w:b/>
          <w:i/>
          <w:sz w:val="20"/>
        </w:rPr>
        <w:t>D. Evaluation Metrics</w:t>
      </w:r>
    </w:p>
    <w:p>
      <w:pPr>
        <w:spacing w:after="60"/>
        <w:ind w:firstLine="283"/>
        <w:jc w:val="both"/>
      </w:pPr>
      <w:r>
        <w:rPr>
          <w:rFonts w:ascii="Times New Roman" w:hAnsi="Times New Roman"/>
          <w:sz w:val="20"/>
        </w:rPr>
        <w:t>Model evaluation encompasses three categories. Classification metrics include Accuracy, Precision, Recall, and F1-score, computed at the standard 0.5 decision threshold. Calibration metrics include Negative Log-Likelihood (NLL), which measures the quality of predicted probability distributions, and Expected Calibration Error (ECE), which quantifies the average absolute difference between predicted confidence and observed accuracy across ten uniform probability bins. Discriminative capacity is assessed via Area Under the ROC Curve (AUC). Statistical comparison between models employs McNemar's test [15] to determine whether differences in classification accuracy are statistically significant.</w:t>
      </w:r>
    </w:p>
    <w:p>
      <w:pPr>
        <w:spacing w:after="60"/>
        <w:ind w:firstLine="288"/>
        <w:jc w:val="both"/>
      </w:pPr>
      <w:r>
        <w:rPr>
          <w:rFonts w:ascii="Times New Roman" w:hAnsi="Times New Roman"/>
          <w:sz w:val="20"/>
        </w:rPr>
        <w:t>Let TP, TN, FP, and FN denote the numbers of true positives, true negatives, false positives, and false negatives, respectively. The discriminative metrics are defined as:</w:t>
      </w:r>
    </w:p>
    <w:p>
      <w:pPr>
        <w:tabs>
          <w:tab w:pos="4824" w:val="center"/>
          <w:tab w:pos="9648" w:val="right"/>
        </w:tabs>
        <w:spacing w:before="120" w:after="120"/>
        <w:jc w:val="left"/>
      </w:pPr>
      <w:r>
        <w:tab/>
      </w:r>
      <m:oMath>
        <m:r>
          <m:rPr>
            <m:sty m:val="p"/>
          </m:rPr>
          <m:t>A</m:t>
        </m:r>
        <m:r>
          <m:rPr>
            <m:sty m:val="p"/>
          </m:rPr>
          <m:t>c</m:t>
        </m:r>
        <m:r>
          <m:rPr>
            <m:sty m:val="p"/>
          </m:rPr>
          <m:t>c</m:t>
        </m:r>
        <m:r>
          <m:rPr>
            <m:sty m:val="p"/>
          </m:rPr>
          <m:t>u</m:t>
        </m:r>
        <m:r>
          <m:rPr>
            <m:sty m:val="p"/>
          </m:rPr>
          <m:t>r</m:t>
        </m:r>
        <m:r>
          <m:rPr>
            <m:sty m:val="p"/>
          </m:rPr>
          <m:t>a</m:t>
        </m:r>
        <m:r>
          <m:rPr>
            <m:sty m:val="p"/>
          </m:rPr>
          <m:t>c</m:t>
        </m:r>
        <m:r>
          <m:rPr>
            <m:sty m:val="p"/>
          </m:rPr>
          <m:t>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w:r>
        <w:rPr>
          <w:rFonts w:ascii="Times New Roman" w:hAnsi="Times New Roman"/>
          <w:sz w:val="20"/>
        </w:rPr>
        <w:tab/>
        <w:t>(6)</w:t>
      </w:r>
    </w:p>
    <w:p>
      <w:pPr>
        <w:tabs>
          <w:tab w:pos="4824" w:val="center"/>
          <w:tab w:pos="9648" w:val="right"/>
        </w:tabs>
        <w:spacing w:before="120" w:after="120"/>
        <w:jc w:val="left"/>
      </w:pPr>
      <w:r>
        <w:tab/>
      </w:r>
      <m:oMath>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f>
          <m:fPr>
            <m:type m:val="bar"/>
          </m:fPr>
          <m:num>
            <m:r>
              <m:t>T</m:t>
            </m:r>
            <m:r>
              <m:t>P</m:t>
            </m:r>
          </m:num>
          <m:den>
            <m:r>
              <m:t>T</m:t>
            </m:r>
            <m:r>
              <m:t>P</m:t>
            </m:r>
            <m:r>
              <m:rPr>
                <m:sty m:val="p"/>
              </m:rPr>
              <m:t>+</m:t>
            </m:r>
            <m:r>
              <m:t>F</m:t>
            </m:r>
            <m:r>
              <m:t>P</m:t>
            </m:r>
          </m:den>
        </m:f>
      </m:oMath>
      <w:r>
        <w:rPr>
          <w:rFonts w:ascii="Times New Roman" w:hAnsi="Times New Roman"/>
          <w:sz w:val="20"/>
        </w:rPr>
        <w:tab/>
        <w:t>(7)</w:t>
      </w:r>
    </w:p>
    <w:p>
      <w:pPr>
        <w:tabs>
          <w:tab w:pos="4824" w:val="center"/>
          <w:tab w:pos="9648" w:val="right"/>
        </w:tabs>
        <w:spacing w:before="120" w:after="120"/>
        <w:jc w:val="left"/>
      </w:pPr>
      <w:r>
        <w:tab/>
      </w:r>
      <m:oMath>
        <m:r>
          <m:rPr>
            <m:sty m:val="p"/>
          </m:rPr>
          <m:t>R</m:t>
        </m:r>
        <m:r>
          <m:rPr>
            <m:sty m:val="p"/>
          </m:rPr>
          <m:t>e</m:t>
        </m:r>
        <m:r>
          <m:rPr>
            <m:sty m:val="p"/>
          </m:rPr>
          <m:t>c</m:t>
        </m:r>
        <m:r>
          <m:rPr>
            <m:sty m:val="p"/>
          </m:rPr>
          <m:t>a</m:t>
        </m:r>
        <m:r>
          <m:rPr>
            <m:sty m:val="p"/>
          </m:rPr>
          <m:t>l</m:t>
        </m:r>
        <m:r>
          <m:rPr>
            <m:sty m:val="p"/>
          </m:rPr>
          <m:t>l</m:t>
        </m:r>
        <m:r>
          <m:rPr>
            <m:sty m:val="p"/>
          </m:rPr>
          <m:t>=</m:t>
        </m:r>
        <m:f>
          <m:fPr>
            <m:type m:val="bar"/>
          </m:fPr>
          <m:num>
            <m:r>
              <m:t>T</m:t>
            </m:r>
            <m:r>
              <m:t>P</m:t>
            </m:r>
          </m:num>
          <m:den>
            <m:r>
              <m:t>T</m:t>
            </m:r>
            <m:r>
              <m:t>P</m:t>
            </m:r>
            <m:r>
              <m:rPr>
                <m:sty m:val="p"/>
              </m:rPr>
              <m:t>+</m:t>
            </m:r>
            <m:r>
              <m:t>F</m:t>
            </m:r>
            <m:r>
              <m:t>N</m:t>
            </m:r>
          </m:den>
        </m:f>
      </m:oMath>
      <w:r>
        <w:rPr>
          <w:rFonts w:ascii="Times New Roman" w:hAnsi="Times New Roman"/>
          <w:sz w:val="20"/>
        </w:rPr>
        <w:tab/>
        <w:t>(8)</w:t>
      </w:r>
    </w:p>
    <w:p>
      <w:pPr>
        <w:tabs>
          <w:tab w:pos="4824" w:val="center"/>
          <w:tab w:pos="9648" w:val="right"/>
        </w:tabs>
        <w:spacing w:before="120" w:after="120"/>
        <w:jc w:val="left"/>
      </w:pPr>
      <w:r>
        <w:tab/>
      </w:r>
      <m:oMath>
        <m:sSub>
          <m:e>
            <m:r>
              <m:t>F</m:t>
            </m:r>
          </m:e>
          <m:sub>
            <m:r>
              <m:t>1</m:t>
            </m:r>
          </m:sub>
        </m:sSub>
        <m:r>
          <m:rPr>
            <m:sty m:val="p"/>
          </m:rPr>
          <m:t>=</m:t>
        </m:r>
        <m:r>
          <m:t>2</m:t>
        </m:r>
        <m:r>
          <m:rPr>
            <m:sty m:val="p"/>
          </m:rPr>
          <m:t>⋅</m:t>
        </m:r>
        <m:f>
          <m:fPr>
            <m:type m:val="bar"/>
          </m:fPr>
          <m:num>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num>
          <m:den>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den>
        </m:f>
      </m:oMath>
      <w:r>
        <w:rPr>
          <w:rFonts w:ascii="Times New Roman" w:hAnsi="Times New Roman"/>
          <w:sz w:val="20"/>
        </w:rPr>
        <w:tab/>
        <w:t>(9)</w:t>
      </w:r>
    </w:p>
    <w:p>
      <w:pPr>
        <w:spacing w:after="60"/>
        <w:ind w:firstLine="288"/>
        <w:jc w:val="both"/>
      </w:pPr>
      <w:r>
        <w:rPr>
          <w:rFonts w:ascii="Times New Roman" w:hAnsi="Times New Roman"/>
          <w:sz w:val="20"/>
        </w:rPr>
        <w:t>Calibration is quantified using the Negative Log-Likelihood (NLL) over N test samples and the Expected Calibration Error (ECE) computed over M equal-width probability bins:</w:t>
      </w:r>
    </w:p>
    <w:p>
      <w:pPr>
        <w:tabs>
          <w:tab w:pos="4824" w:val="center"/>
          <w:tab w:pos="9648" w:val="right"/>
        </w:tabs>
        <w:spacing w:before="120" w:after="120"/>
        <w:jc w:val="left"/>
      </w:pPr>
      <w:r>
        <w:tab/>
      </w:r>
      <m:oMath>
        <m:r>
          <m:rPr>
            <m:sty m:val="p"/>
          </m:rPr>
          <m:t>N</m:t>
        </m:r>
        <m:r>
          <m:rPr>
            <m:sty m:val="p"/>
          </m:rPr>
          <m:t>L</m:t>
        </m:r>
        <m:r>
          <m:rPr>
            <m:sty m:val="p"/>
          </m:rPr>
          <m:t>L</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sSub>
                  <m:e>
                    <m:r>
                      <m:t>p</m:t>
                    </m:r>
                  </m:e>
                  <m:sub>
                    <m:r>
                      <m:t>i</m:t>
                    </m:r>
                  </m:sub>
                </m:sSub>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r>
                      <m:t>p</m:t>
                    </m:r>
                  </m:e>
                  <m:sub>
                    <m:r>
                      <m:t>i</m:t>
                    </m:r>
                  </m:sub>
                </m:sSub>
                <m:r>
                  <m:rPr>
                    <m:sty m:val="p"/>
                  </m:rPr>
                  <m:t>)</m:t>
                </m:r>
              </m:e>
            </m:d>
          </m:e>
        </m:nary>
      </m:oMath>
      <w:r>
        <w:rPr>
          <w:rFonts w:ascii="Times New Roman" w:hAnsi="Times New Roman"/>
          <w:sz w:val="20"/>
        </w:rPr>
        <w:tab/>
        <w:t>(10)</w:t>
      </w:r>
    </w:p>
    <w:p>
      <w:pPr>
        <w:tabs>
          <w:tab w:pos="4824" w:val="center"/>
          <w:tab w:pos="9648" w:val="right"/>
        </w:tabs>
        <w:spacing w:before="120" w:after="120"/>
        <w:jc w:val="left"/>
      </w:pPr>
      <w:r>
        <w:tab/>
      </w:r>
      <m:oMath>
        <m:r>
          <m:rPr>
            <m:sty m:val="p"/>
          </m:rPr>
          <m:t>E</m:t>
        </m:r>
        <m:r>
          <m:rPr>
            <m:sty m:val="p"/>
          </m:rPr>
          <m:t>C</m:t>
        </m:r>
        <m:r>
          <m:rPr>
            <m:sty m:val="p"/>
          </m:rPr>
          <m:t>E</m:t>
        </m:r>
        <m:r>
          <m:rPr>
            <m:sty m:val="p"/>
          </m:rPr>
          <m:t>=</m:t>
        </m:r>
        <m:nary>
          <m:naryPr>
            <m:chr m:val="∑"/>
            <m:limLoc m:val="undOvr"/>
            <m:subHide m:val="off"/>
            <m:supHide m:val="off"/>
          </m:naryPr>
          <m:sub>
            <m:r>
              <m:t>m</m:t>
            </m:r>
            <m:r>
              <m:rPr>
                <m:sty m:val="p"/>
              </m:rPr>
              <m:t>=</m:t>
            </m:r>
            <m:r>
              <m:t>1</m:t>
            </m:r>
          </m:sub>
          <m:sup>
            <m:r>
              <m:t>M</m:t>
            </m:r>
          </m:sup>
          <m:e>
            <m:f>
              <m:fPr>
                <m:type m:val="bar"/>
              </m:fPr>
              <m:num>
                <m:r>
                  <m:rPr>
                    <m:sty m:val="p"/>
                  </m:rPr>
                  <m:t>|</m:t>
                </m:r>
                <m:sSub>
                  <m:e>
                    <m:r>
                      <m:t>B</m:t>
                    </m:r>
                  </m:e>
                  <m:sub>
                    <m:r>
                      <m:t>m</m:t>
                    </m:r>
                  </m:sub>
                </m:sSub>
                <m:r>
                  <m:rPr>
                    <m:sty m:val="p"/>
                  </m:rPr>
                  <m:t>|</m:t>
                </m:r>
              </m:num>
              <m:den>
                <m:r>
                  <m:t>N</m:t>
                </m:r>
              </m:den>
            </m:f>
          </m:e>
        </m:nary>
        <m:r>
          <m:t> </m:t>
        </m:r>
        <m:r>
          <m:rPr>
            <m:sty m:val="p"/>
          </m:rPr>
          <m:t>|</m:t>
        </m:r>
        <m:r>
          <m:t> </m:t>
        </m:r>
        <m:r>
          <m:rPr>
            <m:sty m:val="p"/>
          </m:rPr>
          <m:t>a</m:t>
        </m:r>
        <m:r>
          <m:rPr>
            <m:sty m:val="p"/>
          </m:rPr>
          <m:t>c</m:t>
        </m:r>
        <m:r>
          <m:rPr>
            <m:sty m:val="p"/>
          </m:rPr>
          <m:t>c</m:t>
        </m:r>
        <m:r>
          <m:rPr>
            <m:sty m:val="p"/>
          </m:rPr>
          <m:t>(</m:t>
        </m:r>
        <m:sSub>
          <m:e>
            <m:r>
              <m:t>B</m:t>
            </m:r>
          </m:e>
          <m:sub>
            <m:r>
              <m:t>m</m:t>
            </m:r>
          </m:sub>
        </m:sSub>
        <m:r>
          <m:rPr>
            <m:sty m:val="p"/>
          </m:rPr>
          <m:t>)</m:t>
        </m:r>
        <m:r>
          <m:rPr>
            <m:sty m:val="p"/>
          </m:rPr>
          <m:t>−</m:t>
        </m:r>
        <m:r>
          <m:rPr>
            <m:sty m:val="p"/>
          </m:rPr>
          <m:t>c</m:t>
        </m:r>
        <m:r>
          <m:rPr>
            <m:sty m:val="p"/>
          </m:rPr>
          <m:t>o</m:t>
        </m:r>
        <m:r>
          <m:rPr>
            <m:sty m:val="p"/>
          </m:rPr>
          <m:t>n</m:t>
        </m:r>
        <m:r>
          <m:rPr>
            <m:sty m:val="p"/>
          </m:rPr>
          <m:t>f</m:t>
        </m:r>
        <m:r>
          <m:rPr>
            <m:sty m:val="p"/>
          </m:rPr>
          <m:t>(</m:t>
        </m:r>
        <m:sSub>
          <m:e>
            <m:r>
              <m:t>B</m:t>
            </m:r>
          </m:e>
          <m:sub>
            <m:r>
              <m:t>m</m:t>
            </m:r>
          </m:sub>
        </m:sSub>
        <m:r>
          <m:rPr>
            <m:sty m:val="p"/>
          </m:rPr>
          <m:t>)</m:t>
        </m:r>
        <m:r>
          <m:t> </m:t>
        </m:r>
        <m:r>
          <m:rPr>
            <m:sty m:val="p"/>
          </m:rPr>
          <m:t>|</m:t>
        </m:r>
      </m:oMath>
      <w:r>
        <w:rPr>
          <w:rFonts w:ascii="Times New Roman" w:hAnsi="Times New Roman"/>
          <w:sz w:val="20"/>
        </w:rPr>
        <w:tab/>
        <w:t>(11)</w:t>
      </w:r>
    </w:p>
    <w:p>
      <w:pPr>
        <w:spacing w:after="60"/>
        <w:ind w:firstLine="288"/>
        <w:jc w:val="both"/>
      </w:pPr>
      <w:r>
        <w:rPr>
          <w:rFonts w:ascii="Times New Roman" w:hAnsi="Times New Roman"/>
          <w:sz w:val="20"/>
        </w:rPr>
        <w:t>where B_m is the set of samples whose predicted confidence falls in bin m, and acc(B_m) and conf(B_m) are the average accuracy and average predicted confidence within that bin. Statistical significance of accuracy differences between two models is assessed using McNemar's test with continuity correction:</w:t>
      </w:r>
    </w:p>
    <w:p>
      <w:pPr>
        <w:tabs>
          <w:tab w:pos="4824" w:val="center"/>
          <w:tab w:pos="9648" w:val="right"/>
        </w:tabs>
        <w:spacing w:before="120" w:after="120"/>
        <w:jc w:val="left"/>
      </w:pPr>
      <w:r>
        <w:tab/>
      </w:r>
      <m:oMath>
        <m:sSup>
          <m:e>
            <m:r>
              <m:t>χ</m:t>
            </m:r>
          </m:e>
          <m:sup>
            <m:r>
              <m:t>2</m:t>
            </m:r>
          </m:sup>
        </m:sSup>
        <m:r>
          <m:rPr>
            <m:sty m:val="p"/>
          </m:rPr>
          <m:t>=</m:t>
        </m:r>
        <m:f>
          <m:fPr>
            <m:type m:val="bar"/>
          </m:fPr>
          <m:num>
            <m:r>
              <m:rPr>
                <m:sty m:val="p"/>
              </m:rPr>
              <m:t>(</m:t>
            </m:r>
            <m:r>
              <m:t> </m:t>
            </m:r>
            <m:r>
              <m:rPr>
                <m:sty m:val="p"/>
              </m:rPr>
              <m:t>|</m:t>
            </m:r>
            <m:r>
              <m:t>b</m:t>
            </m:r>
            <m:r>
              <m:rPr>
                <m:sty m:val="p"/>
              </m:rPr>
              <m:t>−</m:t>
            </m:r>
            <m:r>
              <m:t>c</m:t>
            </m:r>
            <m:r>
              <m:rPr>
                <m:sty m:val="p"/>
              </m:rPr>
              <m:t>|</m:t>
            </m:r>
            <m:r>
              <m:rPr>
                <m:sty m:val="p"/>
              </m:rPr>
              <m:t>−</m:t>
            </m:r>
            <m:r>
              <m:t>1</m:t>
            </m:r>
            <m:r>
              <m:t> </m:t>
            </m:r>
            <m:sSup>
              <m:e>
                <m:r>
                  <m:rPr>
                    <m:sty m:val="p"/>
                  </m:rPr>
                  <m:t>)</m:t>
                </m:r>
              </m:e>
              <m:sup>
                <m:r>
                  <m:t>2</m:t>
                </m:r>
              </m:sup>
            </m:sSup>
          </m:num>
          <m:den>
            <m:r>
              <m:t>b</m:t>
            </m:r>
            <m:r>
              <m:rPr>
                <m:sty m:val="p"/>
              </m:rPr>
              <m:t>+</m:t>
            </m:r>
            <m:r>
              <m:t>c</m:t>
            </m:r>
          </m:den>
        </m:f>
      </m:oMath>
      <w:r>
        <w:rPr>
          <w:rFonts w:ascii="Times New Roman" w:hAnsi="Times New Roman"/>
          <w:sz w:val="20"/>
        </w:rPr>
        <w:tab/>
        <w:t>(12)</w:t>
      </w:r>
    </w:p>
    <w:p>
      <w:pPr>
        <w:spacing w:after="60"/>
        <w:ind w:firstLine="288"/>
        <w:jc w:val="both"/>
      </w:pPr>
      <w:r>
        <w:rPr>
          <w:rFonts w:ascii="Times New Roman" w:hAnsi="Times New Roman"/>
          <w:sz w:val="20"/>
        </w:rPr>
        <w:t>where b and c are the counts of samples misclassified by exactly one of the two compared models. Under the null hypothesis of equal error rates, the statistic follows a chi-squared distribution with one degree of freedom.</w:t>
      </w:r>
    </w:p>
    <w:p>
      <w:pPr>
        <w:spacing w:before="120" w:after="60"/>
        <w:jc w:val="left"/>
      </w:pPr>
      <w:r>
        <w:rPr>
          <w:rFonts w:ascii="Times New Roman" w:hAnsi="Times New Roman"/>
          <w:b/>
          <w:i/>
          <w:sz w:val="20"/>
        </w:rPr>
        <w:t>E. Uncertainty Zone Analysis</w:t>
      </w:r>
    </w:p>
    <w:p>
      <w:pPr>
        <w:spacing w:after="60"/>
        <w:ind w:firstLine="283"/>
        <w:jc w:val="both"/>
      </w:pPr>
      <w:r>
        <w:rPr>
          <w:rFonts w:ascii="Times New Roman" w:hAnsi="Times New Roman"/>
          <w:sz w:val="20"/>
        </w:rPr>
        <w:t>To evaluate the operational utility of probabilistic outputs, we partition the test set into five uncertainty zones based on predicted probability: Zone 1 (mu &lt; 0.2, high confidence non-potable), Zone 2 (0.2 &lt;= mu &lt; 0.4, moderate confidence non-potable), Zone 3 (0.4 &lt;= mu &lt; 0.6, ambiguous/uncertain), Zone 4 (0.6 &lt;= mu &lt; 0.8, moderate confidence potable), and Zone 5 (mu &gt;= 0.8, high confidence potable). For each zone, we compute accuracy and sample count to assess whether probabilistic confidence correlates with actual predictive reliability.</w:t>
      </w:r>
    </w:p>
    <w:p>
      <w:pPr>
        <w:spacing w:before="120" w:after="60"/>
        <w:jc w:val="left"/>
      </w:pPr>
      <w:r>
        <w:rPr>
          <w:rFonts w:ascii="Times New Roman" w:hAnsi="Times New Roman"/>
          <w:b/>
          <w:i/>
          <w:sz w:val="20"/>
        </w:rPr>
        <w:t>F. SMOTE-ENN Analysis</w:t>
      </w:r>
    </w:p>
    <w:p>
      <w:pPr>
        <w:spacing w:after="60"/>
        <w:ind w:firstLine="283"/>
        <w:jc w:val="both"/>
      </w:pPr>
      <w:r>
        <w:rPr>
          <w:rFonts w:ascii="Times New Roman" w:hAnsi="Times New Roman"/>
          <w:sz w:val="20"/>
        </w:rPr>
        <w:t>To investigate the impact of class imbalance correction on probabilistic predictions, SMOTE-ENN is applied to the training data. SMOTE generates synthetic minority samples through k-nearest neighbor interpolation (k=5), while Edited Nearest Neighbors removes samples whose class differs from the majority of their neighbors. Models are retrained on the resampled data and evaluated on the unchanged test set to assess whether resampling improves or degrades generalization and calibration quality.</w:t>
      </w:r>
    </w:p>
    <w:p>
      <w:pPr>
        <w:spacing w:after="60"/>
        <w:ind w:firstLine="288"/>
        <w:jc w:val="both"/>
      </w:pPr>
      <w:r>
        <w:rPr>
          <w:rFonts w:ascii="Times New Roman" w:hAnsi="Times New Roman"/>
          <w:sz w:val="20"/>
        </w:rPr>
        <w:t>Formally, a synthetic minority sample is generated by interpolating between a minority instance x_i and one of its k nearest minority-class neighbors x_nn:</w:t>
      </w:r>
    </w:p>
    <w:p>
      <w:pPr>
        <w:tabs>
          <w:tab w:pos="4824" w:val="center"/>
          <w:tab w:pos="9648" w:val="right"/>
        </w:tabs>
        <w:spacing w:before="120" w:after="120"/>
        <w:jc w:val="left"/>
      </w:pPr>
      <w:r>
        <w:tab/>
      </w:r>
      <m:oMath>
        <m:sSub>
          <m:e>
            <m:r>
              <m:t>x</m:t>
            </m:r>
          </m:e>
          <m:sub>
            <m:r>
              <m:rPr>
                <m:sty m:val="p"/>
              </m:rPr>
              <m:t>n</m:t>
            </m:r>
            <m:r>
              <m:rPr>
                <m:sty m:val="p"/>
              </m:rPr>
              <m:t>e</m:t>
            </m:r>
            <m:r>
              <m:rPr>
                <m:sty m:val="p"/>
              </m:rPr>
              <m:t>w</m:t>
            </m:r>
          </m:sub>
        </m:sSub>
        <m:r>
          <m:rPr>
            <m:sty m:val="p"/>
          </m:rPr>
          <m:t>=</m:t>
        </m:r>
        <m:sSub>
          <m:e>
            <m:r>
              <m:t>x</m:t>
            </m:r>
          </m:e>
          <m:sub>
            <m:r>
              <m:t>i</m:t>
            </m:r>
          </m:sub>
        </m:sSub>
        <m:r>
          <m:rPr>
            <m:sty m:val="p"/>
          </m:rPr>
          <m:t>+</m:t>
        </m:r>
        <m:r>
          <m:t>δ</m:t>
        </m:r>
        <m:r>
          <m:t> </m:t>
        </m:r>
        <m:r>
          <m:rPr>
            <m:sty m:val="p"/>
          </m:rPr>
          <m:t>(</m:t>
        </m:r>
        <m:sSub>
          <m:e>
            <m:r>
              <m:t>x</m:t>
            </m:r>
          </m:e>
          <m:sub>
            <m:r>
              <m:t>n</m:t>
            </m:r>
            <m:r>
              <m:t>n</m:t>
            </m:r>
          </m:sub>
        </m:sSub>
        <m:r>
          <m:rPr>
            <m:sty m:val="p"/>
          </m:rPr>
          <m:t>−</m:t>
        </m:r>
        <m:sSub>
          <m:e>
            <m:r>
              <m:t>x</m:t>
            </m:r>
          </m:e>
          <m:sub>
            <m:r>
              <m:t>i</m:t>
            </m:r>
          </m:sub>
        </m:sSub>
        <m:r>
          <m:rPr>
            <m:sty m:val="p"/>
          </m:rPr>
          <m:t>)</m:t>
        </m:r>
        <m:r>
          <m:rPr>
            <m:sty m:val="p"/>
          </m:rPr>
          <m:t>,</m:t>
        </m:r>
        <m:r>
          <m:t> </m:t>
        </m:r>
        <m:r>
          <m:t>δ</m:t>
        </m:r>
        <m:r>
          <m:rPr>
            <m:sty m:val="p"/>
          </m:rPr>
          <m:t>∼</m:t>
        </m:r>
        <m:r>
          <m:t>U</m:t>
        </m:r>
        <m:r>
          <m:rPr>
            <m:sty m:val="p"/>
          </m:rPr>
          <m:t>(</m:t>
        </m:r>
        <m:r>
          <m:t>0</m:t>
        </m:r>
        <m:r>
          <m:rPr>
            <m:sty m:val="p"/>
          </m:rPr>
          <m:t>,</m:t>
        </m:r>
        <m:r>
          <m:t>1</m:t>
        </m:r>
        <m:r>
          <m:rPr>
            <m:sty m:val="p"/>
          </m:rPr>
          <m:t>)</m:t>
        </m:r>
      </m:oMath>
      <w:r>
        <w:rPr>
          <w:rFonts w:ascii="Times New Roman" w:hAnsi="Times New Roman"/>
          <w:sz w:val="20"/>
        </w:rPr>
        <w:tab/>
        <w:t>(13)</w:t>
      </w:r>
    </w:p>
    <w:p>
      <w:pPr>
        <w:spacing w:after="60"/>
        <w:ind w:firstLine="288"/>
        <w:jc w:val="both"/>
      </w:pPr>
      <w:r>
        <w:rPr>
          <w:rFonts w:ascii="Times New Roman" w:hAnsi="Times New Roman"/>
          <w:sz w:val="20"/>
        </w:rPr>
        <w:t>where δ is a random scalar drawn from a uniform distribution on [0,1]. The Edited Nearest Neighbors step subsequently removes any instance whose class label disagrees with the majority of its k nearest neighbors, cleaning overlapping regions of the feature space.</w:t>
      </w:r>
    </w:p>
    <w:p>
      <w:pPr>
        <w:spacing w:before="120" w:after="60"/>
        <w:jc w:val="left"/>
      </w:pPr>
      <w:r>
        <w:rPr>
          <w:rFonts w:ascii="Times New Roman" w:hAnsi="Times New Roman"/>
          <w:b/>
          <w:i/>
          <w:sz w:val="20"/>
        </w:rPr>
        <w:t>G. Experimental Reproducibility</w:t>
      </w:r>
    </w:p>
    <w:p>
      <w:pPr>
        <w:spacing w:after="60"/>
        <w:ind w:firstLine="283"/>
        <w:jc w:val="both"/>
      </w:pPr>
      <w:r>
        <w:rPr>
          <w:rFonts w:ascii="Times New Roman" w:hAnsi="Times New Roman"/>
          <w:sz w:val="20"/>
        </w:rPr>
        <w:t>To ensure full reproducibility and transparency, all experiments use a single fixed random seed (42). Because NGBoost's stochastic minibatch and column subsampling are not entirely governed by its constructor seed in the library version employed, the global NumPy random state is explicitly fixed immediately prior to NGBoost training; this renders the reported NGBoost results deterministic across repeated runs. The reported results were produced with scikit-learn 1.6.1, XGBoost 2.1.4, and NGBoost 0.5.10. All tables and figures in this paper are generated programmatically from a single experimental run, guaranteeing internal consistency between reported values.</w:t>
      </w:r>
    </w:p>
    <w:p>
      <w:pPr>
        <w:spacing w:before="240" w:after="120"/>
        <w:jc w:val="left"/>
      </w:pPr>
      <w:r>
        <w:rPr>
          <w:rFonts w:ascii="Times New Roman" w:hAnsi="Times New Roman"/>
          <w:b/>
          <w:sz w:val="20"/>
        </w:rPr>
        <w:t>IV. RESULTS AND DISCUSSION</w:t>
      </w:r>
    </w:p>
    <w:p>
      <w:pPr>
        <w:spacing w:before="120" w:after="60"/>
        <w:jc w:val="left"/>
      </w:pPr>
      <w:r>
        <w:rPr>
          <w:rFonts w:ascii="Times New Roman" w:hAnsi="Times New Roman"/>
          <w:b/>
          <w:i/>
          <w:sz w:val="20"/>
        </w:rPr>
        <w:t>A. Classification Performance</w:t>
      </w:r>
    </w:p>
    <w:p>
      <w:pPr>
        <w:spacing w:after="60"/>
        <w:ind w:firstLine="283"/>
        <w:jc w:val="both"/>
      </w:pPr>
      <w:r>
        <w:rPr>
          <w:rFonts w:ascii="Times New Roman" w:hAnsi="Times New Roman"/>
          <w:sz w:val="20"/>
        </w:rPr>
        <w:t>Table I presents the classification and calibration metrics for all three models on the test set (N=492). NGBoost and XGBoost achieve identical accuracy (0.6646), while Random Forest obtains 0.6585. However, the models exhibit distinct precision-recall trade-offs. NGBoost demonstrates the highest precision (0.6667) but the lowest recall (0.2812), indicating conservative positive predictions with few false positives. XGBoost achieves the highest recall (0.3333) and the best F1-score (0.4369). Random Forest occupies an intermediate position with precision of 0.6304 and recall of 0.3021.</w:t>
      </w:r>
    </w:p>
    <w:p>
      <w:pPr>
        <w:jc w:val="center"/>
      </w:pPr>
      <w:r>
        <w:rPr>
          <w:rFonts w:ascii="Times New Roman" w:hAnsi="Times New Roman"/>
          <w:b/>
          <w:sz w:val="18"/>
        </w:rPr>
        <w:t>TABLE I. CLASSIFICATION AND CALIBRATION METRICS (TEST SET, N=492)</w:t>
      </w:r>
    </w:p>
    <w:tbl>
      <w:tblPr>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1261"/>
            <w:shd w:fill="D9E2F3"/>
          </w:tcPr>
          <w:p>
            <w:pPr>
              <w:jc w:val="center"/>
            </w:pPr>
            <w:r>
              <w:rPr>
                <w:rFonts w:ascii="Times New Roman" w:hAnsi="Times New Roman"/>
                <w:b/>
                <w:sz w:val="18"/>
              </w:rPr>
              <w:t>Model</w:t>
            </w:r>
          </w:p>
        </w:tc>
        <w:tc>
          <w:tcPr>
            <w:tcW w:type="dxa" w:w="1261"/>
            <w:shd w:fill="D9E2F3"/>
          </w:tcPr>
          <w:p>
            <w:pPr>
              <w:jc w:val="center"/>
            </w:pPr>
            <w:r>
              <w:rPr>
                <w:rFonts w:ascii="Times New Roman" w:hAnsi="Times New Roman"/>
                <w:b/>
                <w:sz w:val="18"/>
              </w:rPr>
              <w:t>Acc</w:t>
            </w:r>
          </w:p>
        </w:tc>
        <w:tc>
          <w:tcPr>
            <w:tcW w:type="dxa" w:w="1261"/>
            <w:shd w:fill="D9E2F3"/>
          </w:tcPr>
          <w:p>
            <w:pPr>
              <w:jc w:val="center"/>
            </w:pPr>
            <w:r>
              <w:rPr>
                <w:rFonts w:ascii="Times New Roman" w:hAnsi="Times New Roman"/>
                <w:b/>
                <w:sz w:val="18"/>
              </w:rPr>
              <w:t>Prec</w:t>
            </w:r>
          </w:p>
        </w:tc>
        <w:tc>
          <w:tcPr>
            <w:tcW w:type="dxa" w:w="1261"/>
            <w:shd w:fill="D9E2F3"/>
          </w:tcPr>
          <w:p>
            <w:pPr>
              <w:jc w:val="center"/>
            </w:pPr>
            <w:r>
              <w:rPr>
                <w:rFonts w:ascii="Times New Roman" w:hAnsi="Times New Roman"/>
                <w:b/>
                <w:sz w:val="18"/>
              </w:rPr>
              <w:t>Rec</w:t>
            </w:r>
          </w:p>
        </w:tc>
        <w:tc>
          <w:tcPr>
            <w:tcW w:type="dxa" w:w="1261"/>
            <w:shd w:fill="D9E2F3"/>
          </w:tcPr>
          <w:p>
            <w:pPr>
              <w:jc w:val="center"/>
            </w:pPr>
            <w:r>
              <w:rPr>
                <w:rFonts w:ascii="Times New Roman" w:hAnsi="Times New Roman"/>
                <w:b/>
                <w:sz w:val="18"/>
              </w:rPr>
              <w:t>F1</w:t>
            </w:r>
          </w:p>
        </w:tc>
        <w:tc>
          <w:tcPr>
            <w:tcW w:type="dxa" w:w="1261"/>
            <w:shd w:fill="D9E2F3"/>
          </w:tcPr>
          <w:p>
            <w:pPr>
              <w:jc w:val="center"/>
            </w:pPr>
            <w:r>
              <w:rPr>
                <w:rFonts w:ascii="Times New Roman" w:hAnsi="Times New Roman"/>
                <w:b/>
                <w:sz w:val="18"/>
              </w:rPr>
              <w:t>NLL</w:t>
            </w:r>
          </w:p>
        </w:tc>
        <w:tc>
          <w:tcPr>
            <w:tcW w:type="dxa" w:w="1261"/>
            <w:shd w:fill="D9E2F3"/>
          </w:tcPr>
          <w:p>
            <w:pPr>
              <w:jc w:val="center"/>
            </w:pPr>
            <w:r>
              <w:rPr>
                <w:rFonts w:ascii="Times New Roman" w:hAnsi="Times New Roman"/>
                <w:b/>
                <w:sz w:val="18"/>
              </w:rPr>
              <w:t>ECE</w:t>
            </w:r>
          </w:p>
        </w:tc>
        <w:tc>
          <w:tcPr>
            <w:tcW w:type="dxa" w:w="1261"/>
            <w:shd w:fill="D9E2F3"/>
          </w:tcPr>
          <w:p>
            <w:pPr>
              <w:jc w:val="center"/>
            </w:pPr>
            <w:r>
              <w:rPr>
                <w:rFonts w:ascii="Times New Roman" w:hAnsi="Times New Roman"/>
                <w:b/>
                <w:sz w:val="18"/>
              </w:rPr>
              <w:t>AUC</w:t>
            </w:r>
          </w:p>
        </w:tc>
      </w:tr>
      <w:tr>
        <w:tc>
          <w:tcPr>
            <w:tcW w:type="dxa" w:w="1261"/>
          </w:tcPr>
          <w:p>
            <w:pPr>
              <w:jc w:val="center"/>
            </w:pPr>
            <w:r>
              <w:rPr>
                <w:rFonts w:ascii="Times New Roman" w:hAnsi="Times New Roman"/>
                <w:sz w:val="18"/>
              </w:rPr>
              <w:t>NGBoost</w:t>
            </w:r>
          </w:p>
        </w:tc>
        <w:tc>
          <w:tcPr>
            <w:tcW w:type="dxa" w:w="1261"/>
          </w:tcPr>
          <w:p>
            <w:pPr>
              <w:jc w:val="center"/>
            </w:pPr>
            <w:r>
              <w:rPr>
                <w:rFonts w:ascii="Times New Roman" w:hAnsi="Times New Roman"/>
                <w:sz w:val="18"/>
              </w:rPr>
              <w:t>0.6646</w:t>
            </w:r>
          </w:p>
        </w:tc>
        <w:tc>
          <w:tcPr>
            <w:tcW w:type="dxa" w:w="1261"/>
          </w:tcPr>
          <w:p>
            <w:pPr>
              <w:jc w:val="center"/>
            </w:pPr>
            <w:r>
              <w:rPr>
                <w:rFonts w:ascii="Times New Roman" w:hAnsi="Times New Roman"/>
                <w:sz w:val="18"/>
              </w:rPr>
              <w:t>0.6667</w:t>
            </w:r>
          </w:p>
        </w:tc>
        <w:tc>
          <w:tcPr>
            <w:tcW w:type="dxa" w:w="1261"/>
          </w:tcPr>
          <w:p>
            <w:pPr>
              <w:jc w:val="center"/>
            </w:pPr>
            <w:r>
              <w:rPr>
                <w:rFonts w:ascii="Times New Roman" w:hAnsi="Times New Roman"/>
                <w:sz w:val="18"/>
              </w:rPr>
              <w:t>0.2812</w:t>
            </w:r>
          </w:p>
        </w:tc>
        <w:tc>
          <w:tcPr>
            <w:tcW w:type="dxa" w:w="1261"/>
          </w:tcPr>
          <w:p>
            <w:pPr>
              <w:jc w:val="center"/>
            </w:pPr>
            <w:r>
              <w:rPr>
                <w:rFonts w:ascii="Times New Roman" w:hAnsi="Times New Roman"/>
                <w:sz w:val="18"/>
              </w:rPr>
              <w:t>0.3956</w:t>
            </w:r>
          </w:p>
        </w:tc>
        <w:tc>
          <w:tcPr>
            <w:tcW w:type="dxa" w:w="1261"/>
          </w:tcPr>
          <w:p>
            <w:pPr>
              <w:jc w:val="center"/>
            </w:pPr>
            <w:r>
              <w:rPr>
                <w:rFonts w:ascii="Times New Roman" w:hAnsi="Times New Roman"/>
                <w:sz w:val="18"/>
              </w:rPr>
              <w:t>0.6728</w:t>
            </w:r>
          </w:p>
        </w:tc>
        <w:tc>
          <w:tcPr>
            <w:tcW w:type="dxa" w:w="1261"/>
          </w:tcPr>
          <w:p>
            <w:pPr>
              <w:jc w:val="center"/>
            </w:pPr>
            <w:r>
              <w:rPr>
                <w:rFonts w:ascii="Times New Roman" w:hAnsi="Times New Roman"/>
                <w:sz w:val="18"/>
              </w:rPr>
              <w:t>0.0686</w:t>
            </w:r>
          </w:p>
        </w:tc>
        <w:tc>
          <w:tcPr>
            <w:tcW w:type="dxa" w:w="1261"/>
          </w:tcPr>
          <w:p>
            <w:pPr>
              <w:jc w:val="center"/>
            </w:pPr>
            <w:r>
              <w:rPr>
                <w:rFonts w:ascii="Times New Roman" w:hAnsi="Times New Roman"/>
                <w:sz w:val="18"/>
              </w:rPr>
              <w:t>0.6506</w:t>
            </w:r>
          </w:p>
        </w:tc>
      </w:tr>
      <w:tr>
        <w:tc>
          <w:tcPr>
            <w:tcW w:type="dxa" w:w="1261"/>
          </w:tcPr>
          <w:p>
            <w:pPr>
              <w:jc w:val="center"/>
            </w:pPr>
            <w:r>
              <w:rPr>
                <w:rFonts w:ascii="Times New Roman" w:hAnsi="Times New Roman"/>
                <w:sz w:val="18"/>
              </w:rPr>
              <w:t>XGBoost</w:t>
            </w:r>
          </w:p>
        </w:tc>
        <w:tc>
          <w:tcPr>
            <w:tcW w:type="dxa" w:w="1261"/>
          </w:tcPr>
          <w:p>
            <w:pPr>
              <w:jc w:val="center"/>
            </w:pPr>
            <w:r>
              <w:rPr>
                <w:rFonts w:ascii="Times New Roman" w:hAnsi="Times New Roman"/>
                <w:sz w:val="18"/>
              </w:rPr>
              <w:t>0.6646</w:t>
            </w:r>
          </w:p>
        </w:tc>
        <w:tc>
          <w:tcPr>
            <w:tcW w:type="dxa" w:w="1261"/>
          </w:tcPr>
          <w:p>
            <w:pPr>
              <w:jc w:val="center"/>
            </w:pPr>
            <w:r>
              <w:rPr>
                <w:rFonts w:ascii="Times New Roman" w:hAnsi="Times New Roman"/>
                <w:sz w:val="18"/>
              </w:rPr>
              <w:t>0.6337</w:t>
            </w:r>
          </w:p>
        </w:tc>
        <w:tc>
          <w:tcPr>
            <w:tcW w:type="dxa" w:w="1261"/>
          </w:tcPr>
          <w:p>
            <w:pPr>
              <w:jc w:val="center"/>
            </w:pPr>
            <w:r>
              <w:rPr>
                <w:rFonts w:ascii="Times New Roman" w:hAnsi="Times New Roman"/>
                <w:sz w:val="18"/>
              </w:rPr>
              <w:t>0.3333</w:t>
            </w:r>
          </w:p>
        </w:tc>
        <w:tc>
          <w:tcPr>
            <w:tcW w:type="dxa" w:w="1261"/>
          </w:tcPr>
          <w:p>
            <w:pPr>
              <w:jc w:val="center"/>
            </w:pPr>
            <w:r>
              <w:rPr>
                <w:rFonts w:ascii="Times New Roman" w:hAnsi="Times New Roman"/>
                <w:sz w:val="18"/>
              </w:rPr>
              <w:t>0.4369</w:t>
            </w:r>
          </w:p>
        </w:tc>
        <w:tc>
          <w:tcPr>
            <w:tcW w:type="dxa" w:w="1261"/>
          </w:tcPr>
          <w:p>
            <w:pPr>
              <w:jc w:val="center"/>
            </w:pPr>
            <w:r>
              <w:rPr>
                <w:rFonts w:ascii="Times New Roman" w:hAnsi="Times New Roman"/>
                <w:sz w:val="18"/>
              </w:rPr>
              <w:t>0.6238</w:t>
            </w:r>
          </w:p>
        </w:tc>
        <w:tc>
          <w:tcPr>
            <w:tcW w:type="dxa" w:w="1261"/>
          </w:tcPr>
          <w:p>
            <w:pPr>
              <w:jc w:val="center"/>
            </w:pPr>
            <w:r>
              <w:rPr>
                <w:rFonts w:ascii="Times New Roman" w:hAnsi="Times New Roman"/>
                <w:sz w:val="18"/>
              </w:rPr>
              <w:t>0.0576</w:t>
            </w:r>
          </w:p>
        </w:tc>
        <w:tc>
          <w:tcPr>
            <w:tcW w:type="dxa" w:w="1261"/>
          </w:tcPr>
          <w:p>
            <w:pPr>
              <w:jc w:val="center"/>
            </w:pPr>
            <w:r>
              <w:rPr>
                <w:rFonts w:ascii="Times New Roman" w:hAnsi="Times New Roman"/>
                <w:sz w:val="18"/>
              </w:rPr>
              <w:t>0.6500</w:t>
            </w:r>
          </w:p>
        </w:tc>
      </w:tr>
      <w:tr>
        <w:tc>
          <w:tcPr>
            <w:tcW w:type="dxa" w:w="1261"/>
          </w:tcPr>
          <w:p>
            <w:pPr>
              <w:jc w:val="center"/>
            </w:pPr>
            <w:r>
              <w:rPr>
                <w:rFonts w:ascii="Times New Roman" w:hAnsi="Times New Roman"/>
                <w:sz w:val="18"/>
              </w:rPr>
              <w:t>Random Forest</w:t>
            </w:r>
          </w:p>
        </w:tc>
        <w:tc>
          <w:tcPr>
            <w:tcW w:type="dxa" w:w="1261"/>
          </w:tcPr>
          <w:p>
            <w:pPr>
              <w:jc w:val="center"/>
            </w:pPr>
            <w:r>
              <w:rPr>
                <w:rFonts w:ascii="Times New Roman" w:hAnsi="Times New Roman"/>
                <w:sz w:val="18"/>
              </w:rPr>
              <w:t>0.6585</w:t>
            </w:r>
          </w:p>
        </w:tc>
        <w:tc>
          <w:tcPr>
            <w:tcW w:type="dxa" w:w="1261"/>
          </w:tcPr>
          <w:p>
            <w:pPr>
              <w:jc w:val="center"/>
            </w:pPr>
            <w:r>
              <w:rPr>
                <w:rFonts w:ascii="Times New Roman" w:hAnsi="Times New Roman"/>
                <w:sz w:val="18"/>
              </w:rPr>
              <w:t>0.6304</w:t>
            </w:r>
          </w:p>
        </w:tc>
        <w:tc>
          <w:tcPr>
            <w:tcW w:type="dxa" w:w="1261"/>
          </w:tcPr>
          <w:p>
            <w:pPr>
              <w:jc w:val="center"/>
            </w:pPr>
            <w:r>
              <w:rPr>
                <w:rFonts w:ascii="Times New Roman" w:hAnsi="Times New Roman"/>
                <w:sz w:val="18"/>
              </w:rPr>
              <w:t>0.3021</w:t>
            </w:r>
          </w:p>
        </w:tc>
        <w:tc>
          <w:tcPr>
            <w:tcW w:type="dxa" w:w="1261"/>
          </w:tcPr>
          <w:p>
            <w:pPr>
              <w:jc w:val="center"/>
            </w:pPr>
            <w:r>
              <w:rPr>
                <w:rFonts w:ascii="Times New Roman" w:hAnsi="Times New Roman"/>
                <w:sz w:val="18"/>
              </w:rPr>
              <w:t>0.4085</w:t>
            </w:r>
          </w:p>
        </w:tc>
        <w:tc>
          <w:tcPr>
            <w:tcW w:type="dxa" w:w="1261"/>
          </w:tcPr>
          <w:p>
            <w:pPr>
              <w:jc w:val="center"/>
            </w:pPr>
            <w:r>
              <w:rPr>
                <w:rFonts w:ascii="Times New Roman" w:hAnsi="Times New Roman"/>
                <w:sz w:val="18"/>
              </w:rPr>
              <w:t>0.6182</w:t>
            </w:r>
          </w:p>
        </w:tc>
        <w:tc>
          <w:tcPr>
            <w:tcW w:type="dxa" w:w="1261"/>
          </w:tcPr>
          <w:p>
            <w:pPr>
              <w:jc w:val="center"/>
            </w:pPr>
            <w:r>
              <w:rPr>
                <w:rFonts w:ascii="Times New Roman" w:hAnsi="Times New Roman"/>
                <w:sz w:val="18"/>
              </w:rPr>
              <w:t>0.0423</w:t>
            </w:r>
          </w:p>
        </w:tc>
        <w:tc>
          <w:tcPr>
            <w:tcW w:type="dxa" w:w="1261"/>
          </w:tcPr>
          <w:p>
            <w:pPr>
              <w:jc w:val="center"/>
            </w:pPr>
            <w:r>
              <w:rPr>
                <w:rFonts w:ascii="Times New Roman" w:hAnsi="Times New Roman"/>
                <w:sz w:val="18"/>
              </w:rPr>
              <w:t>0.6671</w:t>
            </w:r>
          </w:p>
        </w:tc>
      </w:tr>
    </w:tbl>
    <w:p/>
    <w:p>
      <w:pPr>
        <w:spacing w:after="60"/>
        <w:ind w:firstLine="283"/>
        <w:jc w:val="both"/>
      </w:pPr>
      <w:r>
        <w:rPr>
          <w:rFonts w:ascii="Times New Roman" w:hAnsi="Times New Roman"/>
          <w:sz w:val="20"/>
        </w:rPr>
        <w:t>The low recall across all models reflects the inherent difficulty of the water potability classification task. The dataset's overlapping class distributions in feature space lead to conservative decision boundaries, particularly for the minority potable class. Nevertheless, the models achieve AUC values ranging from 0.6500 to 0.6671, indicating moderate discriminative ability above random chance.</w:t>
      </w:r>
    </w:p>
    <w:p>
      <w:pPr>
        <w:spacing w:before="120" w:after="60"/>
        <w:jc w:val="left"/>
      </w:pPr>
      <w:r>
        <w:rPr>
          <w:rFonts w:ascii="Times New Roman" w:hAnsi="Times New Roman"/>
          <w:b/>
          <w:i/>
          <w:sz w:val="20"/>
        </w:rPr>
        <w:t>B. Confusion Matrix Analysis</w:t>
      </w:r>
    </w:p>
    <w:p>
      <w:pPr>
        <w:spacing w:after="60"/>
        <w:ind w:firstLine="283"/>
        <w:jc w:val="both"/>
      </w:pPr>
      <w:r>
        <w:rPr>
          <w:rFonts w:ascii="Times New Roman" w:hAnsi="Times New Roman"/>
          <w:sz w:val="20"/>
        </w:rPr>
        <w:t>Fig. 3 presents the confusion matrices for all three models. NGBoost produces the fewest false positives (FP=27) but the highest false negatives (FN=138), confirming its conservative prediction behavior. XGBoost shows a more balanced error distribution (FP=37, FN=128), while Random Forest (FP=34, FN=134) occupies an intermediate position. In water quality assessment, the relative cost of false positives (declaring contaminated water as safe) versus false negatives (unnecessary rejection of safe water) determines the optimal operating point. NGBoost's conservative behavior is preferable when the cost of false clearance is high.</w:t>
      </w:r>
    </w:p>
    <w:p>
      <w:pPr>
        <w:jc w:val="center"/>
      </w:pPr>
      <w:r>
        <w:drawing>
          <wp:inline xmlns:a="http://schemas.openxmlformats.org/drawingml/2006/main" xmlns:pic="http://schemas.openxmlformats.org/drawingml/2006/picture">
            <wp:extent cx="5029200" cy="1410741"/>
            <wp:docPr id="3" name="Picture 3"/>
            <wp:cNvGraphicFramePr>
              <a:graphicFrameLocks noChangeAspect="1"/>
            </wp:cNvGraphicFramePr>
            <a:graphic>
              <a:graphicData uri="http://schemas.openxmlformats.org/drawingml/2006/picture">
                <pic:pic>
                  <pic:nvPicPr>
                    <pic:cNvPr id="0" name="confusion_matrices.png"/>
                    <pic:cNvPicPr/>
                  </pic:nvPicPr>
                  <pic:blipFill>
                    <a:blip r:embed="rId11"/>
                    <a:stretch>
                      <a:fillRect/>
                    </a:stretch>
                  </pic:blipFill>
                  <pic:spPr>
                    <a:xfrm>
                      <a:off x="0" y="0"/>
                      <a:ext cx="5029200" cy="1410741"/>
                    </a:xfrm>
                    <a:prstGeom prst="rect"/>
                  </pic:spPr>
                </pic:pic>
              </a:graphicData>
            </a:graphic>
          </wp:inline>
        </w:drawing>
      </w:r>
    </w:p>
    <w:p>
      <w:pPr>
        <w:spacing w:after="120"/>
        <w:jc w:val="center"/>
      </w:pPr>
      <w:r>
        <w:rPr>
          <w:rFonts w:ascii="Times New Roman" w:hAnsi="Times New Roman"/>
          <w:sz w:val="18"/>
        </w:rPr>
        <w:t>Fig. 3. Confusion matrices for NGBoost, XGBoost, and Random Forest.</w:t>
      </w:r>
    </w:p>
    <w:p>
      <w:pPr>
        <w:spacing w:before="120" w:after="60"/>
        <w:jc w:val="left"/>
      </w:pPr>
      <w:r>
        <w:rPr>
          <w:rFonts w:ascii="Times New Roman" w:hAnsi="Times New Roman"/>
          <w:b/>
          <w:i/>
          <w:sz w:val="20"/>
        </w:rPr>
        <w:t>C. Calibration Quality</w:t>
      </w:r>
    </w:p>
    <w:p>
      <w:pPr>
        <w:spacing w:after="60"/>
        <w:ind w:firstLine="283"/>
        <w:jc w:val="both"/>
      </w:pPr>
      <w:r>
        <w:rPr>
          <w:rFonts w:ascii="Times New Roman" w:hAnsi="Times New Roman"/>
          <w:sz w:val="20"/>
        </w:rPr>
        <w:t>Calibration quality is assessed through Expected Calibration Error (ECE) and visual inspection of calibration curves (Fig. 4). Random Forest achieves the lowest ECE (0.0423), followed by XGBoost (0.0576) and NGBoost (0.0686). The relatively low ECE values across all models indicate reasonable calibration quality, though Random Forest's vote-averaging mechanism naturally produces well-calibrated probabilities in the mid-range. In terms of Negative Log-Likelihood, Random Forest (0.6182) and XGBoost (0.6238) outperform NGBoost (0.6728), suggesting that while NGBoost's distributional framework is theoretically sound, the challenging feature space limits its calibration advantage on this particular dataset.</w:t>
      </w:r>
    </w:p>
    <w:p>
      <w:pPr>
        <w:jc w:val="center"/>
      </w:pPr>
      <w:r>
        <w:drawing>
          <wp:inline xmlns:a="http://schemas.openxmlformats.org/drawingml/2006/main" xmlns:pic="http://schemas.openxmlformats.org/drawingml/2006/picture">
            <wp:extent cx="3657600" cy="2721664"/>
            <wp:docPr id="4" name="Picture 4"/>
            <wp:cNvGraphicFramePr>
              <a:graphicFrameLocks noChangeAspect="1"/>
            </wp:cNvGraphicFramePr>
            <a:graphic>
              <a:graphicData uri="http://schemas.openxmlformats.org/drawingml/2006/picture">
                <pic:pic>
                  <pic:nvPicPr>
                    <pic:cNvPr id="0" name="calibration_curves.png"/>
                    <pic:cNvPicPr/>
                  </pic:nvPicPr>
                  <pic:blipFill>
                    <a:blip r:embed="rId12"/>
                    <a:stretch>
                      <a:fillRect/>
                    </a:stretch>
                  </pic:blipFill>
                  <pic:spPr>
                    <a:xfrm>
                      <a:off x="0" y="0"/>
                      <a:ext cx="3657600" cy="2721664"/>
                    </a:xfrm>
                    <a:prstGeom prst="rect"/>
                  </pic:spPr>
                </pic:pic>
              </a:graphicData>
            </a:graphic>
          </wp:inline>
        </w:drawing>
      </w:r>
    </w:p>
    <w:p>
      <w:pPr>
        <w:spacing w:after="120"/>
        <w:jc w:val="center"/>
      </w:pPr>
      <w:r>
        <w:rPr>
          <w:rFonts w:ascii="Times New Roman" w:hAnsi="Times New Roman"/>
          <w:sz w:val="18"/>
        </w:rPr>
        <w:t>Fig. 4. Calibration curves comparing predicted probability against observed frequency.</w:t>
      </w:r>
    </w:p>
    <w:p>
      <w:pPr>
        <w:spacing w:before="120" w:after="60"/>
        <w:jc w:val="left"/>
      </w:pPr>
      <w:r>
        <w:rPr>
          <w:rFonts w:ascii="Times New Roman" w:hAnsi="Times New Roman"/>
          <w:b/>
          <w:i/>
          <w:sz w:val="20"/>
        </w:rPr>
        <w:t>D. ROC Analysis</w:t>
      </w:r>
    </w:p>
    <w:p>
      <w:pPr>
        <w:spacing w:after="60"/>
        <w:ind w:firstLine="283"/>
        <w:jc w:val="both"/>
      </w:pPr>
      <w:r>
        <w:rPr>
          <w:rFonts w:ascii="Times New Roman" w:hAnsi="Times New Roman"/>
          <w:sz w:val="20"/>
        </w:rPr>
        <w:t>Fig. 5 presents the ROC curves for all models. Random Forest achieves the highest AUC (0.6671), followed by NGBoost (0.6506) and XGBoost (0.6500). The similar AUC values across models suggest that discriminative performance is primarily constrained by dataset characteristics rather than algorithmic differences. These close AUC values are consistent with the non-significant McNemar's test results (Section IV-E).</w:t>
      </w:r>
    </w:p>
    <w:p>
      <w:pPr>
        <w:jc w:val="center"/>
      </w:pPr>
      <w:r>
        <w:drawing>
          <wp:inline xmlns:a="http://schemas.openxmlformats.org/drawingml/2006/main" xmlns:pic="http://schemas.openxmlformats.org/drawingml/2006/picture">
            <wp:extent cx="3657600" cy="2721664"/>
            <wp:docPr id="5" name="Picture 5"/>
            <wp:cNvGraphicFramePr>
              <a:graphicFrameLocks noChangeAspect="1"/>
            </wp:cNvGraphicFramePr>
            <a:graphic>
              <a:graphicData uri="http://schemas.openxmlformats.org/drawingml/2006/picture">
                <pic:pic>
                  <pic:nvPicPr>
                    <pic:cNvPr id="0" name="roc_curves.png"/>
                    <pic:cNvPicPr/>
                  </pic:nvPicPr>
                  <pic:blipFill>
                    <a:blip r:embed="rId13"/>
                    <a:stretch>
                      <a:fillRect/>
                    </a:stretch>
                  </pic:blipFill>
                  <pic:spPr>
                    <a:xfrm>
                      <a:off x="0" y="0"/>
                      <a:ext cx="3657600" cy="2721664"/>
                    </a:xfrm>
                    <a:prstGeom prst="rect"/>
                  </pic:spPr>
                </pic:pic>
              </a:graphicData>
            </a:graphic>
          </wp:inline>
        </w:drawing>
      </w:r>
    </w:p>
    <w:p>
      <w:pPr>
        <w:spacing w:after="120"/>
        <w:jc w:val="center"/>
      </w:pPr>
      <w:r>
        <w:rPr>
          <w:rFonts w:ascii="Times New Roman" w:hAnsi="Times New Roman"/>
          <w:sz w:val="18"/>
        </w:rPr>
        <w:t>Fig. 5. Receiver Operating Characteristic (ROC) curves for all models.</w:t>
      </w:r>
    </w:p>
    <w:p>
      <w:pPr>
        <w:spacing w:before="120" w:after="60"/>
        <w:jc w:val="left"/>
      </w:pPr>
      <w:r>
        <w:rPr>
          <w:rFonts w:ascii="Times New Roman" w:hAnsi="Times New Roman"/>
          <w:b/>
          <w:i/>
          <w:sz w:val="20"/>
        </w:rPr>
        <w:t>E. Statistical Comparison (McNemar Test)</w:t>
      </w:r>
    </w:p>
    <w:p>
      <w:pPr>
        <w:spacing w:after="60"/>
        <w:ind w:firstLine="283"/>
        <w:jc w:val="both"/>
      </w:pPr>
      <w:r>
        <w:rPr>
          <w:rFonts w:ascii="Times New Roman" w:hAnsi="Times New Roman"/>
          <w:sz w:val="20"/>
        </w:rPr>
        <w:t>Table II presents the McNemar's test results for pairwise model comparisons. No statistically significant differences are observed at the 0.05 significance level, indicating that the observed accuracy differences are attributable to random variation rather than genuine algorithmic superiority. This finding supports the conclusion that model selection for this task should be guided by secondary criteria such as calibration quality, uncertainty interpretability, and computational efficiency rather than raw classification accuracy.</w:t>
      </w:r>
    </w:p>
    <w:p>
      <w:pPr>
        <w:jc w:val="center"/>
      </w:pPr>
      <w:r>
        <w:rPr>
          <w:rFonts w:ascii="Times New Roman" w:hAnsi="Times New Roman"/>
          <w:b/>
          <w:sz w:val="18"/>
        </w:rPr>
        <w:t>TABLE II. McNEMAR'S TEST RESULTS</w:t>
      </w:r>
    </w:p>
    <w:tbl>
      <w:tblPr>
        <w:tblW w:type="auto" w:w="0"/>
        <w:jc w:val="center"/>
        <w:tblLook w:firstColumn="1" w:firstRow="1" w:lastColumn="0" w:lastRow="0" w:noHBand="0" w:noVBand="1" w:val="04A0"/>
      </w:tblPr>
      <w:tblGrid>
        <w:gridCol w:w="2521"/>
        <w:gridCol w:w="2521"/>
        <w:gridCol w:w="2521"/>
        <w:gridCol w:w="2521"/>
      </w:tblGrid>
      <w:tr>
        <w:tc>
          <w:tcPr>
            <w:tcW w:type="dxa" w:w="2521"/>
            <w:shd w:fill="D9E2F3"/>
          </w:tcPr>
          <w:p>
            <w:pPr>
              <w:jc w:val="center"/>
            </w:pPr>
            <w:r>
              <w:rPr>
                <w:rFonts w:ascii="Times New Roman" w:hAnsi="Times New Roman"/>
                <w:b/>
                <w:sz w:val="18"/>
              </w:rPr>
              <w:t>Comparison</w:t>
            </w:r>
          </w:p>
        </w:tc>
        <w:tc>
          <w:tcPr>
            <w:tcW w:type="dxa" w:w="2521"/>
            <w:shd w:fill="D9E2F3"/>
          </w:tcPr>
          <w:p>
            <w:pPr>
              <w:jc w:val="center"/>
            </w:pPr>
            <w:r>
              <w:rPr>
                <w:rFonts w:ascii="Times New Roman" w:hAnsi="Times New Roman"/>
                <w:b/>
                <w:sz w:val="18"/>
              </w:rPr>
              <w:t>Chi-squared</w:t>
            </w:r>
          </w:p>
        </w:tc>
        <w:tc>
          <w:tcPr>
            <w:tcW w:type="dxa" w:w="2521"/>
            <w:shd w:fill="D9E2F3"/>
          </w:tcPr>
          <w:p>
            <w:pPr>
              <w:jc w:val="center"/>
            </w:pPr>
            <w:r>
              <w:rPr>
                <w:rFonts w:ascii="Times New Roman" w:hAnsi="Times New Roman"/>
                <w:b/>
                <w:sz w:val="18"/>
              </w:rPr>
              <w:t>p-value</w:t>
            </w:r>
          </w:p>
        </w:tc>
        <w:tc>
          <w:tcPr>
            <w:tcW w:type="dxa" w:w="2521"/>
            <w:shd w:fill="D9E2F3"/>
          </w:tcPr>
          <w:p>
            <w:pPr>
              <w:jc w:val="center"/>
            </w:pPr>
            <w:r>
              <w:rPr>
                <w:rFonts w:ascii="Times New Roman" w:hAnsi="Times New Roman"/>
                <w:b/>
                <w:sz w:val="18"/>
              </w:rPr>
              <w:t>Significant?</w:t>
            </w:r>
          </w:p>
        </w:tc>
      </w:tr>
      <w:tr>
        <w:tc>
          <w:tcPr>
            <w:tcW w:type="dxa" w:w="2521"/>
          </w:tcPr>
          <w:p>
            <w:pPr>
              <w:jc w:val="center"/>
            </w:pPr>
            <w:r>
              <w:rPr>
                <w:rFonts w:ascii="Times New Roman" w:hAnsi="Times New Roman"/>
                <w:sz w:val="18"/>
              </w:rPr>
              <w:t>NGBoost vs XGBoost</w:t>
            </w:r>
          </w:p>
        </w:tc>
        <w:tc>
          <w:tcPr>
            <w:tcW w:type="dxa" w:w="2521"/>
          </w:tcPr>
          <w:p>
            <w:pPr>
              <w:jc w:val="center"/>
            </w:pPr>
            <w:r>
              <w:rPr>
                <w:rFonts w:ascii="Times New Roman" w:hAnsi="Times New Roman"/>
                <w:sz w:val="18"/>
              </w:rPr>
              <w:t>0.0143</w:t>
            </w:r>
          </w:p>
        </w:tc>
        <w:tc>
          <w:tcPr>
            <w:tcW w:type="dxa" w:w="2521"/>
          </w:tcPr>
          <w:p>
            <w:pPr>
              <w:jc w:val="center"/>
            </w:pPr>
            <w:r>
              <w:rPr>
                <w:rFonts w:ascii="Times New Roman" w:hAnsi="Times New Roman"/>
                <w:sz w:val="18"/>
              </w:rPr>
              <w:t>0.9049</w:t>
            </w:r>
          </w:p>
        </w:tc>
        <w:tc>
          <w:tcPr>
            <w:tcW w:type="dxa" w:w="2521"/>
          </w:tcPr>
          <w:p>
            <w:pPr>
              <w:jc w:val="center"/>
            </w:pPr>
            <w:r>
              <w:rPr>
                <w:rFonts w:ascii="Times New Roman" w:hAnsi="Times New Roman"/>
                <w:sz w:val="18"/>
              </w:rPr>
              <w:t>No</w:t>
            </w:r>
          </w:p>
        </w:tc>
      </w:tr>
      <w:tr>
        <w:tc>
          <w:tcPr>
            <w:tcW w:type="dxa" w:w="2521"/>
          </w:tcPr>
          <w:p>
            <w:pPr>
              <w:jc w:val="center"/>
            </w:pPr>
            <w:r>
              <w:rPr>
                <w:rFonts w:ascii="Times New Roman" w:hAnsi="Times New Roman"/>
                <w:sz w:val="18"/>
              </w:rPr>
              <w:t>NGBoost vs Random Forest</w:t>
            </w:r>
          </w:p>
        </w:tc>
        <w:tc>
          <w:tcPr>
            <w:tcW w:type="dxa" w:w="2521"/>
          </w:tcPr>
          <w:p>
            <w:pPr>
              <w:jc w:val="center"/>
            </w:pPr>
            <w:r>
              <w:rPr>
                <w:rFonts w:ascii="Times New Roman" w:hAnsi="Times New Roman"/>
                <w:sz w:val="18"/>
              </w:rPr>
              <w:t>0.0702</w:t>
            </w:r>
          </w:p>
        </w:tc>
        <w:tc>
          <w:tcPr>
            <w:tcW w:type="dxa" w:w="2521"/>
          </w:tcPr>
          <w:p>
            <w:pPr>
              <w:jc w:val="center"/>
            </w:pPr>
            <w:r>
              <w:rPr>
                <w:rFonts w:ascii="Times New Roman" w:hAnsi="Times New Roman"/>
                <w:sz w:val="18"/>
              </w:rPr>
              <w:t>0.7911</w:t>
            </w:r>
          </w:p>
        </w:tc>
        <w:tc>
          <w:tcPr>
            <w:tcW w:type="dxa" w:w="2521"/>
          </w:tcPr>
          <w:p>
            <w:pPr>
              <w:jc w:val="center"/>
            </w:pPr>
            <w:r>
              <w:rPr>
                <w:rFonts w:ascii="Times New Roman" w:hAnsi="Times New Roman"/>
                <w:sz w:val="18"/>
              </w:rPr>
              <w:t>No</w:t>
            </w:r>
          </w:p>
        </w:tc>
      </w:tr>
      <w:tr>
        <w:tc>
          <w:tcPr>
            <w:tcW w:type="dxa" w:w="2521"/>
          </w:tcPr>
          <w:p>
            <w:pPr>
              <w:jc w:val="center"/>
            </w:pPr>
            <w:r>
              <w:rPr>
                <w:rFonts w:ascii="Times New Roman" w:hAnsi="Times New Roman"/>
                <w:sz w:val="18"/>
              </w:rPr>
              <w:t>XGBoost vs Random Forest</w:t>
            </w:r>
          </w:p>
        </w:tc>
        <w:tc>
          <w:tcPr>
            <w:tcW w:type="dxa" w:w="2521"/>
          </w:tcPr>
          <w:p>
            <w:pPr>
              <w:jc w:val="center"/>
            </w:pPr>
            <w:r>
              <w:rPr>
                <w:rFonts w:ascii="Times New Roman" w:hAnsi="Times New Roman"/>
                <w:sz w:val="18"/>
              </w:rPr>
              <w:t>0.0930</w:t>
            </w:r>
          </w:p>
        </w:tc>
        <w:tc>
          <w:tcPr>
            <w:tcW w:type="dxa" w:w="2521"/>
          </w:tcPr>
          <w:p>
            <w:pPr>
              <w:jc w:val="center"/>
            </w:pPr>
            <w:r>
              <w:rPr>
                <w:rFonts w:ascii="Times New Roman" w:hAnsi="Times New Roman"/>
                <w:sz w:val="18"/>
              </w:rPr>
              <w:t>0.7604</w:t>
            </w:r>
          </w:p>
        </w:tc>
        <w:tc>
          <w:tcPr>
            <w:tcW w:type="dxa" w:w="2521"/>
          </w:tcPr>
          <w:p>
            <w:pPr>
              <w:jc w:val="center"/>
            </w:pPr>
            <w:r>
              <w:rPr>
                <w:rFonts w:ascii="Times New Roman" w:hAnsi="Times New Roman"/>
                <w:sz w:val="18"/>
              </w:rPr>
              <w:t>No</w:t>
            </w:r>
          </w:p>
        </w:tc>
      </w:tr>
    </w:tbl>
    <w:p/>
    <w:p>
      <w:pPr>
        <w:spacing w:before="120" w:after="60"/>
        <w:jc w:val="left"/>
      </w:pPr>
      <w:r>
        <w:rPr>
          <w:rFonts w:ascii="Times New Roman" w:hAnsi="Times New Roman"/>
          <w:b/>
          <w:i/>
          <w:sz w:val="20"/>
        </w:rPr>
        <w:t>F. Uncertainty Zone Analysis</w:t>
      </w:r>
    </w:p>
    <w:p>
      <w:pPr>
        <w:spacing w:after="60"/>
        <w:ind w:firstLine="283"/>
        <w:jc w:val="both"/>
      </w:pPr>
      <w:r>
        <w:rPr>
          <w:rFonts w:ascii="Times New Roman" w:hAnsi="Times New Roman"/>
          <w:sz w:val="20"/>
        </w:rPr>
        <w:t>Table III presents the uncertainty zone analysis for NGBoost, which partitions test samples by predicted probability. A clear relationship between prediction confidence and accuracy is observed: Zone 1 (high confidence non-potable, mu &lt; 0.2) achieves 0.7216 accuracy with 97 samples, while Zone 5 (high confidence potable, mu &gt;= 0.8) achieves 0.8889 accuracy with 18 samples. The ambiguous Zone 3 (0.4 &lt;= mu &lt; 0.6) contains 130 samples with the lowest accuracy of 0.5615, barely above random chance. This pattern validates the utility of NGBoost's probabilistic outputs for identifying samples that warrant additional laboratory verification.</w:t>
      </w:r>
    </w:p>
    <w:p>
      <w:pPr>
        <w:jc w:val="center"/>
      </w:pPr>
      <w:r>
        <w:rPr>
          <w:rFonts w:ascii="Times New Roman" w:hAnsi="Times New Roman"/>
          <w:b/>
          <w:sz w:val="18"/>
        </w:rPr>
        <w:t>TABLE III. UNCERTAINTY ZONE ANALYSIS (NGBoost)</w:t>
      </w:r>
    </w:p>
    <w:tbl>
      <w:tblPr>
        <w:tblW w:type="auto" w:w="0"/>
        <w:jc w:val="center"/>
        <w:tblLook w:firstColumn="1" w:firstRow="1" w:lastColumn="0" w:lastRow="0" w:noHBand="0" w:noVBand="1" w:val="04A0"/>
      </w:tblPr>
      <w:tblGrid>
        <w:gridCol w:w="2017"/>
        <w:gridCol w:w="2017"/>
        <w:gridCol w:w="2017"/>
        <w:gridCol w:w="2017"/>
        <w:gridCol w:w="2017"/>
      </w:tblGrid>
      <w:tr>
        <w:tc>
          <w:tcPr>
            <w:tcW w:type="dxa" w:w="2017"/>
            <w:shd w:fill="D9E2F3"/>
          </w:tcPr>
          <w:p>
            <w:pPr>
              <w:jc w:val="center"/>
            </w:pPr>
            <w:r>
              <w:rPr>
                <w:rFonts w:ascii="Times New Roman" w:hAnsi="Times New Roman"/>
                <w:b/>
                <w:sz w:val="18"/>
              </w:rPr>
              <w:t>Zone</w:t>
            </w:r>
          </w:p>
        </w:tc>
        <w:tc>
          <w:tcPr>
            <w:tcW w:type="dxa" w:w="2017"/>
            <w:shd w:fill="D9E2F3"/>
          </w:tcPr>
          <w:p>
            <w:pPr>
              <w:jc w:val="center"/>
            </w:pPr>
            <w:r>
              <w:rPr>
                <w:rFonts w:ascii="Times New Roman" w:hAnsi="Times New Roman"/>
                <w:b/>
                <w:sz w:val="18"/>
              </w:rPr>
              <w:t>Range</w:t>
            </w:r>
          </w:p>
        </w:tc>
        <w:tc>
          <w:tcPr>
            <w:tcW w:type="dxa" w:w="2017"/>
            <w:shd w:fill="D9E2F3"/>
          </w:tcPr>
          <w:p>
            <w:pPr>
              <w:jc w:val="center"/>
            </w:pPr>
            <w:r>
              <w:rPr>
                <w:rFonts w:ascii="Times New Roman" w:hAnsi="Times New Roman"/>
                <w:b/>
                <w:sz w:val="18"/>
              </w:rPr>
              <w:t>N</w:t>
            </w:r>
          </w:p>
        </w:tc>
        <w:tc>
          <w:tcPr>
            <w:tcW w:type="dxa" w:w="2017"/>
            <w:shd w:fill="D9E2F3"/>
          </w:tcPr>
          <w:p>
            <w:pPr>
              <w:jc w:val="center"/>
            </w:pPr>
            <w:r>
              <w:rPr>
                <w:rFonts w:ascii="Times New Roman" w:hAnsi="Times New Roman"/>
                <w:b/>
                <w:sz w:val="18"/>
              </w:rPr>
              <w:t>Accuracy</w:t>
            </w:r>
          </w:p>
        </w:tc>
        <w:tc>
          <w:tcPr>
            <w:tcW w:type="dxa" w:w="2017"/>
            <w:shd w:fill="D9E2F3"/>
          </w:tcPr>
          <w:p>
            <w:pPr>
              <w:jc w:val="center"/>
            </w:pPr>
            <w:r>
              <w:rPr>
                <w:rFonts w:ascii="Times New Roman" w:hAnsi="Times New Roman"/>
                <w:b/>
                <w:sz w:val="18"/>
              </w:rPr>
              <w:t>Avg Prob</w:t>
            </w:r>
          </w:p>
        </w:tc>
      </w:tr>
      <w:tr>
        <w:tc>
          <w:tcPr>
            <w:tcW w:type="dxa" w:w="2017"/>
          </w:tcPr>
          <w:p>
            <w:pPr>
              <w:jc w:val="center"/>
            </w:pPr>
            <w:r>
              <w:rPr>
                <w:rFonts w:ascii="Times New Roman" w:hAnsi="Times New Roman"/>
                <w:sz w:val="18"/>
              </w:rPr>
              <w:t>Zone 1</w:t>
            </w:r>
          </w:p>
        </w:tc>
        <w:tc>
          <w:tcPr>
            <w:tcW w:type="dxa" w:w="2017"/>
          </w:tcPr>
          <w:p>
            <w:pPr>
              <w:jc w:val="center"/>
            </w:pPr>
            <w:r>
              <w:rPr>
                <w:rFonts w:ascii="Times New Roman" w:hAnsi="Times New Roman"/>
                <w:sz w:val="18"/>
              </w:rPr>
              <w:t>mu &lt; 0.2</w:t>
            </w:r>
          </w:p>
        </w:tc>
        <w:tc>
          <w:tcPr>
            <w:tcW w:type="dxa" w:w="2017"/>
          </w:tcPr>
          <w:p>
            <w:pPr>
              <w:jc w:val="center"/>
            </w:pPr>
            <w:r>
              <w:rPr>
                <w:rFonts w:ascii="Times New Roman" w:hAnsi="Times New Roman"/>
                <w:sz w:val="18"/>
              </w:rPr>
              <w:t>97</w:t>
            </w:r>
          </w:p>
        </w:tc>
        <w:tc>
          <w:tcPr>
            <w:tcW w:type="dxa" w:w="2017"/>
          </w:tcPr>
          <w:p>
            <w:pPr>
              <w:jc w:val="center"/>
            </w:pPr>
            <w:r>
              <w:rPr>
                <w:rFonts w:ascii="Times New Roman" w:hAnsi="Times New Roman"/>
                <w:sz w:val="18"/>
              </w:rPr>
              <w:t>0.7216</w:t>
            </w:r>
          </w:p>
        </w:tc>
        <w:tc>
          <w:tcPr>
            <w:tcW w:type="dxa" w:w="2017"/>
          </w:tcPr>
          <w:p>
            <w:pPr>
              <w:jc w:val="center"/>
            </w:pPr>
            <w:r>
              <w:rPr>
                <w:rFonts w:ascii="Times New Roman" w:hAnsi="Times New Roman"/>
                <w:sz w:val="18"/>
              </w:rPr>
              <w:t>0.1003</w:t>
            </w:r>
          </w:p>
        </w:tc>
      </w:tr>
      <w:tr>
        <w:tc>
          <w:tcPr>
            <w:tcW w:type="dxa" w:w="2017"/>
          </w:tcPr>
          <w:p>
            <w:pPr>
              <w:jc w:val="center"/>
            </w:pPr>
            <w:r>
              <w:rPr>
                <w:rFonts w:ascii="Times New Roman" w:hAnsi="Times New Roman"/>
                <w:sz w:val="18"/>
              </w:rPr>
              <w:t>Zone 2</w:t>
            </w:r>
          </w:p>
        </w:tc>
        <w:tc>
          <w:tcPr>
            <w:tcW w:type="dxa" w:w="2017"/>
          </w:tcPr>
          <w:p>
            <w:pPr>
              <w:jc w:val="center"/>
            </w:pPr>
            <w:r>
              <w:rPr>
                <w:rFonts w:ascii="Times New Roman" w:hAnsi="Times New Roman"/>
                <w:sz w:val="18"/>
              </w:rPr>
              <w:t>0.2 - 0.4</w:t>
            </w:r>
          </w:p>
        </w:tc>
        <w:tc>
          <w:tcPr>
            <w:tcW w:type="dxa" w:w="2017"/>
          </w:tcPr>
          <w:p>
            <w:pPr>
              <w:jc w:val="center"/>
            </w:pPr>
            <w:r>
              <w:rPr>
                <w:rFonts w:ascii="Times New Roman" w:hAnsi="Times New Roman"/>
                <w:sz w:val="18"/>
              </w:rPr>
              <w:t>222</w:t>
            </w:r>
          </w:p>
        </w:tc>
        <w:tc>
          <w:tcPr>
            <w:tcW w:type="dxa" w:w="2017"/>
          </w:tcPr>
          <w:p>
            <w:pPr>
              <w:jc w:val="center"/>
            </w:pPr>
            <w:r>
              <w:rPr>
                <w:rFonts w:ascii="Times New Roman" w:hAnsi="Times New Roman"/>
                <w:sz w:val="18"/>
              </w:rPr>
              <w:t>0.6712</w:t>
            </w:r>
          </w:p>
        </w:tc>
        <w:tc>
          <w:tcPr>
            <w:tcW w:type="dxa" w:w="2017"/>
          </w:tcPr>
          <w:p>
            <w:pPr>
              <w:jc w:val="center"/>
            </w:pPr>
            <w:r>
              <w:rPr>
                <w:rFonts w:ascii="Times New Roman" w:hAnsi="Times New Roman"/>
                <w:sz w:val="18"/>
              </w:rPr>
              <w:t>0.2986</w:t>
            </w:r>
          </w:p>
        </w:tc>
      </w:tr>
      <w:tr>
        <w:tc>
          <w:tcPr>
            <w:tcW w:type="dxa" w:w="2017"/>
          </w:tcPr>
          <w:p>
            <w:pPr>
              <w:jc w:val="center"/>
            </w:pPr>
            <w:r>
              <w:rPr>
                <w:rFonts w:ascii="Times New Roman" w:hAnsi="Times New Roman"/>
                <w:sz w:val="18"/>
              </w:rPr>
              <w:t>Zone 3</w:t>
            </w:r>
          </w:p>
        </w:tc>
        <w:tc>
          <w:tcPr>
            <w:tcW w:type="dxa" w:w="2017"/>
          </w:tcPr>
          <w:p>
            <w:pPr>
              <w:jc w:val="center"/>
            </w:pPr>
            <w:r>
              <w:rPr>
                <w:rFonts w:ascii="Times New Roman" w:hAnsi="Times New Roman"/>
                <w:sz w:val="18"/>
              </w:rPr>
              <w:t>0.4 - 0.6</w:t>
            </w:r>
          </w:p>
        </w:tc>
        <w:tc>
          <w:tcPr>
            <w:tcW w:type="dxa" w:w="2017"/>
          </w:tcPr>
          <w:p>
            <w:pPr>
              <w:jc w:val="center"/>
            </w:pPr>
            <w:r>
              <w:rPr>
                <w:rFonts w:ascii="Times New Roman" w:hAnsi="Times New Roman"/>
                <w:sz w:val="18"/>
              </w:rPr>
              <w:t>130</w:t>
            </w:r>
          </w:p>
        </w:tc>
        <w:tc>
          <w:tcPr>
            <w:tcW w:type="dxa" w:w="2017"/>
          </w:tcPr>
          <w:p>
            <w:pPr>
              <w:jc w:val="center"/>
            </w:pPr>
            <w:r>
              <w:rPr>
                <w:rFonts w:ascii="Times New Roman" w:hAnsi="Times New Roman"/>
                <w:sz w:val="18"/>
              </w:rPr>
              <w:t>0.5615</w:t>
            </w:r>
          </w:p>
        </w:tc>
        <w:tc>
          <w:tcPr>
            <w:tcW w:type="dxa" w:w="2017"/>
          </w:tcPr>
          <w:p>
            <w:pPr>
              <w:jc w:val="center"/>
            </w:pPr>
            <w:r>
              <w:rPr>
                <w:rFonts w:ascii="Times New Roman" w:hAnsi="Times New Roman"/>
                <w:sz w:val="18"/>
              </w:rPr>
              <w:t>0.4766</w:t>
            </w:r>
          </w:p>
        </w:tc>
      </w:tr>
      <w:tr>
        <w:tc>
          <w:tcPr>
            <w:tcW w:type="dxa" w:w="2017"/>
          </w:tcPr>
          <w:p>
            <w:pPr>
              <w:jc w:val="center"/>
            </w:pPr>
            <w:r>
              <w:rPr>
                <w:rFonts w:ascii="Times New Roman" w:hAnsi="Times New Roman"/>
                <w:sz w:val="18"/>
              </w:rPr>
              <w:t>Zone 4</w:t>
            </w:r>
          </w:p>
        </w:tc>
        <w:tc>
          <w:tcPr>
            <w:tcW w:type="dxa" w:w="2017"/>
          </w:tcPr>
          <w:p>
            <w:pPr>
              <w:jc w:val="center"/>
            </w:pPr>
            <w:r>
              <w:rPr>
                <w:rFonts w:ascii="Times New Roman" w:hAnsi="Times New Roman"/>
                <w:sz w:val="18"/>
              </w:rPr>
              <w:t>0.6 - 0.8</w:t>
            </w:r>
          </w:p>
        </w:tc>
        <w:tc>
          <w:tcPr>
            <w:tcW w:type="dxa" w:w="2017"/>
          </w:tcPr>
          <w:p>
            <w:pPr>
              <w:jc w:val="center"/>
            </w:pPr>
            <w:r>
              <w:rPr>
                <w:rFonts w:ascii="Times New Roman" w:hAnsi="Times New Roman"/>
                <w:sz w:val="18"/>
              </w:rPr>
              <w:t>25</w:t>
            </w:r>
          </w:p>
        </w:tc>
        <w:tc>
          <w:tcPr>
            <w:tcW w:type="dxa" w:w="2017"/>
          </w:tcPr>
          <w:p>
            <w:pPr>
              <w:jc w:val="center"/>
            </w:pPr>
            <w:r>
              <w:rPr>
                <w:rFonts w:ascii="Times New Roman" w:hAnsi="Times New Roman"/>
                <w:sz w:val="18"/>
              </w:rPr>
              <w:t>0.7600</w:t>
            </w:r>
          </w:p>
        </w:tc>
        <w:tc>
          <w:tcPr>
            <w:tcW w:type="dxa" w:w="2017"/>
          </w:tcPr>
          <w:p>
            <w:pPr>
              <w:jc w:val="center"/>
            </w:pPr>
            <w:r>
              <w:rPr>
                <w:rFonts w:ascii="Times New Roman" w:hAnsi="Times New Roman"/>
                <w:sz w:val="18"/>
              </w:rPr>
              <w:t>0.6692</w:t>
            </w:r>
          </w:p>
        </w:tc>
      </w:tr>
      <w:tr>
        <w:tc>
          <w:tcPr>
            <w:tcW w:type="dxa" w:w="2017"/>
          </w:tcPr>
          <w:p>
            <w:pPr>
              <w:jc w:val="center"/>
            </w:pPr>
            <w:r>
              <w:rPr>
                <w:rFonts w:ascii="Times New Roman" w:hAnsi="Times New Roman"/>
                <w:sz w:val="18"/>
              </w:rPr>
              <w:t>Zone 5</w:t>
            </w:r>
          </w:p>
        </w:tc>
        <w:tc>
          <w:tcPr>
            <w:tcW w:type="dxa" w:w="2017"/>
          </w:tcPr>
          <w:p>
            <w:pPr>
              <w:jc w:val="center"/>
            </w:pPr>
            <w:r>
              <w:rPr>
                <w:rFonts w:ascii="Times New Roman" w:hAnsi="Times New Roman"/>
                <w:sz w:val="18"/>
              </w:rPr>
              <w:t>mu &gt;= 0.8</w:t>
            </w:r>
          </w:p>
        </w:tc>
        <w:tc>
          <w:tcPr>
            <w:tcW w:type="dxa" w:w="2017"/>
          </w:tcPr>
          <w:p>
            <w:pPr>
              <w:jc w:val="center"/>
            </w:pPr>
            <w:r>
              <w:rPr>
                <w:rFonts w:ascii="Times New Roman" w:hAnsi="Times New Roman"/>
                <w:sz w:val="18"/>
              </w:rPr>
              <w:t>18</w:t>
            </w:r>
          </w:p>
        </w:tc>
        <w:tc>
          <w:tcPr>
            <w:tcW w:type="dxa" w:w="2017"/>
          </w:tcPr>
          <w:p>
            <w:pPr>
              <w:jc w:val="center"/>
            </w:pPr>
            <w:r>
              <w:rPr>
                <w:rFonts w:ascii="Times New Roman" w:hAnsi="Times New Roman"/>
                <w:sz w:val="18"/>
              </w:rPr>
              <w:t>0.8889</w:t>
            </w:r>
          </w:p>
        </w:tc>
        <w:tc>
          <w:tcPr>
            <w:tcW w:type="dxa" w:w="2017"/>
          </w:tcPr>
          <w:p>
            <w:pPr>
              <w:jc w:val="center"/>
            </w:pPr>
            <w:r>
              <w:rPr>
                <w:rFonts w:ascii="Times New Roman" w:hAnsi="Times New Roman"/>
                <w:sz w:val="18"/>
              </w:rPr>
              <w:t>0.9359</w:t>
            </w:r>
          </w:p>
        </w:tc>
      </w:tr>
    </w:tbl>
    <w:p/>
    <w:p>
      <w:pPr>
        <w:spacing w:after="60"/>
        <w:ind w:firstLine="283"/>
        <w:jc w:val="both"/>
      </w:pPr>
      <w:r>
        <w:rPr>
          <w:rFonts w:ascii="Times New Roman" w:hAnsi="Times New Roman"/>
          <w:sz w:val="20"/>
        </w:rPr>
        <w:t>Comparative zone analysis across models (Tables IV and V) reveals that XGBoost and Random Forest exhibit similar patterns but with different sample distributions across zones. XGBoost concentrates more samples in Zone 2 (N=243) with a Zone 1 accuracy of 0.7931, while Random Forest distributes more samples toward Zone 3 (N=182) and attains 0.8889 accuracy in Zone 4. All models demonstrate the highest accuracy in the extreme confidence zones, confirming that probabilistic outputs carry meaningful uncertainty information regardless of the underlying algorithm.</w:t>
      </w:r>
    </w:p>
    <w:p>
      <w:pPr>
        <w:jc w:val="center"/>
      </w:pPr>
      <w:r>
        <w:rPr>
          <w:rFonts w:ascii="Times New Roman" w:hAnsi="Times New Roman"/>
          <w:b/>
          <w:sz w:val="18"/>
        </w:rPr>
        <w:t>TABLE IV. UNCERTAINTY ZONE ANALYSIS (XGBoost)</w:t>
      </w:r>
    </w:p>
    <w:tbl>
      <w:tblPr>
        <w:tblW w:type="auto" w:w="0"/>
        <w:jc w:val="center"/>
        <w:tblLook w:firstColumn="1" w:firstRow="1" w:lastColumn="0" w:lastRow="0" w:noHBand="0" w:noVBand="1" w:val="04A0"/>
      </w:tblPr>
      <w:tblGrid>
        <w:gridCol w:w="2017"/>
        <w:gridCol w:w="2017"/>
        <w:gridCol w:w="2017"/>
        <w:gridCol w:w="2017"/>
        <w:gridCol w:w="2017"/>
      </w:tblGrid>
      <w:tr>
        <w:tc>
          <w:tcPr>
            <w:tcW w:type="dxa" w:w="2017"/>
            <w:shd w:fill="D9E2F3"/>
          </w:tcPr>
          <w:p>
            <w:pPr>
              <w:jc w:val="center"/>
            </w:pPr>
            <w:r>
              <w:rPr>
                <w:rFonts w:ascii="Times New Roman" w:hAnsi="Times New Roman"/>
                <w:b/>
                <w:sz w:val="18"/>
              </w:rPr>
              <w:t>Zone</w:t>
            </w:r>
          </w:p>
        </w:tc>
        <w:tc>
          <w:tcPr>
            <w:tcW w:type="dxa" w:w="2017"/>
            <w:shd w:fill="D9E2F3"/>
          </w:tcPr>
          <w:p>
            <w:pPr>
              <w:jc w:val="center"/>
            </w:pPr>
            <w:r>
              <w:rPr>
                <w:rFonts w:ascii="Times New Roman" w:hAnsi="Times New Roman"/>
                <w:b/>
                <w:sz w:val="18"/>
              </w:rPr>
              <w:t>Range</w:t>
            </w:r>
          </w:p>
        </w:tc>
        <w:tc>
          <w:tcPr>
            <w:tcW w:type="dxa" w:w="2017"/>
            <w:shd w:fill="D9E2F3"/>
          </w:tcPr>
          <w:p>
            <w:pPr>
              <w:jc w:val="center"/>
            </w:pPr>
            <w:r>
              <w:rPr>
                <w:rFonts w:ascii="Times New Roman" w:hAnsi="Times New Roman"/>
                <w:b/>
                <w:sz w:val="18"/>
              </w:rPr>
              <w:t>N</w:t>
            </w:r>
          </w:p>
        </w:tc>
        <w:tc>
          <w:tcPr>
            <w:tcW w:type="dxa" w:w="2017"/>
            <w:shd w:fill="D9E2F3"/>
          </w:tcPr>
          <w:p>
            <w:pPr>
              <w:jc w:val="center"/>
            </w:pPr>
            <w:r>
              <w:rPr>
                <w:rFonts w:ascii="Times New Roman" w:hAnsi="Times New Roman"/>
                <w:b/>
                <w:sz w:val="18"/>
              </w:rPr>
              <w:t>Accuracy</w:t>
            </w:r>
          </w:p>
        </w:tc>
        <w:tc>
          <w:tcPr>
            <w:tcW w:type="dxa" w:w="2017"/>
            <w:shd w:fill="D9E2F3"/>
          </w:tcPr>
          <w:p>
            <w:pPr>
              <w:jc w:val="center"/>
            </w:pPr>
            <w:r>
              <w:rPr>
                <w:rFonts w:ascii="Times New Roman" w:hAnsi="Times New Roman"/>
                <w:b/>
                <w:sz w:val="18"/>
              </w:rPr>
              <w:t>Avg Prob</w:t>
            </w:r>
          </w:p>
        </w:tc>
      </w:tr>
      <w:tr>
        <w:tc>
          <w:tcPr>
            <w:tcW w:type="dxa" w:w="2017"/>
          </w:tcPr>
          <w:p>
            <w:pPr>
              <w:jc w:val="center"/>
            </w:pPr>
            <w:r>
              <w:rPr>
                <w:rFonts w:ascii="Times New Roman" w:hAnsi="Times New Roman"/>
                <w:sz w:val="18"/>
              </w:rPr>
              <w:t>Zone 1</w:t>
            </w:r>
          </w:p>
        </w:tc>
        <w:tc>
          <w:tcPr>
            <w:tcW w:type="dxa" w:w="2017"/>
          </w:tcPr>
          <w:p>
            <w:pPr>
              <w:jc w:val="center"/>
            </w:pPr>
            <w:r>
              <w:rPr>
                <w:rFonts w:ascii="Times New Roman" w:hAnsi="Times New Roman"/>
                <w:sz w:val="18"/>
              </w:rPr>
              <w:t>mu &lt; 0.2</w:t>
            </w:r>
          </w:p>
        </w:tc>
        <w:tc>
          <w:tcPr>
            <w:tcW w:type="dxa" w:w="2017"/>
          </w:tcPr>
          <w:p>
            <w:pPr>
              <w:jc w:val="center"/>
            </w:pPr>
            <w:r>
              <w:rPr>
                <w:rFonts w:ascii="Times New Roman" w:hAnsi="Times New Roman"/>
                <w:sz w:val="18"/>
              </w:rPr>
              <w:t>58</w:t>
            </w:r>
          </w:p>
        </w:tc>
        <w:tc>
          <w:tcPr>
            <w:tcW w:type="dxa" w:w="2017"/>
          </w:tcPr>
          <w:p>
            <w:pPr>
              <w:jc w:val="center"/>
            </w:pPr>
            <w:r>
              <w:rPr>
                <w:rFonts w:ascii="Times New Roman" w:hAnsi="Times New Roman"/>
                <w:sz w:val="18"/>
              </w:rPr>
              <w:t>0.7931</w:t>
            </w:r>
          </w:p>
        </w:tc>
        <w:tc>
          <w:tcPr>
            <w:tcW w:type="dxa" w:w="2017"/>
          </w:tcPr>
          <w:p>
            <w:pPr>
              <w:jc w:val="center"/>
            </w:pPr>
            <w:r>
              <w:rPr>
                <w:rFonts w:ascii="Times New Roman" w:hAnsi="Times New Roman"/>
                <w:sz w:val="18"/>
              </w:rPr>
              <w:t>0.1432</w:t>
            </w:r>
          </w:p>
        </w:tc>
      </w:tr>
      <w:tr>
        <w:tc>
          <w:tcPr>
            <w:tcW w:type="dxa" w:w="2017"/>
          </w:tcPr>
          <w:p>
            <w:pPr>
              <w:jc w:val="center"/>
            </w:pPr>
            <w:r>
              <w:rPr>
                <w:rFonts w:ascii="Times New Roman" w:hAnsi="Times New Roman"/>
                <w:sz w:val="18"/>
              </w:rPr>
              <w:t>Zone 2</w:t>
            </w:r>
          </w:p>
        </w:tc>
        <w:tc>
          <w:tcPr>
            <w:tcW w:type="dxa" w:w="2017"/>
          </w:tcPr>
          <w:p>
            <w:pPr>
              <w:jc w:val="center"/>
            </w:pPr>
            <w:r>
              <w:rPr>
                <w:rFonts w:ascii="Times New Roman" w:hAnsi="Times New Roman"/>
                <w:sz w:val="18"/>
              </w:rPr>
              <w:t>0.2 - 0.4</w:t>
            </w:r>
          </w:p>
        </w:tc>
        <w:tc>
          <w:tcPr>
            <w:tcW w:type="dxa" w:w="2017"/>
          </w:tcPr>
          <w:p>
            <w:pPr>
              <w:jc w:val="center"/>
            </w:pPr>
            <w:r>
              <w:rPr>
                <w:rFonts w:ascii="Times New Roman" w:hAnsi="Times New Roman"/>
                <w:sz w:val="18"/>
              </w:rPr>
              <w:t>243</w:t>
            </w:r>
          </w:p>
        </w:tc>
        <w:tc>
          <w:tcPr>
            <w:tcW w:type="dxa" w:w="2017"/>
          </w:tcPr>
          <w:p>
            <w:pPr>
              <w:jc w:val="center"/>
            </w:pPr>
            <w:r>
              <w:rPr>
                <w:rFonts w:ascii="Times New Roman" w:hAnsi="Times New Roman"/>
                <w:sz w:val="18"/>
              </w:rPr>
              <w:t>0.6584</w:t>
            </w:r>
          </w:p>
        </w:tc>
        <w:tc>
          <w:tcPr>
            <w:tcW w:type="dxa" w:w="2017"/>
          </w:tcPr>
          <w:p>
            <w:pPr>
              <w:jc w:val="center"/>
            </w:pPr>
            <w:r>
              <w:rPr>
                <w:rFonts w:ascii="Times New Roman" w:hAnsi="Times New Roman"/>
                <w:sz w:val="18"/>
              </w:rPr>
              <w:t>0.2989</w:t>
            </w:r>
          </w:p>
        </w:tc>
      </w:tr>
      <w:tr>
        <w:tc>
          <w:tcPr>
            <w:tcW w:type="dxa" w:w="2017"/>
          </w:tcPr>
          <w:p>
            <w:pPr>
              <w:jc w:val="center"/>
            </w:pPr>
            <w:r>
              <w:rPr>
                <w:rFonts w:ascii="Times New Roman" w:hAnsi="Times New Roman"/>
                <w:sz w:val="18"/>
              </w:rPr>
              <w:t>Zone 3</w:t>
            </w:r>
          </w:p>
        </w:tc>
        <w:tc>
          <w:tcPr>
            <w:tcW w:type="dxa" w:w="2017"/>
          </w:tcPr>
          <w:p>
            <w:pPr>
              <w:jc w:val="center"/>
            </w:pPr>
            <w:r>
              <w:rPr>
                <w:rFonts w:ascii="Times New Roman" w:hAnsi="Times New Roman"/>
                <w:sz w:val="18"/>
              </w:rPr>
              <w:t>0.4 - 0.6</w:t>
            </w:r>
          </w:p>
        </w:tc>
        <w:tc>
          <w:tcPr>
            <w:tcW w:type="dxa" w:w="2017"/>
          </w:tcPr>
          <w:p>
            <w:pPr>
              <w:jc w:val="center"/>
            </w:pPr>
            <w:r>
              <w:rPr>
                <w:rFonts w:ascii="Times New Roman" w:hAnsi="Times New Roman"/>
                <w:sz w:val="18"/>
              </w:rPr>
              <w:t>132</w:t>
            </w:r>
          </w:p>
        </w:tc>
        <w:tc>
          <w:tcPr>
            <w:tcW w:type="dxa" w:w="2017"/>
          </w:tcPr>
          <w:p>
            <w:pPr>
              <w:jc w:val="center"/>
            </w:pPr>
            <w:r>
              <w:rPr>
                <w:rFonts w:ascii="Times New Roman" w:hAnsi="Times New Roman"/>
                <w:sz w:val="18"/>
              </w:rPr>
              <w:t>0.5682</w:t>
            </w:r>
          </w:p>
        </w:tc>
        <w:tc>
          <w:tcPr>
            <w:tcW w:type="dxa" w:w="2017"/>
          </w:tcPr>
          <w:p>
            <w:pPr>
              <w:jc w:val="center"/>
            </w:pPr>
            <w:r>
              <w:rPr>
                <w:rFonts w:ascii="Times New Roman" w:hAnsi="Times New Roman"/>
                <w:sz w:val="18"/>
              </w:rPr>
              <w:t>0.4770</w:t>
            </w:r>
          </w:p>
        </w:tc>
      </w:tr>
      <w:tr>
        <w:tc>
          <w:tcPr>
            <w:tcW w:type="dxa" w:w="2017"/>
          </w:tcPr>
          <w:p>
            <w:pPr>
              <w:jc w:val="center"/>
            </w:pPr>
            <w:r>
              <w:rPr>
                <w:rFonts w:ascii="Times New Roman" w:hAnsi="Times New Roman"/>
                <w:sz w:val="18"/>
              </w:rPr>
              <w:t>Zone 4</w:t>
            </w:r>
          </w:p>
        </w:tc>
        <w:tc>
          <w:tcPr>
            <w:tcW w:type="dxa" w:w="2017"/>
          </w:tcPr>
          <w:p>
            <w:pPr>
              <w:jc w:val="center"/>
            </w:pPr>
            <w:r>
              <w:rPr>
                <w:rFonts w:ascii="Times New Roman" w:hAnsi="Times New Roman"/>
                <w:sz w:val="18"/>
              </w:rPr>
              <w:t>0.6 - 0.8</w:t>
            </w:r>
          </w:p>
        </w:tc>
        <w:tc>
          <w:tcPr>
            <w:tcW w:type="dxa" w:w="2017"/>
          </w:tcPr>
          <w:p>
            <w:pPr>
              <w:jc w:val="center"/>
            </w:pPr>
            <w:r>
              <w:rPr>
                <w:rFonts w:ascii="Times New Roman" w:hAnsi="Times New Roman"/>
                <w:sz w:val="18"/>
              </w:rPr>
              <w:t>40</w:t>
            </w:r>
          </w:p>
        </w:tc>
        <w:tc>
          <w:tcPr>
            <w:tcW w:type="dxa" w:w="2017"/>
          </w:tcPr>
          <w:p>
            <w:pPr>
              <w:jc w:val="center"/>
            </w:pPr>
            <w:r>
              <w:rPr>
                <w:rFonts w:ascii="Times New Roman" w:hAnsi="Times New Roman"/>
                <w:sz w:val="18"/>
              </w:rPr>
              <w:t>0.7250</w:t>
            </w:r>
          </w:p>
        </w:tc>
        <w:tc>
          <w:tcPr>
            <w:tcW w:type="dxa" w:w="2017"/>
          </w:tcPr>
          <w:p>
            <w:pPr>
              <w:jc w:val="center"/>
            </w:pPr>
            <w:r>
              <w:rPr>
                <w:rFonts w:ascii="Times New Roman" w:hAnsi="Times New Roman"/>
                <w:sz w:val="18"/>
              </w:rPr>
              <w:t>0.6773</w:t>
            </w:r>
          </w:p>
        </w:tc>
      </w:tr>
      <w:tr>
        <w:tc>
          <w:tcPr>
            <w:tcW w:type="dxa" w:w="2017"/>
          </w:tcPr>
          <w:p>
            <w:pPr>
              <w:jc w:val="center"/>
            </w:pPr>
            <w:r>
              <w:rPr>
                <w:rFonts w:ascii="Times New Roman" w:hAnsi="Times New Roman"/>
                <w:sz w:val="18"/>
              </w:rPr>
              <w:t>Zone 5</w:t>
            </w:r>
          </w:p>
        </w:tc>
        <w:tc>
          <w:tcPr>
            <w:tcW w:type="dxa" w:w="2017"/>
          </w:tcPr>
          <w:p>
            <w:pPr>
              <w:jc w:val="center"/>
            </w:pPr>
            <w:r>
              <w:rPr>
                <w:rFonts w:ascii="Times New Roman" w:hAnsi="Times New Roman"/>
                <w:sz w:val="18"/>
              </w:rPr>
              <w:t>mu &gt;= 0.8</w:t>
            </w:r>
          </w:p>
        </w:tc>
        <w:tc>
          <w:tcPr>
            <w:tcW w:type="dxa" w:w="2017"/>
          </w:tcPr>
          <w:p>
            <w:pPr>
              <w:jc w:val="center"/>
            </w:pPr>
            <w:r>
              <w:rPr>
                <w:rFonts w:ascii="Times New Roman" w:hAnsi="Times New Roman"/>
                <w:sz w:val="18"/>
              </w:rPr>
              <w:t>19</w:t>
            </w:r>
          </w:p>
        </w:tc>
        <w:tc>
          <w:tcPr>
            <w:tcW w:type="dxa" w:w="2017"/>
          </w:tcPr>
          <w:p>
            <w:pPr>
              <w:jc w:val="center"/>
            </w:pPr>
            <w:r>
              <w:rPr>
                <w:rFonts w:ascii="Times New Roman" w:hAnsi="Times New Roman"/>
                <w:sz w:val="18"/>
              </w:rPr>
              <w:t>0.8947</w:t>
            </w:r>
          </w:p>
        </w:tc>
        <w:tc>
          <w:tcPr>
            <w:tcW w:type="dxa" w:w="2017"/>
          </w:tcPr>
          <w:p>
            <w:pPr>
              <w:jc w:val="center"/>
            </w:pPr>
            <w:r>
              <w:rPr>
                <w:rFonts w:ascii="Times New Roman" w:hAnsi="Times New Roman"/>
                <w:sz w:val="18"/>
              </w:rPr>
              <w:t>0.8747</w:t>
            </w:r>
          </w:p>
        </w:tc>
      </w:tr>
    </w:tbl>
    <w:p/>
    <w:p>
      <w:pPr>
        <w:jc w:val="center"/>
      </w:pPr>
      <w:r>
        <w:rPr>
          <w:rFonts w:ascii="Times New Roman" w:hAnsi="Times New Roman"/>
          <w:b/>
          <w:sz w:val="18"/>
        </w:rPr>
        <w:t>TABLE V. UNCERTAINTY ZONE ANALYSIS (Random Forest)</w:t>
      </w:r>
    </w:p>
    <w:tbl>
      <w:tblPr>
        <w:tblW w:type="auto" w:w="0"/>
        <w:jc w:val="center"/>
        <w:tblLook w:firstColumn="1" w:firstRow="1" w:lastColumn="0" w:lastRow="0" w:noHBand="0" w:noVBand="1" w:val="04A0"/>
      </w:tblPr>
      <w:tblGrid>
        <w:gridCol w:w="2017"/>
        <w:gridCol w:w="2017"/>
        <w:gridCol w:w="2017"/>
        <w:gridCol w:w="2017"/>
        <w:gridCol w:w="2017"/>
      </w:tblGrid>
      <w:tr>
        <w:tc>
          <w:tcPr>
            <w:tcW w:type="dxa" w:w="2017"/>
            <w:shd w:fill="D9E2F3"/>
          </w:tcPr>
          <w:p>
            <w:pPr>
              <w:jc w:val="center"/>
            </w:pPr>
            <w:r>
              <w:rPr>
                <w:rFonts w:ascii="Times New Roman" w:hAnsi="Times New Roman"/>
                <w:b/>
                <w:sz w:val="18"/>
              </w:rPr>
              <w:t>Zone</w:t>
            </w:r>
          </w:p>
        </w:tc>
        <w:tc>
          <w:tcPr>
            <w:tcW w:type="dxa" w:w="2017"/>
            <w:shd w:fill="D9E2F3"/>
          </w:tcPr>
          <w:p>
            <w:pPr>
              <w:jc w:val="center"/>
            </w:pPr>
            <w:r>
              <w:rPr>
                <w:rFonts w:ascii="Times New Roman" w:hAnsi="Times New Roman"/>
                <w:b/>
                <w:sz w:val="18"/>
              </w:rPr>
              <w:t>Range</w:t>
            </w:r>
          </w:p>
        </w:tc>
        <w:tc>
          <w:tcPr>
            <w:tcW w:type="dxa" w:w="2017"/>
            <w:shd w:fill="D9E2F3"/>
          </w:tcPr>
          <w:p>
            <w:pPr>
              <w:jc w:val="center"/>
            </w:pPr>
            <w:r>
              <w:rPr>
                <w:rFonts w:ascii="Times New Roman" w:hAnsi="Times New Roman"/>
                <w:b/>
                <w:sz w:val="18"/>
              </w:rPr>
              <w:t>N</w:t>
            </w:r>
          </w:p>
        </w:tc>
        <w:tc>
          <w:tcPr>
            <w:tcW w:type="dxa" w:w="2017"/>
            <w:shd w:fill="D9E2F3"/>
          </w:tcPr>
          <w:p>
            <w:pPr>
              <w:jc w:val="center"/>
            </w:pPr>
            <w:r>
              <w:rPr>
                <w:rFonts w:ascii="Times New Roman" w:hAnsi="Times New Roman"/>
                <w:b/>
                <w:sz w:val="18"/>
              </w:rPr>
              <w:t>Accuracy</w:t>
            </w:r>
          </w:p>
        </w:tc>
        <w:tc>
          <w:tcPr>
            <w:tcW w:type="dxa" w:w="2017"/>
            <w:shd w:fill="D9E2F3"/>
          </w:tcPr>
          <w:p>
            <w:pPr>
              <w:jc w:val="center"/>
            </w:pPr>
            <w:r>
              <w:rPr>
                <w:rFonts w:ascii="Times New Roman" w:hAnsi="Times New Roman"/>
                <w:b/>
                <w:sz w:val="18"/>
              </w:rPr>
              <w:t>Avg Prob</w:t>
            </w:r>
          </w:p>
        </w:tc>
      </w:tr>
      <w:tr>
        <w:tc>
          <w:tcPr>
            <w:tcW w:type="dxa" w:w="2017"/>
          </w:tcPr>
          <w:p>
            <w:pPr>
              <w:jc w:val="center"/>
            </w:pPr>
            <w:r>
              <w:rPr>
                <w:rFonts w:ascii="Times New Roman" w:hAnsi="Times New Roman"/>
                <w:sz w:val="18"/>
              </w:rPr>
              <w:t>Zone 1</w:t>
            </w:r>
          </w:p>
        </w:tc>
        <w:tc>
          <w:tcPr>
            <w:tcW w:type="dxa" w:w="2017"/>
          </w:tcPr>
          <w:p>
            <w:pPr>
              <w:jc w:val="center"/>
            </w:pPr>
            <w:r>
              <w:rPr>
                <w:rFonts w:ascii="Times New Roman" w:hAnsi="Times New Roman"/>
                <w:sz w:val="18"/>
              </w:rPr>
              <w:t>mu &lt; 0.2</w:t>
            </w:r>
          </w:p>
        </w:tc>
        <w:tc>
          <w:tcPr>
            <w:tcW w:type="dxa" w:w="2017"/>
          </w:tcPr>
          <w:p>
            <w:pPr>
              <w:jc w:val="center"/>
            </w:pPr>
            <w:r>
              <w:rPr>
                <w:rFonts w:ascii="Times New Roman" w:hAnsi="Times New Roman"/>
                <w:sz w:val="18"/>
              </w:rPr>
              <w:t>19</w:t>
            </w:r>
          </w:p>
        </w:tc>
        <w:tc>
          <w:tcPr>
            <w:tcW w:type="dxa" w:w="2017"/>
          </w:tcPr>
          <w:p>
            <w:pPr>
              <w:jc w:val="center"/>
            </w:pPr>
            <w:r>
              <w:rPr>
                <w:rFonts w:ascii="Times New Roman" w:hAnsi="Times New Roman"/>
                <w:sz w:val="18"/>
              </w:rPr>
              <w:t>0.8421</w:t>
            </w:r>
          </w:p>
        </w:tc>
        <w:tc>
          <w:tcPr>
            <w:tcW w:type="dxa" w:w="2017"/>
          </w:tcPr>
          <w:p>
            <w:pPr>
              <w:jc w:val="center"/>
            </w:pPr>
            <w:r>
              <w:rPr>
                <w:rFonts w:ascii="Times New Roman" w:hAnsi="Times New Roman"/>
                <w:sz w:val="18"/>
              </w:rPr>
              <w:t>0.1621</w:t>
            </w:r>
          </w:p>
        </w:tc>
      </w:tr>
      <w:tr>
        <w:tc>
          <w:tcPr>
            <w:tcW w:type="dxa" w:w="2017"/>
          </w:tcPr>
          <w:p>
            <w:pPr>
              <w:jc w:val="center"/>
            </w:pPr>
            <w:r>
              <w:rPr>
                <w:rFonts w:ascii="Times New Roman" w:hAnsi="Times New Roman"/>
                <w:sz w:val="18"/>
              </w:rPr>
              <w:t>Zone 2</w:t>
            </w:r>
          </w:p>
        </w:tc>
        <w:tc>
          <w:tcPr>
            <w:tcW w:type="dxa" w:w="2017"/>
          </w:tcPr>
          <w:p>
            <w:pPr>
              <w:jc w:val="center"/>
            </w:pPr>
            <w:r>
              <w:rPr>
                <w:rFonts w:ascii="Times New Roman" w:hAnsi="Times New Roman"/>
                <w:sz w:val="18"/>
              </w:rPr>
              <w:t>0.2 - 0.4</w:t>
            </w:r>
          </w:p>
        </w:tc>
        <w:tc>
          <w:tcPr>
            <w:tcW w:type="dxa" w:w="2017"/>
          </w:tcPr>
          <w:p>
            <w:pPr>
              <w:jc w:val="center"/>
            </w:pPr>
            <w:r>
              <w:rPr>
                <w:rFonts w:ascii="Times New Roman" w:hAnsi="Times New Roman"/>
                <w:sz w:val="18"/>
              </w:rPr>
              <w:t>251</w:t>
            </w:r>
          </w:p>
        </w:tc>
        <w:tc>
          <w:tcPr>
            <w:tcW w:type="dxa" w:w="2017"/>
          </w:tcPr>
          <w:p>
            <w:pPr>
              <w:jc w:val="center"/>
            </w:pPr>
            <w:r>
              <w:rPr>
                <w:rFonts w:ascii="Times New Roman" w:hAnsi="Times New Roman"/>
                <w:sz w:val="18"/>
              </w:rPr>
              <w:t>0.6892</w:t>
            </w:r>
          </w:p>
        </w:tc>
        <w:tc>
          <w:tcPr>
            <w:tcW w:type="dxa" w:w="2017"/>
          </w:tcPr>
          <w:p>
            <w:pPr>
              <w:jc w:val="center"/>
            </w:pPr>
            <w:r>
              <w:rPr>
                <w:rFonts w:ascii="Times New Roman" w:hAnsi="Times New Roman"/>
                <w:sz w:val="18"/>
              </w:rPr>
              <w:t>0.3141</w:t>
            </w:r>
          </w:p>
        </w:tc>
      </w:tr>
      <w:tr>
        <w:tc>
          <w:tcPr>
            <w:tcW w:type="dxa" w:w="2017"/>
          </w:tcPr>
          <w:p>
            <w:pPr>
              <w:jc w:val="center"/>
            </w:pPr>
            <w:r>
              <w:rPr>
                <w:rFonts w:ascii="Times New Roman" w:hAnsi="Times New Roman"/>
                <w:sz w:val="18"/>
              </w:rPr>
              <w:t>Zone 3</w:t>
            </w:r>
          </w:p>
        </w:tc>
        <w:tc>
          <w:tcPr>
            <w:tcW w:type="dxa" w:w="2017"/>
          </w:tcPr>
          <w:p>
            <w:pPr>
              <w:jc w:val="center"/>
            </w:pPr>
            <w:r>
              <w:rPr>
                <w:rFonts w:ascii="Times New Roman" w:hAnsi="Times New Roman"/>
                <w:sz w:val="18"/>
              </w:rPr>
              <w:t>0.4 - 0.6</w:t>
            </w:r>
          </w:p>
        </w:tc>
        <w:tc>
          <w:tcPr>
            <w:tcW w:type="dxa" w:w="2017"/>
          </w:tcPr>
          <w:p>
            <w:pPr>
              <w:jc w:val="center"/>
            </w:pPr>
            <w:r>
              <w:rPr>
                <w:rFonts w:ascii="Times New Roman" w:hAnsi="Times New Roman"/>
                <w:sz w:val="18"/>
              </w:rPr>
              <w:t>182</w:t>
            </w:r>
          </w:p>
        </w:tc>
        <w:tc>
          <w:tcPr>
            <w:tcW w:type="dxa" w:w="2017"/>
          </w:tcPr>
          <w:p>
            <w:pPr>
              <w:jc w:val="center"/>
            </w:pPr>
            <w:r>
              <w:rPr>
                <w:rFonts w:ascii="Times New Roman" w:hAnsi="Times New Roman"/>
                <w:sz w:val="18"/>
              </w:rPr>
              <w:t>0.5440</w:t>
            </w:r>
          </w:p>
        </w:tc>
        <w:tc>
          <w:tcPr>
            <w:tcW w:type="dxa" w:w="2017"/>
          </w:tcPr>
          <w:p>
            <w:pPr>
              <w:jc w:val="center"/>
            </w:pPr>
            <w:r>
              <w:rPr>
                <w:rFonts w:ascii="Times New Roman" w:hAnsi="Times New Roman"/>
                <w:sz w:val="18"/>
              </w:rPr>
              <w:t>0.4732</w:t>
            </w:r>
          </w:p>
        </w:tc>
      </w:tr>
      <w:tr>
        <w:tc>
          <w:tcPr>
            <w:tcW w:type="dxa" w:w="2017"/>
          </w:tcPr>
          <w:p>
            <w:pPr>
              <w:jc w:val="center"/>
            </w:pPr>
            <w:r>
              <w:rPr>
                <w:rFonts w:ascii="Times New Roman" w:hAnsi="Times New Roman"/>
                <w:sz w:val="18"/>
              </w:rPr>
              <w:t>Zone 4</w:t>
            </w:r>
          </w:p>
        </w:tc>
        <w:tc>
          <w:tcPr>
            <w:tcW w:type="dxa" w:w="2017"/>
          </w:tcPr>
          <w:p>
            <w:pPr>
              <w:jc w:val="center"/>
            </w:pPr>
            <w:r>
              <w:rPr>
                <w:rFonts w:ascii="Times New Roman" w:hAnsi="Times New Roman"/>
                <w:sz w:val="18"/>
              </w:rPr>
              <w:t>0.6 - 0.8</w:t>
            </w:r>
          </w:p>
        </w:tc>
        <w:tc>
          <w:tcPr>
            <w:tcW w:type="dxa" w:w="2017"/>
          </w:tcPr>
          <w:p>
            <w:pPr>
              <w:jc w:val="center"/>
            </w:pPr>
            <w:r>
              <w:rPr>
                <w:rFonts w:ascii="Times New Roman" w:hAnsi="Times New Roman"/>
                <w:sz w:val="18"/>
              </w:rPr>
              <w:t>36</w:t>
            </w:r>
          </w:p>
        </w:tc>
        <w:tc>
          <w:tcPr>
            <w:tcW w:type="dxa" w:w="2017"/>
          </w:tcPr>
          <w:p>
            <w:pPr>
              <w:jc w:val="center"/>
            </w:pPr>
            <w:r>
              <w:rPr>
                <w:rFonts w:ascii="Times New Roman" w:hAnsi="Times New Roman"/>
                <w:sz w:val="18"/>
              </w:rPr>
              <w:t>0.8889</w:t>
            </w:r>
          </w:p>
        </w:tc>
        <w:tc>
          <w:tcPr>
            <w:tcW w:type="dxa" w:w="2017"/>
          </w:tcPr>
          <w:p>
            <w:pPr>
              <w:jc w:val="center"/>
            </w:pPr>
            <w:r>
              <w:rPr>
                <w:rFonts w:ascii="Times New Roman" w:hAnsi="Times New Roman"/>
                <w:sz w:val="18"/>
              </w:rPr>
              <w:t>0.6620</w:t>
            </w:r>
          </w:p>
        </w:tc>
      </w:tr>
      <w:tr>
        <w:tc>
          <w:tcPr>
            <w:tcW w:type="dxa" w:w="2017"/>
          </w:tcPr>
          <w:p>
            <w:pPr>
              <w:jc w:val="center"/>
            </w:pPr>
            <w:r>
              <w:rPr>
                <w:rFonts w:ascii="Times New Roman" w:hAnsi="Times New Roman"/>
                <w:sz w:val="18"/>
              </w:rPr>
              <w:t>Zone 5</w:t>
            </w:r>
          </w:p>
        </w:tc>
        <w:tc>
          <w:tcPr>
            <w:tcW w:type="dxa" w:w="2017"/>
          </w:tcPr>
          <w:p>
            <w:pPr>
              <w:jc w:val="center"/>
            </w:pPr>
            <w:r>
              <w:rPr>
                <w:rFonts w:ascii="Times New Roman" w:hAnsi="Times New Roman"/>
                <w:sz w:val="18"/>
              </w:rPr>
              <w:t>mu &gt;= 0.8</w:t>
            </w:r>
          </w:p>
        </w:tc>
        <w:tc>
          <w:tcPr>
            <w:tcW w:type="dxa" w:w="2017"/>
          </w:tcPr>
          <w:p>
            <w:pPr>
              <w:jc w:val="center"/>
            </w:pPr>
            <w:r>
              <w:rPr>
                <w:rFonts w:ascii="Times New Roman" w:hAnsi="Times New Roman"/>
                <w:sz w:val="18"/>
              </w:rPr>
              <w:t>4</w:t>
            </w:r>
          </w:p>
        </w:tc>
        <w:tc>
          <w:tcPr>
            <w:tcW w:type="dxa" w:w="2017"/>
          </w:tcPr>
          <w:p>
            <w:pPr>
              <w:jc w:val="center"/>
            </w:pPr>
            <w:r>
              <w:rPr>
                <w:rFonts w:ascii="Times New Roman" w:hAnsi="Times New Roman"/>
                <w:sz w:val="18"/>
              </w:rPr>
              <w:t>1.0000</w:t>
            </w:r>
          </w:p>
        </w:tc>
        <w:tc>
          <w:tcPr>
            <w:tcW w:type="dxa" w:w="2017"/>
          </w:tcPr>
          <w:p>
            <w:pPr>
              <w:jc w:val="center"/>
            </w:pPr>
            <w:r>
              <w:rPr>
                <w:rFonts w:ascii="Times New Roman" w:hAnsi="Times New Roman"/>
                <w:sz w:val="18"/>
              </w:rPr>
              <w:t>0.8558</w:t>
            </w:r>
          </w:p>
        </w:tc>
      </w:tr>
    </w:tbl>
    <w:p/>
    <w:p>
      <w:pPr>
        <w:jc w:val="center"/>
      </w:pPr>
      <w:r>
        <w:drawing>
          <wp:inline xmlns:a="http://schemas.openxmlformats.org/drawingml/2006/main" xmlns:pic="http://schemas.openxmlformats.org/drawingml/2006/picture">
            <wp:extent cx="5029200" cy="1635209"/>
            <wp:docPr id="6" name="Picture 6"/>
            <wp:cNvGraphicFramePr>
              <a:graphicFrameLocks noChangeAspect="1"/>
            </wp:cNvGraphicFramePr>
            <a:graphic>
              <a:graphicData uri="http://schemas.openxmlformats.org/drawingml/2006/picture">
                <pic:pic>
                  <pic:nvPicPr>
                    <pic:cNvPr id="0" name="uncertainty_zones.png"/>
                    <pic:cNvPicPr/>
                  </pic:nvPicPr>
                  <pic:blipFill>
                    <a:blip r:embed="rId14"/>
                    <a:stretch>
                      <a:fillRect/>
                    </a:stretch>
                  </pic:blipFill>
                  <pic:spPr>
                    <a:xfrm>
                      <a:off x="0" y="0"/>
                      <a:ext cx="5029200" cy="1635209"/>
                    </a:xfrm>
                    <a:prstGeom prst="rect"/>
                  </pic:spPr>
                </pic:pic>
              </a:graphicData>
            </a:graphic>
          </wp:inline>
        </w:drawing>
      </w:r>
    </w:p>
    <w:p>
      <w:pPr>
        <w:spacing w:after="120"/>
        <w:jc w:val="center"/>
      </w:pPr>
      <w:r>
        <w:rPr>
          <w:rFonts w:ascii="Times New Roman" w:hAnsi="Times New Roman"/>
          <w:sz w:val="18"/>
        </w:rPr>
        <w:t>Fig. 6. Uncertainty zone accuracy analysis for all three models.</w:t>
      </w:r>
    </w:p>
    <w:p>
      <w:pPr>
        <w:spacing w:before="120" w:after="60"/>
        <w:jc w:val="left"/>
      </w:pPr>
      <w:r>
        <w:rPr>
          <w:rFonts w:ascii="Times New Roman" w:hAnsi="Times New Roman"/>
          <w:b/>
          <w:i/>
          <w:sz w:val="20"/>
        </w:rPr>
        <w:t>G. Probability Distribution Analysis</w:t>
      </w:r>
    </w:p>
    <w:p>
      <w:pPr>
        <w:spacing w:after="60"/>
        <w:ind w:firstLine="283"/>
        <w:jc w:val="both"/>
      </w:pPr>
      <w:r>
        <w:rPr>
          <w:rFonts w:ascii="Times New Roman" w:hAnsi="Times New Roman"/>
          <w:sz w:val="20"/>
        </w:rPr>
        <w:t>Fig. 7 illustrates the kernel density estimation (KDE) of predicted probabilities separated by true class label. NGBoost shows concentrated probability mass in the 0.2-0.4 range for both classes, reflecting its conservative behavior. XGBoost produces slightly more dispersed distributions with better separation between classes. Random Forest exhibits the most concentrated distributions around 0.3-0.5, consistent with its vote-averaging mechanism that naturally avoids extreme probabilities. The substantial overlap between class distributions across all models confirms the inherent difficulty of this classification task and explains the moderate AUC values observed.</w:t>
      </w:r>
    </w:p>
    <w:p>
      <w:pPr>
        <w:jc w:val="center"/>
      </w:pPr>
      <w:r>
        <w:drawing>
          <wp:inline xmlns:a="http://schemas.openxmlformats.org/drawingml/2006/main" xmlns:pic="http://schemas.openxmlformats.org/drawingml/2006/picture">
            <wp:extent cx="5029200" cy="1640288"/>
            <wp:docPr id="7" name="Picture 7"/>
            <wp:cNvGraphicFramePr>
              <a:graphicFrameLocks noChangeAspect="1"/>
            </wp:cNvGraphicFramePr>
            <a:graphic>
              <a:graphicData uri="http://schemas.openxmlformats.org/drawingml/2006/picture">
                <pic:pic>
                  <pic:nvPicPr>
                    <pic:cNvPr id="0" name="probability_distributions.png"/>
                    <pic:cNvPicPr/>
                  </pic:nvPicPr>
                  <pic:blipFill>
                    <a:blip r:embed="rId15"/>
                    <a:stretch>
                      <a:fillRect/>
                    </a:stretch>
                  </pic:blipFill>
                  <pic:spPr>
                    <a:xfrm>
                      <a:off x="0" y="0"/>
                      <a:ext cx="5029200" cy="1640288"/>
                    </a:xfrm>
                    <a:prstGeom prst="rect"/>
                  </pic:spPr>
                </pic:pic>
              </a:graphicData>
            </a:graphic>
          </wp:inline>
        </w:drawing>
      </w:r>
    </w:p>
    <w:p>
      <w:pPr>
        <w:spacing w:after="120"/>
        <w:jc w:val="center"/>
      </w:pPr>
      <w:r>
        <w:rPr>
          <w:rFonts w:ascii="Times New Roman" w:hAnsi="Times New Roman"/>
          <w:sz w:val="18"/>
        </w:rPr>
        <w:t>Fig. 7. Kernel density estimation of predicted probabilities by true class label.</w:t>
      </w:r>
    </w:p>
    <w:p>
      <w:pPr>
        <w:spacing w:before="120" w:after="60"/>
        <w:jc w:val="left"/>
      </w:pPr>
      <w:r>
        <w:rPr>
          <w:rFonts w:ascii="Times New Roman" w:hAnsi="Times New Roman"/>
          <w:b/>
          <w:i/>
          <w:sz w:val="20"/>
        </w:rPr>
        <w:t>H. Impact of SMOTE-ENN</w:t>
      </w:r>
    </w:p>
    <w:p>
      <w:pPr>
        <w:spacing w:after="60"/>
        <w:ind w:firstLine="283"/>
        <w:jc w:val="both"/>
      </w:pPr>
      <w:r>
        <w:rPr>
          <w:rFonts w:ascii="Times New Roman" w:hAnsi="Times New Roman"/>
          <w:sz w:val="20"/>
        </w:rPr>
        <w:t>Table VI presents the impact of SMOTE-ENN resampling on model accuracy. The training set is reduced from 2,292 to 1,096 samples after SMOTE-ENN application, as the ENN cleaning step removes a substantial portion of ambiguous samples. All three models exhibit decreased accuracy after resampling: NGBoost drops from 0.6646 to 0.5549, XGBoost from 0.6646 to 0.5772, and Random Forest from 0.6585 to 0.5854. This consistent degradation indicates that the synthetic samples generated by SMOTE and the aggressive cleaning by ENN disrupt the natural decision boundaries learned from the original data distribution.</w:t>
      </w:r>
    </w:p>
    <w:p>
      <w:pPr>
        <w:jc w:val="center"/>
      </w:pPr>
      <w:r>
        <w:rPr>
          <w:rFonts w:ascii="Times New Roman" w:hAnsi="Times New Roman"/>
          <w:b/>
          <w:sz w:val="18"/>
        </w:rPr>
        <w:t>TABLE VI. IMPACT OF SMOTE-ENN ON MODEL ACCURACY</w:t>
      </w:r>
    </w:p>
    <w:tbl>
      <w:tblPr>
        <w:tblW w:type="auto" w:w="0"/>
        <w:jc w:val="center"/>
        <w:tblLook w:firstColumn="1" w:firstRow="1" w:lastColumn="0" w:lastRow="0" w:noHBand="0" w:noVBand="1" w:val="04A0"/>
      </w:tblPr>
      <w:tblGrid>
        <w:gridCol w:w="2521"/>
        <w:gridCol w:w="2521"/>
        <w:gridCol w:w="2521"/>
        <w:gridCol w:w="2521"/>
      </w:tblGrid>
      <w:tr>
        <w:tc>
          <w:tcPr>
            <w:tcW w:type="dxa" w:w="2521"/>
            <w:shd w:fill="D9E2F3"/>
          </w:tcPr>
          <w:p>
            <w:pPr>
              <w:jc w:val="center"/>
            </w:pPr>
            <w:r>
              <w:rPr>
                <w:rFonts w:ascii="Times New Roman" w:hAnsi="Times New Roman"/>
                <w:b/>
                <w:sz w:val="18"/>
              </w:rPr>
              <w:t>Model</w:t>
            </w:r>
          </w:p>
        </w:tc>
        <w:tc>
          <w:tcPr>
            <w:tcW w:type="dxa" w:w="2521"/>
            <w:shd w:fill="D9E2F3"/>
          </w:tcPr>
          <w:p>
            <w:pPr>
              <w:jc w:val="center"/>
            </w:pPr>
            <w:r>
              <w:rPr>
                <w:rFonts w:ascii="Times New Roman" w:hAnsi="Times New Roman"/>
                <w:b/>
                <w:sz w:val="18"/>
              </w:rPr>
              <w:t>Without SMOTE-ENN</w:t>
            </w:r>
          </w:p>
        </w:tc>
        <w:tc>
          <w:tcPr>
            <w:tcW w:type="dxa" w:w="2521"/>
            <w:shd w:fill="D9E2F3"/>
          </w:tcPr>
          <w:p>
            <w:pPr>
              <w:jc w:val="center"/>
            </w:pPr>
            <w:r>
              <w:rPr>
                <w:rFonts w:ascii="Times New Roman" w:hAnsi="Times New Roman"/>
                <w:b/>
                <w:sz w:val="18"/>
              </w:rPr>
              <w:t>With SMOTE-ENN</w:t>
            </w:r>
          </w:p>
        </w:tc>
        <w:tc>
          <w:tcPr>
            <w:tcW w:type="dxa" w:w="2521"/>
            <w:shd w:fill="D9E2F3"/>
          </w:tcPr>
          <w:p>
            <w:pPr>
              <w:jc w:val="center"/>
            </w:pPr>
            <w:r>
              <w:rPr>
                <w:rFonts w:ascii="Times New Roman" w:hAnsi="Times New Roman"/>
                <w:b/>
                <w:sz w:val="18"/>
              </w:rPr>
              <w:t>Difference</w:t>
            </w:r>
          </w:p>
        </w:tc>
      </w:tr>
      <w:tr>
        <w:tc>
          <w:tcPr>
            <w:tcW w:type="dxa" w:w="2521"/>
          </w:tcPr>
          <w:p>
            <w:pPr>
              <w:jc w:val="center"/>
            </w:pPr>
            <w:r>
              <w:rPr>
                <w:rFonts w:ascii="Times New Roman" w:hAnsi="Times New Roman"/>
                <w:sz w:val="18"/>
              </w:rPr>
              <w:t>NGBoost</w:t>
            </w:r>
          </w:p>
        </w:tc>
        <w:tc>
          <w:tcPr>
            <w:tcW w:type="dxa" w:w="2521"/>
          </w:tcPr>
          <w:p>
            <w:pPr>
              <w:jc w:val="center"/>
            </w:pPr>
            <w:r>
              <w:rPr>
                <w:rFonts w:ascii="Times New Roman" w:hAnsi="Times New Roman"/>
                <w:sz w:val="18"/>
              </w:rPr>
              <w:t>0.6646</w:t>
            </w:r>
          </w:p>
        </w:tc>
        <w:tc>
          <w:tcPr>
            <w:tcW w:type="dxa" w:w="2521"/>
          </w:tcPr>
          <w:p>
            <w:pPr>
              <w:jc w:val="center"/>
            </w:pPr>
            <w:r>
              <w:rPr>
                <w:rFonts w:ascii="Times New Roman" w:hAnsi="Times New Roman"/>
                <w:sz w:val="18"/>
              </w:rPr>
              <w:t>0.5549</w:t>
            </w:r>
          </w:p>
        </w:tc>
        <w:tc>
          <w:tcPr>
            <w:tcW w:type="dxa" w:w="2521"/>
          </w:tcPr>
          <w:p>
            <w:pPr>
              <w:jc w:val="center"/>
            </w:pPr>
            <w:r>
              <w:rPr>
                <w:rFonts w:ascii="Times New Roman" w:hAnsi="Times New Roman"/>
                <w:sz w:val="18"/>
              </w:rPr>
              <w:t>-0.1098</w:t>
            </w:r>
          </w:p>
        </w:tc>
      </w:tr>
      <w:tr>
        <w:tc>
          <w:tcPr>
            <w:tcW w:type="dxa" w:w="2521"/>
          </w:tcPr>
          <w:p>
            <w:pPr>
              <w:jc w:val="center"/>
            </w:pPr>
            <w:r>
              <w:rPr>
                <w:rFonts w:ascii="Times New Roman" w:hAnsi="Times New Roman"/>
                <w:sz w:val="18"/>
              </w:rPr>
              <w:t>XGBoost</w:t>
            </w:r>
          </w:p>
        </w:tc>
        <w:tc>
          <w:tcPr>
            <w:tcW w:type="dxa" w:w="2521"/>
          </w:tcPr>
          <w:p>
            <w:pPr>
              <w:jc w:val="center"/>
            </w:pPr>
            <w:r>
              <w:rPr>
                <w:rFonts w:ascii="Times New Roman" w:hAnsi="Times New Roman"/>
                <w:sz w:val="18"/>
              </w:rPr>
              <w:t>0.6646</w:t>
            </w:r>
          </w:p>
        </w:tc>
        <w:tc>
          <w:tcPr>
            <w:tcW w:type="dxa" w:w="2521"/>
          </w:tcPr>
          <w:p>
            <w:pPr>
              <w:jc w:val="center"/>
            </w:pPr>
            <w:r>
              <w:rPr>
                <w:rFonts w:ascii="Times New Roman" w:hAnsi="Times New Roman"/>
                <w:sz w:val="18"/>
              </w:rPr>
              <w:t>0.5772</w:t>
            </w:r>
          </w:p>
        </w:tc>
        <w:tc>
          <w:tcPr>
            <w:tcW w:type="dxa" w:w="2521"/>
          </w:tcPr>
          <w:p>
            <w:pPr>
              <w:jc w:val="center"/>
            </w:pPr>
            <w:r>
              <w:rPr>
                <w:rFonts w:ascii="Times New Roman" w:hAnsi="Times New Roman"/>
                <w:sz w:val="18"/>
              </w:rPr>
              <w:t>-0.0874</w:t>
            </w:r>
          </w:p>
        </w:tc>
      </w:tr>
      <w:tr>
        <w:tc>
          <w:tcPr>
            <w:tcW w:type="dxa" w:w="2521"/>
          </w:tcPr>
          <w:p>
            <w:pPr>
              <w:jc w:val="center"/>
            </w:pPr>
            <w:r>
              <w:rPr>
                <w:rFonts w:ascii="Times New Roman" w:hAnsi="Times New Roman"/>
                <w:sz w:val="18"/>
              </w:rPr>
              <w:t>Random Forest</w:t>
            </w:r>
          </w:p>
        </w:tc>
        <w:tc>
          <w:tcPr>
            <w:tcW w:type="dxa" w:w="2521"/>
          </w:tcPr>
          <w:p>
            <w:pPr>
              <w:jc w:val="center"/>
            </w:pPr>
            <w:r>
              <w:rPr>
                <w:rFonts w:ascii="Times New Roman" w:hAnsi="Times New Roman"/>
                <w:sz w:val="18"/>
              </w:rPr>
              <w:t>0.6585</w:t>
            </w:r>
          </w:p>
        </w:tc>
        <w:tc>
          <w:tcPr>
            <w:tcW w:type="dxa" w:w="2521"/>
          </w:tcPr>
          <w:p>
            <w:pPr>
              <w:jc w:val="center"/>
            </w:pPr>
            <w:r>
              <w:rPr>
                <w:rFonts w:ascii="Times New Roman" w:hAnsi="Times New Roman"/>
                <w:sz w:val="18"/>
              </w:rPr>
              <w:t>0.5854</w:t>
            </w:r>
          </w:p>
        </w:tc>
        <w:tc>
          <w:tcPr>
            <w:tcW w:type="dxa" w:w="2521"/>
          </w:tcPr>
          <w:p>
            <w:pPr>
              <w:jc w:val="center"/>
            </w:pPr>
            <w:r>
              <w:rPr>
                <w:rFonts w:ascii="Times New Roman" w:hAnsi="Times New Roman"/>
                <w:sz w:val="18"/>
              </w:rPr>
              <w:t>-0.0732</w:t>
            </w:r>
          </w:p>
        </w:tc>
      </w:tr>
    </w:tbl>
    <w:p/>
    <w:p>
      <w:pPr>
        <w:jc w:val="center"/>
      </w:pPr>
      <w:r>
        <w:drawing>
          <wp:inline xmlns:a="http://schemas.openxmlformats.org/drawingml/2006/main" xmlns:pic="http://schemas.openxmlformats.org/drawingml/2006/picture">
            <wp:extent cx="3657600" cy="2253696"/>
            <wp:docPr id="8" name="Picture 8"/>
            <wp:cNvGraphicFramePr>
              <a:graphicFrameLocks noChangeAspect="1"/>
            </wp:cNvGraphicFramePr>
            <a:graphic>
              <a:graphicData uri="http://schemas.openxmlformats.org/drawingml/2006/picture">
                <pic:pic>
                  <pic:nvPicPr>
                    <pic:cNvPr id="0" name="smote_enn_comparison.png"/>
                    <pic:cNvPicPr/>
                  </pic:nvPicPr>
                  <pic:blipFill>
                    <a:blip r:embed="rId16"/>
                    <a:stretch>
                      <a:fillRect/>
                    </a:stretch>
                  </pic:blipFill>
                  <pic:spPr>
                    <a:xfrm>
                      <a:off x="0" y="0"/>
                      <a:ext cx="3657600" cy="2253696"/>
                    </a:xfrm>
                    <a:prstGeom prst="rect"/>
                  </pic:spPr>
                </pic:pic>
              </a:graphicData>
            </a:graphic>
          </wp:inline>
        </w:drawing>
      </w:r>
    </w:p>
    <w:p>
      <w:pPr>
        <w:spacing w:after="120"/>
        <w:jc w:val="center"/>
      </w:pPr>
      <w:r>
        <w:rPr>
          <w:rFonts w:ascii="Times New Roman" w:hAnsi="Times New Roman"/>
          <w:sz w:val="18"/>
        </w:rPr>
        <w:t>Fig. 8. Comparison of model accuracy with and without SMOTE-ENN resampling.</w:t>
      </w:r>
    </w:p>
    <w:p>
      <w:pPr>
        <w:spacing w:after="60"/>
        <w:ind w:firstLine="283"/>
        <w:jc w:val="both"/>
      </w:pPr>
      <w:r>
        <w:rPr>
          <w:rFonts w:ascii="Times New Roman" w:hAnsi="Times New Roman"/>
          <w:sz w:val="20"/>
        </w:rPr>
        <w:t>The performance degradation is attributable to two factors. First, the moderate imbalance ratio (61:39) does not critically impair learning, making aggressive resampling unnecessary. Second, the ENN cleaning step reduces the training set by more than 50% (2,292 to 1,096), removing informative boundary samples that are essential for learning the complex decision surface in this overlapping feature space. This finding is consistent with Wallace and Dahabreh [14], who demonstrated that resampling can degrade calibration and accuracy when class overlap is high.</w:t>
      </w:r>
    </w:p>
    <w:p>
      <w:pPr>
        <w:spacing w:before="120" w:after="60"/>
        <w:jc w:val="left"/>
      </w:pPr>
      <w:r>
        <w:rPr>
          <w:rFonts w:ascii="Times New Roman" w:hAnsi="Times New Roman"/>
          <w:b/>
          <w:i/>
          <w:sz w:val="20"/>
        </w:rPr>
        <w:t>I. Validation Loss Analysis</w:t>
      </w:r>
    </w:p>
    <w:p>
      <w:pPr>
        <w:spacing w:after="60"/>
        <w:ind w:firstLine="283"/>
        <w:jc w:val="both"/>
      </w:pPr>
      <w:r>
        <w:rPr>
          <w:rFonts w:ascii="Times New Roman" w:hAnsi="Times New Roman"/>
          <w:sz w:val="20"/>
        </w:rPr>
        <w:t>Fig. 9 presents the XGBoost validation loss curve during training. The log-loss decreases monotonically before gradually stabilizing, indicating effective learning without severe overfitting. NGBoost's internal training process operates analogously but does not expose an iteration-level validation loss history in the same interface, so only the XGBoost curve is shown. The convergence behavior validates the chosen learning rate and number of estimators for the boosting models.</w:t>
      </w:r>
    </w:p>
    <w:p>
      <w:pPr>
        <w:jc w:val="center"/>
      </w:pPr>
      <w:r>
        <w:drawing>
          <wp:inline xmlns:a="http://schemas.openxmlformats.org/drawingml/2006/main" xmlns:pic="http://schemas.openxmlformats.org/drawingml/2006/picture">
            <wp:extent cx="3657600" cy="2256024"/>
            <wp:docPr id="9" name="Picture 9"/>
            <wp:cNvGraphicFramePr>
              <a:graphicFrameLocks noChangeAspect="1"/>
            </wp:cNvGraphicFramePr>
            <a:graphic>
              <a:graphicData uri="http://schemas.openxmlformats.org/drawingml/2006/picture">
                <pic:pic>
                  <pic:nvPicPr>
                    <pic:cNvPr id="0" name="xgboost_loss_curve.png"/>
                    <pic:cNvPicPr/>
                  </pic:nvPicPr>
                  <pic:blipFill>
                    <a:blip r:embed="rId17"/>
                    <a:stretch>
                      <a:fillRect/>
                    </a:stretch>
                  </pic:blipFill>
                  <pic:spPr>
                    <a:xfrm>
                      <a:off x="0" y="0"/>
                      <a:ext cx="3657600" cy="2256024"/>
                    </a:xfrm>
                    <a:prstGeom prst="rect"/>
                  </pic:spPr>
                </pic:pic>
              </a:graphicData>
            </a:graphic>
          </wp:inline>
        </w:drawing>
      </w:r>
    </w:p>
    <w:p>
      <w:pPr>
        <w:spacing w:after="120"/>
        <w:jc w:val="center"/>
      </w:pPr>
      <w:r>
        <w:rPr>
          <w:rFonts w:ascii="Times New Roman" w:hAnsi="Times New Roman"/>
          <w:sz w:val="18"/>
        </w:rPr>
        <w:t>Fig. 9. XGBoost validation loss curve during training.</w:t>
      </w:r>
    </w:p>
    <w:p>
      <w:pPr>
        <w:spacing w:before="120" w:after="60"/>
        <w:jc w:val="left"/>
      </w:pPr>
      <w:r>
        <w:rPr>
          <w:rFonts w:ascii="Times New Roman" w:hAnsi="Times New Roman"/>
          <w:b/>
          <w:i/>
          <w:sz w:val="20"/>
        </w:rPr>
        <w:t>J. Feature Importance</w:t>
      </w:r>
    </w:p>
    <w:p>
      <w:pPr>
        <w:spacing w:after="60"/>
        <w:ind w:firstLine="283"/>
        <w:jc w:val="both"/>
      </w:pPr>
      <w:r>
        <w:rPr>
          <w:rFonts w:ascii="Times New Roman" w:hAnsi="Times New Roman"/>
          <w:sz w:val="20"/>
        </w:rPr>
        <w:t>Fig. 10 presents the feature importance rankings for XGBoost and Random Forest. XGBoost ranks ph, Sulfate, Solids as its most influential features, while Random Forest ranks Sulfate, ph, Hardness highest; both models place pH and Sulfate among the three most important predictors. The prominence of Sulfate is particularly notable given that it has the highest missing rate (23.84%), suggesting that the imputed values retain sufficient discriminative information. The broad consensus on the leading features provides convergent evidence regarding which physicochemical parameters most strongly influence water potability determination in this dataset.</w:t>
      </w:r>
    </w:p>
    <w:p>
      <w:pPr>
        <w:jc w:val="center"/>
      </w:pPr>
      <w:r>
        <w:drawing>
          <wp:inline xmlns:a="http://schemas.openxmlformats.org/drawingml/2006/main" xmlns:pic="http://schemas.openxmlformats.org/drawingml/2006/picture">
            <wp:extent cx="4572000" cy="1870100"/>
            <wp:docPr id="10" name="Picture 10"/>
            <wp:cNvGraphicFramePr>
              <a:graphicFrameLocks noChangeAspect="1"/>
            </wp:cNvGraphicFramePr>
            <a:graphic>
              <a:graphicData uri="http://schemas.openxmlformats.org/drawingml/2006/picture">
                <pic:pic>
                  <pic:nvPicPr>
                    <pic:cNvPr id="0" name="feature_importance.png"/>
                    <pic:cNvPicPr/>
                  </pic:nvPicPr>
                  <pic:blipFill>
                    <a:blip r:embed="rId18"/>
                    <a:stretch>
                      <a:fillRect/>
                    </a:stretch>
                  </pic:blipFill>
                  <pic:spPr>
                    <a:xfrm>
                      <a:off x="0" y="0"/>
                      <a:ext cx="4572000" cy="1870100"/>
                    </a:xfrm>
                    <a:prstGeom prst="rect"/>
                  </pic:spPr>
                </pic:pic>
              </a:graphicData>
            </a:graphic>
          </wp:inline>
        </w:drawing>
      </w:r>
    </w:p>
    <w:p>
      <w:pPr>
        <w:spacing w:after="120"/>
        <w:jc w:val="center"/>
      </w:pPr>
      <w:r>
        <w:rPr>
          <w:rFonts w:ascii="Times New Roman" w:hAnsi="Times New Roman"/>
          <w:sz w:val="18"/>
        </w:rPr>
        <w:t>Fig. 10. Feature importance comparison for XGBoost and Random Forest.</w:t>
      </w:r>
    </w:p>
    <w:p>
      <w:pPr>
        <w:spacing w:before="240" w:after="120"/>
        <w:jc w:val="left"/>
      </w:pPr>
      <w:r>
        <w:rPr>
          <w:rFonts w:ascii="Times New Roman" w:hAnsi="Times New Roman"/>
          <w:b/>
          <w:sz w:val="20"/>
        </w:rPr>
        <w:t>V. CONCLUSION</w:t>
      </w:r>
    </w:p>
    <w:p>
      <w:pPr>
        <w:spacing w:after="60"/>
        <w:ind w:firstLine="283"/>
        <w:jc w:val="both"/>
      </w:pPr>
      <w:r>
        <w:rPr>
          <w:rFonts w:ascii="Times New Roman" w:hAnsi="Times New Roman"/>
          <w:sz w:val="20"/>
        </w:rPr>
        <w:t>This study evaluated the probabilistic prediction performance of Natural Gradient Boosting (NGBoost) for water quality classification, comparing it against XGBoost and Random Forest across classification, calibration, and uncertainty quantification metrics. Using the Water Potability dataset (3,276 samples, 9 features), we demonstrated that all three models achieve statistically equivalent classification accuracy (p &gt; 0.05 by McNemar's test), with NGBoost at 0.6646, XGBoost at 0.6646, and Random Forest at 0.6585.</w:t>
      </w:r>
    </w:p>
    <w:p>
      <w:pPr>
        <w:spacing w:after="60"/>
        <w:ind w:firstLine="283"/>
        <w:jc w:val="both"/>
      </w:pPr>
      <w:r>
        <w:rPr>
          <w:rFonts w:ascii="Times New Roman" w:hAnsi="Times New Roman"/>
          <w:sz w:val="20"/>
        </w:rPr>
        <w:t>The uncertainty zone analysis reveals that probabilistic outputs from all models carry meaningful confidence information: predictions in high-confidence zones (Zones 1 and 5) consistently achieve substantially higher accuracy than those in the ambiguous middle zone (Zone 3). This finding supports the integration of probabilistic classifiers into operational water quality monitoring systems, where confidence thresholds can route uncertain samples to additional testing rather than relying on binary accept/reject decisions.</w:t>
      </w:r>
    </w:p>
    <w:p>
      <w:pPr>
        <w:spacing w:after="60"/>
        <w:ind w:firstLine="283"/>
        <w:jc w:val="both"/>
      </w:pPr>
      <w:r>
        <w:rPr>
          <w:rFonts w:ascii="Times New Roman" w:hAnsi="Times New Roman"/>
          <w:sz w:val="20"/>
        </w:rPr>
        <w:t>The SMOTE-ENN analysis demonstrates that resampling techniques consistently degrade model performance on this dataset, reducing accuracy by 7 to 11 percentage points across all models. This result highlights the importance of evaluating resampling impact empirically rather than applying it as a default preprocessing step, particularly when the class imbalance is moderate and the feature space exhibits high class overlap.</w:t>
      </w:r>
    </w:p>
    <w:p>
      <w:pPr>
        <w:spacing w:after="60"/>
        <w:ind w:firstLine="283"/>
        <w:jc w:val="both"/>
      </w:pPr>
      <w:r>
        <w:rPr>
          <w:rFonts w:ascii="Times New Roman" w:hAnsi="Times New Roman"/>
          <w:sz w:val="20"/>
        </w:rPr>
        <w:t>Future work should explore threshold optimization strategies that leverage probabilistic outputs for cost-sensitive decision-making, alternative calibration methods such as Platt scaling and isotonic regression for non-probabilistic models, and evaluation on larger water quality datasets with more diverse contamination patterns. Additionally, temporal analysis of prediction uncertainty under concept drift conditions would enhance the practical applicability of probabilistic water quality monitoring systems.</w:t>
      </w:r>
    </w:p>
    <w:p>
      <w:pPr>
        <w:spacing w:before="240" w:after="120"/>
        <w:jc w:val="left"/>
      </w:pPr>
      <w:r>
        <w:rPr>
          <w:rFonts w:ascii="Times New Roman" w:hAnsi="Times New Roman"/>
          <w:b/>
          <w:sz w:val="20"/>
        </w:rPr>
        <w:t>REFERENCES</w:t>
      </w:r>
    </w:p>
    <w:p>
      <w:pPr>
        <w:spacing w:after="40"/>
        <w:ind w:left="283" w:hanging="283"/>
        <w:jc w:val="both"/>
      </w:pPr>
      <w:r>
        <w:rPr>
          <w:rFonts w:ascii="Times New Roman" w:hAnsi="Times New Roman"/>
          <w:sz w:val="16"/>
        </w:rPr>
        <w:t>[1] World Health Organization, "Drinking-water," WHO Fact Sheet, 2023. [Online]. Available: https://www.who.int/news-room/fact-sheets/detail/drinking-water</w:t>
      </w:r>
    </w:p>
    <w:p>
      <w:pPr>
        <w:spacing w:after="40"/>
        <w:ind w:left="283" w:hanging="283"/>
        <w:jc w:val="both"/>
      </w:pPr>
      <w:r>
        <w:rPr>
          <w:rFonts w:ascii="Times New Roman" w:hAnsi="Times New Roman"/>
          <w:sz w:val="16"/>
        </w:rPr>
        <w:t>[2] U. Ahmed, R. Mumtaz, H. Anwar, A. A. Shah, R. Irfan, and J. Garcia-Nieto, "Efficient Water Quality Prediction Using Supervised Machine Learning," Water, vol. 11, no. 11, p. 2210, 2019.</w:t>
      </w:r>
    </w:p>
    <w:p>
      <w:pPr>
        <w:spacing w:after="40"/>
        <w:ind w:left="283" w:hanging="283"/>
        <w:jc w:val="both"/>
      </w:pPr>
      <w:r>
        <w:rPr>
          <w:rFonts w:ascii="Times New Roman" w:hAnsi="Times New Roman"/>
          <w:sz w:val="16"/>
        </w:rPr>
        <w:t>[3] G. Krishan, N. C. Ghosh, T. Kumar, and R. Srivastav, "Prediction of Water Quality Parameters Using Machine Learning Algorithms: A Case Study," J. Environ. Eng., vol. 147, no. 9, 2021.</w:t>
      </w:r>
    </w:p>
    <w:p>
      <w:pPr>
        <w:spacing w:after="40"/>
        <w:ind w:left="283" w:hanging="283"/>
        <w:jc w:val="both"/>
      </w:pPr>
      <w:r>
        <w:rPr>
          <w:rFonts w:ascii="Times New Roman" w:hAnsi="Times New Roman"/>
          <w:sz w:val="16"/>
        </w:rPr>
        <w:t>[4] A. Niculescu-Mizil and R. Caruana, "Predicting good probabilities with supervised learning," in Proc. 22nd Int. Conf. Machine Learning, 2005, pp. 625-632.</w:t>
      </w:r>
    </w:p>
    <w:p>
      <w:pPr>
        <w:spacing w:after="40"/>
        <w:ind w:left="283" w:hanging="283"/>
        <w:jc w:val="both"/>
      </w:pPr>
      <w:r>
        <w:rPr>
          <w:rFonts w:ascii="Times New Roman" w:hAnsi="Times New Roman"/>
          <w:sz w:val="16"/>
        </w:rPr>
        <w:t>[5] T. Duan, A. Avati, D. Y. Ding, K. K. Thai, S. Basu, A. Ng, and A. Schuler, "NGBoost: Natural Gradient Boosting for Probabilistic Prediction," in Proc. 37th Int. Conf. Machine Learning, PMLR, 2020, pp. 2690-2700.</w:t>
      </w:r>
    </w:p>
    <w:p>
      <w:pPr>
        <w:spacing w:after="40"/>
        <w:ind w:left="283" w:hanging="283"/>
        <w:jc w:val="both"/>
      </w:pPr>
      <w:r>
        <w:rPr>
          <w:rFonts w:ascii="Times New Roman" w:hAnsi="Times New Roman"/>
          <w:sz w:val="16"/>
        </w:rPr>
        <w:t>[6] T. Chen and C. Guestrin, "XGBoost: A Scalable Tree Boosting System," in Proc. 22nd ACM SIGKDD Int. Conf. Knowledge Discovery and Data Mining, 2016, pp. 785-794.</w:t>
      </w:r>
    </w:p>
    <w:p>
      <w:pPr>
        <w:spacing w:after="40"/>
        <w:ind w:left="283" w:hanging="283"/>
        <w:jc w:val="both"/>
      </w:pPr>
      <w:r>
        <w:rPr>
          <w:rFonts w:ascii="Times New Roman" w:hAnsi="Times New Roman"/>
          <w:sz w:val="16"/>
        </w:rPr>
        <w:t>[7] L. Breiman, "Random Forests," Machine Learning, vol. 45, no. 1, pp. 5-32, 2001.</w:t>
      </w:r>
    </w:p>
    <w:p>
      <w:pPr>
        <w:spacing w:after="40"/>
        <w:ind w:left="283" w:hanging="283"/>
        <w:jc w:val="both"/>
      </w:pPr>
      <w:r>
        <w:rPr>
          <w:rFonts w:ascii="Times New Roman" w:hAnsi="Times New Roman"/>
          <w:sz w:val="16"/>
        </w:rPr>
        <w:t>[8] A. Aldhyani, M. Al-Yaari, H. Alkahtani, and M. Maashi, "Water Quality Prediction Using Artificial Intelligence Algorithms," Applied Bionics and Biomechanics, vol. 2020, 2020.</w:t>
      </w:r>
    </w:p>
    <w:p>
      <w:pPr>
        <w:spacing w:after="40"/>
        <w:ind w:left="283" w:hanging="283"/>
        <w:jc w:val="both"/>
      </w:pPr>
      <w:r>
        <w:rPr>
          <w:rFonts w:ascii="Times New Roman" w:hAnsi="Times New Roman"/>
          <w:sz w:val="16"/>
        </w:rPr>
        <w:t>[9] N. V. Chawla, K. W. Bowyer, L. O. Hall, and W. P. Kegelmeyer, "SMOTE: Synthetic Minority Over-sampling Technique," J. Artificial Intelligence Research, vol. 16, pp. 321-357, 2002.</w:t>
      </w:r>
    </w:p>
    <w:p>
      <w:pPr>
        <w:spacing w:after="40"/>
        <w:ind w:left="283" w:hanging="283"/>
        <w:jc w:val="both"/>
      </w:pPr>
      <w:r>
        <w:rPr>
          <w:rFonts w:ascii="Times New Roman" w:hAnsi="Times New Roman"/>
          <w:sz w:val="16"/>
        </w:rPr>
        <w:t>[10] M. Zhu, J. Wang, X. Yang, Y. Zhang, L. Zhang, H. Ren, B. Wu, and L. Ye, "A review of the application of machine learning in water quality evaluation," Eco-Environment and Health, vol. 1, no. 2, pp. 107-116, 2022.</w:t>
      </w:r>
    </w:p>
    <w:p>
      <w:pPr>
        <w:spacing w:after="40"/>
        <w:ind w:left="283" w:hanging="283"/>
        <w:jc w:val="both"/>
      </w:pPr>
      <w:r>
        <w:rPr>
          <w:rFonts w:ascii="Times New Roman" w:hAnsi="Times New Roman"/>
          <w:sz w:val="16"/>
        </w:rPr>
        <w:t>[11] C. Guo, G. Pleiss, Y. Sun, and K. Q. Weinberger, "On Calibration of Modern Neural Networks," in Proc. 34th Int. Conf. Machine Learning, PMLR, 2017, pp. 1321-1330.</w:t>
      </w:r>
    </w:p>
    <w:p>
      <w:pPr>
        <w:spacing w:after="40"/>
        <w:ind w:left="283" w:hanging="283"/>
        <w:jc w:val="both"/>
      </w:pPr>
      <w:r>
        <w:rPr>
          <w:rFonts w:ascii="Times New Roman" w:hAnsi="Times New Roman"/>
          <w:sz w:val="16"/>
        </w:rPr>
        <w:t>[12] Y. Gal and Z. Ghahramani, "Dropout as a Bayesian Approximation: Representing Model Uncertainty in Deep Learning," in Proc. 33rd Int. Conf. Machine Learning, PMLR, 2016, pp. 1050-1059.</w:t>
      </w:r>
    </w:p>
    <w:p>
      <w:pPr>
        <w:spacing w:after="40"/>
        <w:ind w:left="283" w:hanging="283"/>
        <w:jc w:val="both"/>
      </w:pPr>
      <w:r>
        <w:rPr>
          <w:rFonts w:ascii="Times New Roman" w:hAnsi="Times New Roman"/>
          <w:sz w:val="16"/>
        </w:rPr>
        <w:t>[13] V. Kuleshov, N. Fenner, and S. Ermon, "Accurate Uncertainties for Deep Learning Using Calibrated Regression," in Proc. 35th Int. Conf. Machine Learning, PMLR, 2018, pp. 2796-2804.</w:t>
      </w:r>
    </w:p>
    <w:p>
      <w:pPr>
        <w:spacing w:after="40"/>
        <w:ind w:left="283" w:hanging="283"/>
        <w:jc w:val="both"/>
      </w:pPr>
      <w:r>
        <w:rPr>
          <w:rFonts w:ascii="Times New Roman" w:hAnsi="Times New Roman"/>
          <w:sz w:val="16"/>
        </w:rPr>
        <w:t>[14] B. C. Wallace and I. J. Dahabreh, "Improving class probability estimates for imbalanced data," Knowledge and Information Systems, vol. 41, pp. 33-52, 2014.</w:t>
      </w:r>
    </w:p>
    <w:p>
      <w:pPr>
        <w:spacing w:after="40"/>
        <w:ind w:left="283" w:hanging="283"/>
        <w:jc w:val="both"/>
      </w:pPr>
      <w:r>
        <w:rPr>
          <w:rFonts w:ascii="Times New Roman" w:hAnsi="Times New Roman"/>
          <w:sz w:val="16"/>
        </w:rPr>
        <w:t>[15] Q. McNemar, "Note on the sampling error of the difference between correlated proportions or percentages," Psychometrika, vol. 12, no. 2, pp. 153-157, 1947.</w:t>
      </w:r>
    </w:p>
    <w:sectPr w:rsidR="00FC693F" w:rsidRPr="0006063C" w:rsidSect="00034616">
      <w:pgSz w:w="12240" w:h="15840"/>
      <w:pgMar w:top="1077" w:right="1077" w:bottom="144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