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 We will refer to the invariants and other</w:t>
      </w:r>
      <w:r>
        <w:t xml:space="preserve"> </w:t>
      </w:r>
      <w:r>
        <w:t xml:space="preserve">inequalities collectively as the</w:t>
      </w:r>
      <w:r>
        <w:t xml:space="preserve"> </w:t>
      </w:r>
      <w:r>
        <w:t xml:space="preserve">“</w:t>
      </w:r>
      <w:r>
        <w:t xml:space="preserve">public properties</w:t>
      </w:r>
      <w:r>
        <w:t xml:space="preserve">”</w:t>
      </w:r>
      <w:r>
        <w:t xml:space="preserve"> </w:t>
      </w:r>
      <w:r>
        <w:t xml:space="preserve">of the database.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their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(Noisy Histogram) adds noise from a carefully chosen</w:t>
      </w:r>
      <w:r>
        <w:t xml:space="preserve"> </w:t>
      </w:r>
      <w:r>
        <w:t xml:space="preserve">distribution to the data counts.</w:t>
      </w:r>
      <w:r>
        <w:t xml:space="preserve"> </w:t>
      </w:r>
      <w:r>
        <w:t xml:space="preserve">This produces a set of</w:t>
      </w:r>
      <w:r>
        <w:t xml:space="preserve"> </w:t>
      </w:r>
      <w:r>
        <w:t xml:space="preserve">noisy counts. The noisy counts might have negative counts or</w:t>
      </w:r>
      <w:r>
        <w:t xml:space="preserve"> </w:t>
      </w:r>
      <w:r>
        <w:t xml:space="preserve">violate invariants or other inequalities. The second step (Optimize) finds the</w:t>
      </w:r>
      <w:r>
        <w:t xml:space="preserve"> </w:t>
      </w:r>
      <w:r>
        <w:t xml:space="preserve">tuned-up histogram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solution to</w:t>
      </w:r>
      <w:r>
        <w:t xml:space="preserve"> </w:t>
      </w:r>
      <w:r>
        <w:t xml:space="preserve">this constrained optimization is as close to the noisy counts as</w:t>
      </w:r>
      <w:r>
        <w:t xml:space="preserve"> </w:t>
      </w:r>
      <w:r>
        <w:t xml:space="preserve">possible while also satisfying internal consistency.</w:t>
      </w:r>
      <w:r>
        <w:t xml:space="preserve"> </w:t>
      </w:r>
      <w:r>
        <w:t xml:space="preserve">The final output of the TopDown algorithm is a synthetic</w:t>
      </w:r>
      <w:r>
        <w:t xml:space="preserve"> </w:t>
      </w:r>
      <w:r>
        <w:t xml:space="preserve">data set 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-DP</w:t>
      </w:r>
      <w:r>
        <w:t xml:space="preserve"> </w:t>
      </w:r>
      <w:r>
        <w:t xml:space="preserve">and also the invariants and inequalities using an approach that affords detailed</w:t>
      </w:r>
      <w:r>
        <w:t xml:space="preserve"> </w:t>
      </w:r>
      <w:r>
        <w:t xml:space="preserve">control of how the privacy budget is distributed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geographic levels, nested hierarchically: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DP algorithm uses a top-down approach to create</w:t>
      </w:r>
      <w:r>
        <w:t xml:space="preserve"> </w:t>
      </w:r>
      <w:r>
        <w:t xml:space="preserve">the synthetic data; steps one and two are performed six times,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is provably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</w:t>
      </w:r>
      <w:r>
        <w:t xml:space="preserve"> </w:t>
      </w:r>
      <w:r>
        <w:t xml:space="preserve">included the following: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(2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level.)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non-negative integers,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counts.</w:t>
      </w:r>
    </w:p>
    <w:p>
      <w:pPr>
        <w:pStyle w:val="Heading3"/>
      </w:pPr>
      <w:bookmarkStart w:id="22" w:name="step-one-noisy-histogram"/>
      <w:r>
        <w:t xml:space="preserve">Step One: Noisy Histogram</w:t>
      </w:r>
      <w:bookmarkEnd w:id="22"/>
    </w:p>
    <w:p>
      <w:pPr>
        <w:pStyle w:val="FirstParagraph"/>
      </w:pPr>
      <w:r>
        <w:t xml:space="preserve">In the E2E algorithm applied to the 1940s microdata, TopDown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``ethnicity-age" aggregate</w:t>
      </w:r>
      <w:r>
        <w:t xml:space="preserve"> </w:t>
      </w:r>
      <w:r>
        <w:t xml:space="preserve">statistic contains set of four counts: people of Hispanic ethnicity under age 18, of Hispanic ethnicity age 18 and over,</w:t>
      </w:r>
      <w:r>
        <w:t xml:space="preserve"> </w:t>
      </w:r>
      <w:r>
        <w:t xml:space="preserve">of non-Hispanic ethnicity under age 18, and of non-Hispanic ethnicity age 18 and over.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 group-quarters query,</w:t>
      </w:r>
      <w:r>
        <w:t xml:space="preserve"> </w:t>
      </w: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voting age across all household/group quarters types (again</w:t>
      </w:r>
      <w:r>
        <w:t xml:space="preserve"> </w:t>
      </w:r>
      <w:r>
        <w:t xml:space="preserve">for each level of the 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 to boxes in the histogram.</w:t>
      </w:r>
      <w:r>
        <w:t xml:space="preserve"> </w:t>
      </w:r>
      <w:r>
        <w:t xml:space="preserve">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histogram count and aggregate statistic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age 18 and older</w:t>
      </w:r>
      <w:r>
        <w:t xml:space="preserve"> </w:t>
      </w:r>
      <w:r>
        <w:t xml:space="preserve">non-Hispanic Whites is just as likely as adding one hundred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[8]</w:t>
      </w:r>
      <w:r>
        <w:t xml:space="preserve">, which may reduce the variance of the noise.</w:t>
      </w:r>
    </w:p>
    <w:p>
      <w:pPr>
        <w:pStyle w:val="Heading3"/>
      </w:pPr>
      <w:bookmarkStart w:id="23" w:name="step-two-optimize"/>
      <w:r>
        <w:t xml:space="preserve">Step Two: Optimize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people aged 18 and over</w:t>
      </w:r>
      <w:r>
        <w:t xml:space="preserve"> </w:t>
      </w:r>
      <w:r>
        <w:t xml:space="preserve">summed across the counties in a state is equal to the number of people aged 18 and over in</w:t>
      </w:r>
      <w:r>
        <w:t xml:space="preserve"> </w:t>
      </w:r>
      <w:r>
        <w:t xml:space="preserve">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integral,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 when run on the 1940s Census data:</w:t>
      </w:r>
    </w:p>
    <w:p>
      <w:pPr>
        <w:numPr>
          <w:numId w:val="1001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1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1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age/race/ethnicity (i.e. aggregating over group quarters)</w:t>
      </w:r>
      <w:r>
        <w:t xml:space="preserve"> </w:t>
      </w:r>
      <w:r>
        <w:t xml:space="preserve">and gq (i.e. number free-living and number not)</w:t>
      </w:r>
    </w:p>
    <w:p>
      <w:pPr>
        <w:numPr>
          <w:numId w:val="1001"/>
          <w:ilvl w:val="0"/>
        </w:numPr>
      </w:pPr>
      <w:r>
        <w:t xml:space="preserve">At each level, how to split level-budget detailed DP. The test run</w:t>
      </w:r>
      <w:r>
        <w:t xml:space="preserve"> </w:t>
      </w:r>
      <w:r>
        <w:t xml:space="preserve">used 10% for detailed queries, 22.5% for group quarters; and 67.5% for</w:t>
      </w:r>
      <w:r>
        <w:t xml:space="preserve"> </w:t>
      </w:r>
      <w:r>
        <w:t xml:space="preserve">age/race/ethnicity.</w:t>
      </w:r>
    </w:p>
    <w:p>
      <w:pPr>
        <w:numPr>
          <w:numId w:val="1001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1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1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We calculated residuals and summarized their distribution</w:t>
      </w:r>
      <w:r>
        <w:t xml:space="preserve"> </w:t>
      </w:r>
      <w:r>
        <w:t xml:space="preserve">by its median absolute error (MAE) for total count and</w:t>
      </w:r>
      <w:r>
        <w:t xml:space="preserve"> </w:t>
      </w:r>
      <w:r>
        <w:t xml:space="preserve">age/race/ethnicity stratified count at the state, county, and</w:t>
      </w:r>
      <w:r>
        <w:t xml:space="preserve"> </w:t>
      </w:r>
      <w:r>
        <w:t xml:space="preserve">enum_district level.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We calculate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 definition of differential privacy.</w:t>
      </w:r>
      <w:r>
        <w:t xml:space="preserve"> </w:t>
      </w: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2"/>
          <w:ilvl w:val="0"/>
        </w:numPr>
      </w:pPr>
      <w:r>
        <w:t xml:space="preserve">We search for bias in the residuals from (1), with our hypothesis</w:t>
      </w:r>
      <w:r>
        <w:t xml:space="preserve"> </w:t>
      </w:r>
      <w:r>
        <w:t xml:space="preserve">that the DP counts are positively biased for areas with low diversity.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without replacement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 absolute error in TC of 56</w:t>
      </w:r>
      <w:r>
        <w:t xml:space="preserve"> </w:t>
      </w:r>
      <w:r>
        <w:t xml:space="preserve">at the enumeration district level and 81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 TC of 4</w:t>
      </w:r>
      <w:r>
        <w:t xml:space="preserve"> </w:t>
      </w:r>
      <w:r>
        <w:t xml:space="preserve">at the enumeration district level and 7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17 people,</w:t>
      </w:r>
      <w:r>
        <w:t xml:space="preserve"> </w:t>
      </w:r>
      <w:r>
        <w:t xml:space="preserve">at the county level was 16 people, and</w:t>
      </w:r>
      <w:r>
        <w:t xml:space="preserve"> </w:t>
      </w:r>
      <w:r>
        <w:t xml:space="preserve">at the state level was 18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6 people,</w:t>
      </w:r>
      <w:r>
        <w:t xml:space="preserve"> </w:t>
      </w:r>
      <w:r>
        <w:t xml:space="preserve">at the county level was 6 people, and</w:t>
      </w:r>
      <w:r>
        <w:t xml:space="preserve"> </w:t>
      </w:r>
      <w:r>
        <w:t xml:space="preserve">at the state level was 7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2 people,</w:t>
      </w:r>
      <w:r>
        <w:t xml:space="preserve"> </w:t>
      </w:r>
      <w:r>
        <w:t xml:space="preserve">at the county level was 2 people, and</w:t>
      </w:r>
      <w:r>
        <w:t xml:space="preserve"> </w:t>
      </w:r>
      <w:r>
        <w:t xml:space="preserve">at the state level was 2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error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error (DP - True)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We found that the MAE and EPL of TopDown were similar to that</w:t>
      </w:r>
      <w:r>
        <w:t xml:space="preserve"> </w:t>
      </w:r>
      <w:r>
        <w:t xml:space="preserve">introduced by simple random sampling 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.</w:t>
      </w:r>
    </w:p>
    <w:p>
      <w:pPr>
        <w:pStyle w:val="BodyText"/>
      </w:pPr>
      <w:r>
        <w:t xml:space="preserve">To describe in words:</w:t>
      </w:r>
    </w:p>
    <w:p>
      <w:pPr>
        <w:pStyle w:val="BodyText"/>
      </w:pPr>
      <w:r>
        <w:t xml:space="preserve">Total count</w:t>
      </w:r>
      <w:r>
        <w:t xml:space="preserve"> </w:t>
      </w:r>
      <w:r>
        <w:t xml:space="preserve">County</w:t>
      </w:r>
      <w:r>
        <w:t xml:space="preserve"> </w:t>
      </w:r>
      <w:r>
        <w:t xml:space="preserve">Enum Dist</w:t>
      </w:r>
      <w:r>
        <w:t xml:space="preserve"> </w:t>
      </w:r>
      <w:r>
        <w:t xml:space="preserve">Stratified Count</w:t>
      </w:r>
      <w:r>
        <w:t xml:space="preserve"> </w:t>
      </w:r>
      <w:r>
        <w:t xml:space="preserve">State</w:t>
      </w:r>
      <w:r>
        <w:t xml:space="preserve"> </w:t>
      </w:r>
      <w:r>
        <w:t xml:space="preserve">County</w:t>
      </w:r>
      <w:r>
        <w:t xml:space="preserve"> </w:t>
      </w:r>
      <w:r>
        <w:t xml:space="preserve">Enum Dist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curves).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tc_bias_enum_dist_X_0_25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tc_bias_enum_dist_X_4_00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tc_bias_county_X_0_25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tc_bias_county_X_4_00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County diversity is correlated with county size [measure of correlation here], and we found a relationship between bias as county size as well. (Or should figure be simply diversity? or percent White?)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 – error or absolute error on y-axis, diversity or size or whiteness on x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30" w:name="limitations"/>
      <w:r>
        <w:t xml:space="preserve">Limitations</w:t>
      </w:r>
      <w:bookmarkEnd w:id="30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31" w:name="references"/>
      <w:r>
        <w:t xml:space="preserve">References</w:t>
      </w:r>
      <w:bookmarkEnd w:id="31"/>
    </w:p>
    <w:bookmarkStart w:id="42" w:name="refs"/>
    <w:bookmarkStart w:id="32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2"/>
    <w:bookmarkStart w:id="33" w:name="ref-gao2018census"/>
    <w:p>
      <w:pPr>
        <w:pStyle w:val="Bibliography"/>
      </w:pPr>
      <w:r>
        <w:t xml:space="preserve">2. Office USGA. Census bureau improved the quality of its cost estimation but additional steps are needed to ensure reliability. U.S. G.A.O. 2018.</w:t>
      </w:r>
      <w:r>
        <w:t xml:space="preserve"> </w:t>
      </w:r>
    </w:p>
    <w:bookmarkEnd w:id="33"/>
    <w:bookmarkStart w:id="34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4"/>
    <w:bookmarkStart w:id="36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35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36"/>
    <w:bookmarkStart w:id="37" w:name="ref-dwork2014algorithmic"/>
    <w:p>
      <w:pPr>
        <w:pStyle w:val="Bibliography"/>
      </w:pPr>
      <w:r>
        <w:t xml:space="preserve">5. Dwork C, Roth A, others. The algorithmic foundations of differential privacy. Foundations and Trends in Theoretical Computer Science. Now Publishers, Inc. 2014;9:211–407.</w:t>
      </w:r>
      <w:r>
        <w:t xml:space="preserve"> </w:t>
      </w:r>
    </w:p>
    <w:bookmarkEnd w:id="37"/>
    <w:bookmarkStart w:id="38" w:name="ref-mckenna2018disclosure"/>
    <w:p>
      <w:pPr>
        <w:pStyle w:val="Bibliography"/>
      </w:pPr>
      <w:r>
        <w:t xml:space="preserve">6. McKenna L, others. Disclosure avoidance techniques used for the 1970 through 2010 decennial censuses of population and housing. 2018.</w:t>
      </w:r>
      <w:r>
        <w:t xml:space="preserve"> </w:t>
      </w:r>
    </w:p>
    <w:bookmarkEnd w:id="38"/>
    <w:bookmarkStart w:id="40" w:name="ref-boyd2019differential"/>
    <w:p>
      <w:pPr>
        <w:pStyle w:val="Bibliography"/>
      </w:pPr>
      <w:r>
        <w:t xml:space="preserve">7. boyd. Differential privacy in the 2020 decennial census and the implications for available data products. CoRR [Internet]. 2019;abs/1907.03639. Available from:</w:t>
      </w:r>
      <w:r>
        <w:t xml:space="preserve"> </w:t>
      </w:r>
      <w:hyperlink r:id="rId39">
        <w:r>
          <w:rPr>
            <w:rStyle w:val="Hyperlink"/>
          </w:rPr>
          <w:t xml:space="preserve">http://arxiv.org/abs/1907.03639</w:t>
        </w:r>
      </w:hyperlink>
    </w:p>
    <w:bookmarkEnd w:id="40"/>
    <w:bookmarkStart w:id="41" w:name="ref-chen2015differentially"/>
    <w:p>
      <w:pPr>
        <w:pStyle w:val="Bibliography"/>
      </w:pPr>
      <w:r>
        <w:t xml:space="preserve">8.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9" Target="http://arxiv.org/abs/1907.03639" TargetMode="External" /><Relationship Type="http://schemas.openxmlformats.org/officeDocument/2006/relationships/hyperlink" Id="rId35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arxiv.org/abs/1907.03639" TargetMode="External" /><Relationship Type="http://schemas.openxmlformats.org/officeDocument/2006/relationships/hyperlink" Id="rId35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2019-08-18T15:41:19Z</dcterms:created>
  <dcterms:modified xsi:type="dcterms:W3CDTF">2019-08-18T15:41:19Z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