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cronyms"/>
      <w:r>
        <w:t xml:space="preserve">Acronyms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</w:t>
      </w:r>
      <w:r>
        <w:t xml:space="preserve">[4]</w:t>
      </w:r>
      <w:r>
        <w:t xml:space="preserve"> </w:t>
      </w:r>
      <w:r>
        <w:t xml:space="preserve">This</w:t>
      </w:r>
      <w:r>
        <w:t xml:space="preserve"> </w:t>
      </w:r>
      <w:r>
        <w:t xml:space="preserve">approach builds on Differential Privacy,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[5]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disclosure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 disclosure avoidance system</w:t>
      </w:r>
      <w:r>
        <w:t xml:space="preserve"> </w:t>
      </w:r>
      <w:r>
        <w:t xml:space="preserve">but the approach was applied to the 2018 end-to-end (E2E)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accompanying exposition has recently been released publicly by the</w:t>
      </w:r>
      <w:r>
        <w:t xml:space="preserve"> </w:t>
      </w:r>
      <w:r>
        <w:t xml:space="preserve">Census 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 understand and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applied it to 1940 census data</w:t>
      </w:r>
      <w:r>
        <w:t xml:space="preserve"> </w:t>
      </w:r>
      <w:r>
        <w:t xml:space="preserve">(for which the full data has previously been released)</w:t>
      </w:r>
      <w:r>
        <w:t xml:space="preserve"> </w:t>
      </w:r>
      <w:r>
        <w:t xml:space="preserve">for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new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age-group,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DP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2018 end-to-end (E2E)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 step (Noisy Histogram) adds noise from a carefully chosen</w:t>
      </w:r>
      <w:r>
        <w:t xml:space="preserve"> </w:t>
      </w:r>
      <w:r>
        <w:t xml:space="preserve">distribution to the data counts.</w:t>
      </w:r>
      <w:r>
        <w:t xml:space="preserve"> </w:t>
      </w:r>
      <w:r>
        <w:t xml:space="preserve">This produces a set of</w:t>
      </w:r>
      <w:r>
        <w:t xml:space="preserve"> </w:t>
      </w:r>
      <w:r>
        <w:t xml:space="preserve">noisy counts. The noisy counts might have negative counts or</w:t>
      </w:r>
      <w:r>
        <w:t xml:space="preserve"> </w:t>
      </w:r>
      <w:r>
        <w:t xml:space="preserve">violate invariants or other inequalities. The second step (Optimize) finds the</w:t>
      </w:r>
      <w:r>
        <w:t xml:space="preserve"> </w:t>
      </w:r>
      <w:r>
        <w:t xml:space="preserve">tuned-up histogram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solution to</w:t>
      </w:r>
      <w:r>
        <w:t xml:space="preserve"> </w:t>
      </w:r>
      <w:r>
        <w:t xml:space="preserve">this constrained optimization is as close to the noisy counts as</w:t>
      </w:r>
      <w:r>
        <w:t xml:space="preserve"> </w:t>
      </w:r>
      <w:r>
        <w:t xml:space="preserve">possible while also satisfying internal consistency.</w:t>
      </w:r>
      <w:r>
        <w:t xml:space="preserve"> </w:t>
      </w:r>
      <w:r>
        <w:t xml:space="preserve">The final output of TopDown is a synthetic</w:t>
      </w:r>
      <w:r>
        <w:t xml:space="preserve"> </w:t>
      </w:r>
      <w:r>
        <w:t xml:space="preserve">data set that has data counts matching the values that minimize</w:t>
      </w:r>
      <w:r>
        <w:t xml:space="preserve"> </w:t>
      </w:r>
      <w:r>
        <w:t xml:space="preserve">the constrained optimization. This is</w:t>
      </w:r>
      <w:r>
        <w:t xml:space="preserve"> </w:t>
      </w:r>
      <m:oMath>
        <m:r>
          <m:t>ϵ</m:t>
        </m:r>
      </m:oMath>
      <w:r>
        <w:t xml:space="preserve">-DP</w:t>
      </w:r>
      <w:r>
        <w:t xml:space="preserve"> </w:t>
      </w:r>
      <w:r>
        <w:t xml:space="preserve">and also satisfies the invariants and inequalities using an approach that affords detailed</w:t>
      </w:r>
      <w:r>
        <w:t xml:space="preserve"> </w:t>
      </w:r>
      <w:r>
        <w:t xml:space="preserve">control of how the privacy budget is distributed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geographic levels, nested hierarchically: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DP algorithm uses a top-down approach to create</w:t>
      </w:r>
      <w:r>
        <w:t xml:space="preserve"> </w:t>
      </w:r>
      <w:r>
        <w:t xml:space="preserve">the synthetic data; steps one and two are performed six times,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</w:t>
      </w:r>
      <w:r>
        <w:t xml:space="preserve"> </w:t>
      </w:r>
      <w:r>
        <w:t xml:space="preserve">included the following: race (6 mutually exclusive categories), ethnicity</w:t>
      </w:r>
      <w:r>
        <w:t xml:space="preserve"> </w:t>
      </w:r>
      <w:r>
        <w:t xml:space="preserve">(non-Hispanic and Hispanic), age group (under-18 and 18-and-over),</w:t>
      </w:r>
      <w:r>
        <w:t xml:space="preserve"> </w:t>
      </w:r>
      <w:r>
        <w:t xml:space="preserve">and group quarters (2 categories).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18-and-over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 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invariants or inequalities,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level.)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non-negative integers,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counts.</w:t>
      </w:r>
    </w:p>
    <w:p>
      <w:pPr>
        <w:pStyle w:val="Heading3"/>
      </w:pPr>
      <w:bookmarkStart w:id="23" w:name="step-one-noisy-histogram"/>
      <w:r>
        <w:t xml:space="preserve">Step One: Noisy Histogram</w:t>
      </w:r>
      <w:bookmarkEnd w:id="23"/>
    </w:p>
    <w:p>
      <w:pPr>
        <w:pStyle w:val="FirstParagraph"/>
      </w:pPr>
      <w:r>
        <w:t xml:space="preserve">In the E2E algorithm applied to the 1940s microdata, TopDown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``ethnicity-age" aggregate</w:t>
      </w:r>
      <w:r>
        <w:t xml:space="preserve"> </w:t>
      </w:r>
      <w:r>
        <w:t xml:space="preserve">statistic contains set of four counts: people of Hispanic ethnicity under age 18, of Hispanic ethnicity age 18 and over,</w:t>
      </w:r>
      <w:r>
        <w:t xml:space="preserve"> </w:t>
      </w:r>
      <w:r>
        <w:t xml:space="preserve">of non-Hispanic ethnicity under age 18, and of non-Hispanic ethnicity age 18 and over.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 group-quarters query,</w:t>
      </w:r>
      <w:r>
        <w:t xml:space="preserve"> </w:t>
      </w: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voting age across all household/group quarters types (again</w:t>
      </w:r>
      <w:r>
        <w:t xml:space="preserve"> </w:t>
      </w:r>
      <w:r>
        <w:t xml:space="preserve">for each level of the 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 to boxes in the histogram.</w:t>
      </w:r>
      <w:r>
        <w:t xml:space="preserve"> </w:t>
      </w:r>
      <w:r>
        <w:t xml:space="preserve">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 to</w:t>
      </w:r>
      <w:r>
        <w:t xml:space="preserve"> </w:t>
      </w:r>
      <w:r>
        <w:t xml:space="preserve">add. A further parameterization of the epsilon budget determined how the</w:t>
      </w:r>
      <w:r>
        <w:t xml:space="preserve"> </w:t>
      </w:r>
      <w:r>
        <w:t xml:space="preserve">noise was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 the</w:t>
      </w:r>
      <w:r>
        <w:t xml:space="preserve"> </w:t>
      </w:r>
      <w:r>
        <w:t xml:space="preserve">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was added independently to each histogram count and aggregate statistic</w:t>
      </w:r>
      <w:r>
        <w:t xml:space="preserve"> </w:t>
      </w:r>
      <w:r>
        <w:t xml:space="preserve">according to the follow 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noise added to each histogram count comes from the same</w:t>
      </w:r>
      <w:r>
        <w:t xml:space="preserve"> </w:t>
      </w:r>
      <w:r>
        <w:t xml:space="preserve">distribution, and is independent of all other added noise;</w:t>
      </w:r>
      <w:r>
        <w:t xml:space="preserve"> </w:t>
      </w:r>
      <w:r>
        <w:t xml:space="preserve">the noise does not scale with the magnitude of count,</w:t>
      </w:r>
      <w:r>
        <w:t xml:space="preserve"> </w:t>
      </w:r>
      <w:r>
        <w:t xml:space="preserve">e.g. adding 23 people to the count of age 18 and older</w:t>
      </w:r>
      <w:r>
        <w:t xml:space="preserve"> </w:t>
      </w:r>
      <w:r>
        <w:t xml:space="preserve">non-Hispanic Whites is just as likely as adding 23 people</w:t>
      </w:r>
      <w:r>
        <w:t xml:space="preserve"> </w:t>
      </w:r>
      <w:r>
        <w:t xml:space="preserve">to the count of age under 18 Hispanic Native Americans, even though the</w:t>
      </w:r>
      <w:r>
        <w:t xml:space="preserve"> </w:t>
      </w:r>
      <w:r>
        <w:t xml:space="preserve">population of the latter is smaller.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</w:t>
      </w:r>
      <w:r>
        <w:t xml:space="preserve"> </w:t>
      </w:r>
      <w:r>
        <w:t xml:space="preserve">[8]</w:t>
      </w:r>
      <w:r>
        <w:t xml:space="preserve">, which may reduce the variance of the noise.</w:t>
      </w:r>
    </w:p>
    <w:p>
      <w:pPr>
        <w:pStyle w:val="Heading3"/>
      </w:pPr>
      <w:bookmarkStart w:id="24" w:name="step-two-optimize"/>
      <w:r>
        <w:t xml:space="preserve">Step Two: Optimize</w:t>
      </w:r>
      <w:bookmarkEnd w:id="24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people aged 18 and over</w:t>
      </w:r>
      <w:r>
        <w:t xml:space="preserve"> </w:t>
      </w:r>
      <w:r>
        <w:t xml:space="preserve">summed across the counties in a state is equal to the number of people aged 18 and over in</w:t>
      </w:r>
      <w:r>
        <w:t xml:space="preserve"> </w:t>
      </w:r>
      <w:r>
        <w:t xml:space="preserve">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</w:t>
      </w:r>
    </w:p>
    <w:p>
      <w:pPr>
        <w:pStyle w:val="BodyText"/>
      </w:pPr>
      <w:r>
        <w:t xml:space="preserve">The solution to this optimization is not necessarily integral, however,</w:t>
      </w:r>
      <w:r>
        <w:t xml:space="preserve"> </w:t>
      </w:r>
      <w:r>
        <w:t xml:space="preserve">and TopDown uses a second optimization step to round</w:t>
      </w:r>
      <w:r>
        <w:t xml:space="preserve"> </w:t>
      </w:r>
      <w:r>
        <w:t xml:space="preserve">fractional counts to integers. In this optimization, the linear</w:t>
      </w:r>
      <w:r>
        <w:t xml:space="preserve"> </w:t>
      </w:r>
      <w:r>
        <w:t xml:space="preserve">equations and inequalities all correspond to those in the previous</w:t>
      </w:r>
      <w:r>
        <w:t xml:space="preserve"> </w:t>
      </w:r>
      <w:r>
        <w:t xml:space="preserve">optimization, and the objective function is changed to minimize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2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⌊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⌋</m:t>
        </m:r>
        <m:r>
          <m:t>)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</w:t>
      </w:r>
      <w:r>
        <w:t xml:space="preserve"> </w:t>
      </w:r>
      <w:r>
        <w:t xml:space="preserve">(potentially non-integer) detailed query count given in the synthetic</w:t>
      </w:r>
      <w:r>
        <w:t xml:space="preserve"> </w:t>
      </w:r>
      <w:r>
        <w:t xml:space="preserve">data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required to take an integer value of 0 or 1, 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down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up.</w:t>
      </w:r>
    </w:p>
    <w:p>
      <w:pPr>
        <w:pStyle w:val="Heading2"/>
      </w:pPr>
      <w:bookmarkStart w:id="25" w:name="topdown-options-still-to-be-selected"/>
      <w:r>
        <w:t xml:space="preserve">TopDown options still to be selected</w:t>
      </w:r>
      <w:bookmarkEnd w:id="25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</w:t>
      </w:r>
      <w:r>
        <w:t xml:space="preserve"> </w:t>
      </w:r>
      <w:r>
        <w:t xml:space="preserve">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 and</w:t>
      </w:r>
      <w:r>
        <w:t xml:space="preserve"> </w:t>
      </w:r>
      <w:r>
        <w:t xml:space="preserve">number in institutional and non-institutional 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 4</w:t>
      </w:r>
      <w:r>
        <w:t xml:space="preserve"> </w:t>
      </w:r>
      <w:r>
        <w:t xml:space="preserve">different seeds to the pseudorandom number generator.</w:t>
      </w:r>
    </w:p>
    <w:p>
      <w:pPr>
        <w:pStyle w:val="Heading2"/>
      </w:pPr>
      <w:bookmarkStart w:id="26" w:name="our-evaluation-approach"/>
      <w:r>
        <w:t xml:space="preserve">Our Evaluation Approach</w:t>
      </w:r>
      <w:bookmarkEnd w:id="26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 the</w:t>
      </w:r>
      <w:r>
        <w:t xml:space="preserve"> </w:t>
      </w:r>
      <w:r>
        <w:t xml:space="preserve">definition of differential privacy. To measure empirical privacy</w:t>
      </w:r>
      <w:r>
        <w:t xml:space="preserve"> </w:t>
      </w:r>
      <w:r>
        <w:t xml:space="preserve">loss, we approximate the probability 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 with a</w:t>
      </w:r>
      <w:r>
        <w:t xml:space="preserve"> </w:t>
      </w:r>
      <w:r>
        <w:t xml:space="preserve">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For each geographic area, we constructed a</w:t>
      </w:r>
      <w:r>
        <w:t xml:space="preserve"> </w:t>
      </w:r>
      <w:r>
        <w:t xml:space="preserve">“</w:t>
      </w:r>
      <w:r>
        <w:t xml:space="preserve">homogeneity</w:t>
      </w:r>
      <w:r>
        <w:t xml:space="preserve"> </w:t>
      </w:r>
      <w:r>
        <w:t xml:space="preserve">index</w:t>
      </w:r>
      <w:r>
        <w:t xml:space="preserve">”</w:t>
      </w:r>
      <w:r>
        <w:t xml:space="preserve"> </w:t>
      </w:r>
      <w:r>
        <w:t xml:space="preserve">by counting the cells of the detailed query histogram that</w:t>
      </w:r>
      <w:r>
        <w:t xml:space="preserve"> </w:t>
      </w:r>
      <w:r>
        <w:t xml:space="preserve">contained a true count of zero, and we examined the bias (mean</w:t>
      </w:r>
      <w:r>
        <w:t xml:space="preserve"> </w:t>
      </w:r>
      <w:r>
        <w:t xml:space="preserve">residual) of the corresponding counts from TopDown stratified by</w:t>
      </w:r>
      <w:r>
        <w:t xml:space="preserve"> </w:t>
      </w:r>
      <w:r>
        <w:t xml:space="preserve">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without replacement for a</w:t>
      </w:r>
      <w:r>
        <w:t xml:space="preserve"> </w:t>
      </w:r>
      <w:r>
        <w:t xml:space="preserve">range of sized samples. To do this, we generated samples without</w:t>
      </w:r>
      <w:r>
        <w:t xml:space="preserve"> </w:t>
      </w:r>
      <w:r>
        <w:t xml:space="preserve">replacement of the 1940 Census Data for a range of sizes, and applied</w:t>
      </w:r>
      <w:r>
        <w:t xml:space="preserve"> </w:t>
      </w:r>
      <w:r>
        <w:t xml:space="preserve">the same calculations from (1) and (2) to this alternatively perturbed</w:t>
      </w:r>
      <w:r>
        <w:t xml:space="preserve"> </w:t>
      </w:r>
      <w:r>
        <w:t xml:space="preserve">data.</w:t>
      </w:r>
    </w:p>
    <w:p>
      <w:pPr>
        <w:pStyle w:val="Heading1"/>
      </w:pPr>
      <w:bookmarkStart w:id="27" w:name="results"/>
      <w:r>
        <w:t xml:space="preserve">Results</w:t>
      </w:r>
      <w:bookmarkEnd w:id="27"/>
    </w:p>
    <w:p>
      <w:pPr>
        <w:pStyle w:val="Heading2"/>
      </w:pPr>
      <w:bookmarkStart w:id="28" w:name="error-and-privacy-of-topdown"/>
      <w:r>
        <w:t xml:space="preserve">Error and Privacy of TopDown</w:t>
      </w:r>
      <w:bookmarkEnd w:id="28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residuals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 less, the empirical privacy</w:t>
      </w:r>
      <w:r>
        <w:t xml:space="preserve"> </w:t>
      </w:r>
      <w:r>
        <w:t xml:space="preserve">at the enumeration district level was loss for SC was not as responsive to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 for</w:t>
      </w:r>
      <w:r>
        <w:t xml:space="preserve"> </w:t>
      </w:r>
      <w:r>
        <w:t xml:space="preserve">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probability density corresponding to the</w:t>
      </w:r>
      <w:r>
        <w:t xml:space="preserve"> </w:t>
      </w:r>
      <w:r>
        <w:t xml:space="preserve">histogram in (a), after 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0" w:name="X2f5beecc99d34123f096a6330143173a6b1f8d3"/>
      <w:r>
        <w:t xml:space="preserve">Comparison with Error and Privacy of Simple Random Sampling</w:t>
      </w:r>
      <w:bookmarkEnd w:id="30"/>
    </w:p>
    <w:p>
      <w:pPr>
        <w:pStyle w:val="FirstParagraph"/>
      </w:pPr>
      <w:r>
        <w:t xml:space="preserve">We found that the MAE and EPL of Simple Random Sampling varied with larger sample size in a 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</w:t>
      </w:r>
      <w:r>
        <w:t xml:space="preserve"> </w:t>
      </w:r>
      <w:r>
        <w:t xml:space="preserve">median absolute error in TC of 74 at the enumeration district level,</w:t>
      </w:r>
      <w:r>
        <w:t xml:space="preserve"> </w:t>
      </w:r>
      <w:r>
        <w:t xml:space="preserve">388 at the county level, and</w:t>
      </w:r>
      <w:r>
        <w:t xml:space="preserve"> </w:t>
      </w:r>
      <w:r>
        <w:t xml:space="preserve">3883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17 at the enumeration district level,</w:t>
      </w:r>
      <w:r>
        <w:t xml:space="preserve"> </w:t>
      </w:r>
      <w:r>
        <w:t xml:space="preserve">90 at the county level, and</w:t>
      </w:r>
      <w:r>
        <w:t xml:space="preserve"> </w:t>
      </w:r>
      <w:r>
        <w:t xml:space="preserve">932 at the state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20 at the county level, and</w:t>
      </w:r>
      <w:r>
        <w:t xml:space="preserve"> </w:t>
      </w:r>
      <w:r>
        <w:t xml:space="preserve">130 at the state level;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 enumeration district level,</w:t>
      </w:r>
      <w:r>
        <w:t xml:space="preserve"> </w:t>
      </w:r>
      <w:r>
        <w:t xml:space="preserve">19 at the county level, and</w:t>
      </w:r>
      <w:r>
        <w:t xml:space="preserve"> </w:t>
      </w:r>
      <w:r>
        <w:t xml:space="preserve">41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5 at the county level, and</w:t>
      </w:r>
      <w:r>
        <w:t xml:space="preserve"> </w:t>
      </w:r>
      <w:r>
        <w:t xml:space="preserve">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</w:t>
      </w:r>
      <w:r>
        <w:t xml:space="preserve"> </w:t>
      </w:r>
      <w:r>
        <w:t xml:space="preserve">at the enumeration district level, we found</w:t>
      </w:r>
      <w:r>
        <w:t xml:space="preserve"> </w:t>
      </w:r>
      <w:r>
        <w:t xml:space="preserve">EPL of 0.020 for TC and 0.098 for SC,</w:t>
      </w:r>
      <w:r>
        <w:t xml:space="preserve"> </w:t>
      </w:r>
      <w:r>
        <w:t xml:space="preserve">and at the county level, we found</w:t>
      </w:r>
      <w:r>
        <w:t xml:space="preserve"> </w:t>
      </w:r>
      <w:r>
        <w:t xml:space="preserve">0.035 for TC and 0.034 for SC;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EPL of 0.079 for TC and 0.318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0.082 for TC and 0.150 for SC</w:t>
      </w:r>
      <w:r>
        <w:t xml:space="preserve"> </w:t>
      </w:r>
      <w:r>
        <w:t xml:space="preserve">at the county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EPL of 0.314 for TC and 1.333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0.429 for TC and 0.612 for SC</w:t>
      </w:r>
      <w:r>
        <w:t xml:space="preserve"> </w:t>
      </w:r>
      <w:r>
        <w:t xml:space="preserve">at the county level.</w:t>
      </w:r>
      <w:r>
        <w:t xml:space="preserve"> </w:t>
      </w:r>
      <w:r>
        <w:t xml:space="preserve">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2" w:name="bias-in-the-noise-introduced-by-topdown"/>
      <w:r>
        <w:t xml:space="preserve">Bias in the noise introduced by TopDown</w:t>
      </w:r>
      <w:bookmarkEnd w:id="32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homogeneity index 0 (0 empty strata) had TC</w:t>
      </w:r>
      <w:r>
        <w:t xml:space="preserve"> </w:t>
      </w:r>
      <w:r>
        <w:t xml:space="preserve">systematically lower than ground truth, while enumeration</w:t>
      </w:r>
      <w:r>
        <w:t xml:space="preserve"> </w:t>
      </w:r>
      <w:r>
        <w:t xml:space="preserve">districts with 22 empty strata had TC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. Homogeneity index 0</w:t>
      </w:r>
      <w:r>
        <w:t xml:space="preserve"> </w:t>
      </w:r>
      <w:r>
        <w:t xml:space="preserve">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8.7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</w:t>
      </w:r>
      <w:r>
        <w:t xml:space="preserve"> </w:t>
      </w:r>
      <w:r>
        <w:t xml:space="preserve">had bias of -103.7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23.4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decreases; this plot shows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noise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but created a quantifiable amount of bias. The bias increased the</w:t>
      </w:r>
      <w:r>
        <w:t xml:space="preserve"> </w:t>
      </w:r>
      <w:r>
        <w:t xml:space="preserve">reported counts in homogeneous districts while decreasing the counts</w:t>
      </w:r>
      <w:r>
        <w:t xml:space="preserve"> </w:t>
      </w:r>
      <w:r>
        <w:t xml:space="preserve">in racially and ethnically mixed districts; since the errors are</w:t>
      </w:r>
      <w:r>
        <w:t xml:space="preserve"> </w:t>
      </w:r>
      <w:r>
        <w:t xml:space="preserve">similar in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scale, cities of sufficient size will likely not</w:t>
      </w:r>
      <w:r>
        <w:t xml:space="preserve"> </w:t>
      </w:r>
      <w:r>
        <w:t xml:space="preserve">notice who they have 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or</w:t>
      </w:r>
      <w:r>
        <w:t xml:space="preserve"> </w:t>
      </w:r>
      <w:r>
        <w:t xml:space="preserve">at least benefit from the population count (and appropriations) that</w:t>
      </w:r>
      <w:r>
        <w:t xml:space="preserve"> </w:t>
      </w:r>
      <w:r>
        <w:t xml:space="preserve">they have gained. The TopDown algorithm will likely drive some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The small communities that are likely to have upward bias in their</w:t>
      </w:r>
      <w:r>
        <w:t xml:space="preserve"> </w:t>
      </w:r>
      <w:r>
        <w:t xml:space="preserve">TopDown counts will be the ones small enough to benefit from the</w:t>
      </w:r>
      <w:r>
        <w:t xml:space="preserve"> </w:t>
      </w:r>
      <w:r>
        <w:t xml:space="preserve">quality Assurance processes that have been implemented in past</w:t>
      </w:r>
      <w:r>
        <w:t xml:space="preserve"> </w:t>
      </w:r>
      <w:r>
        <w:t xml:space="preserve">censuses, such as the Count Question Resolution program, and the</w:t>
      </w:r>
      <w:r>
        <w:t xml:space="preserve"> </w:t>
      </w:r>
      <w:r>
        <w:t xml:space="preserve">results in this paper can help anticipate and plan for this process.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 how</w:t>
      </w:r>
      <w:r>
        <w:t xml:space="preserve"> </w:t>
      </w:r>
      <w:r>
        <w:t xml:space="preserve">such work will be affected by the shift to a DP disclosure avoidance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 On the other hand,</w:t>
      </w:r>
      <w:r>
        <w:t xml:space="preserve"> </w:t>
      </w:r>
      <w:r>
        <w:t xml:space="preserve">human subject research requires informed consent (Belmont Principles);</w:t>
      </w:r>
      <w:r>
        <w:t xml:space="preserve"> </w:t>
      </w:r>
      <w:r>
        <w:t xml:space="preserve">de-identified data is not HSR, but if it is re-identifiable, it should</w:t>
      </w:r>
      <w:r>
        <w:t xml:space="preserve"> </w:t>
      </w:r>
      <w:r>
        <w:t xml:space="preserve">not be considered de-identified, should it?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This</w:t>
      </w:r>
      <w:r>
        <w:t xml:space="preserve"> </w:t>
      </w:r>
      <w:r>
        <w:t xml:space="preserve">work provides some evidence on how TopDown may affect this work, but</w:t>
      </w:r>
      <w:r>
        <w:t xml:space="preserve"> </w:t>
      </w:r>
      <w:r>
        <w:t xml:space="preserve">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 willingness to</w:t>
      </w:r>
      <w:r>
        <w:t xml:space="preserve"> </w:t>
      </w:r>
      <w:r>
        <w:t xml:space="preserve">answer census questions.[ref]</w:t>
      </w:r>
    </w:p>
    <w:p>
      <w:pPr>
        <w:pStyle w:val="Heading2"/>
      </w:pPr>
      <w:bookmarkStart w:id="35" w:name="limitations"/>
      <w:r>
        <w:t xml:space="preserve">Limitations</w:t>
      </w:r>
      <w:bookmarkEnd w:id="35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Number of geographic levels, number of</w:t>
      </w:r>
      <w:r>
        <w:t xml:space="preserve"> </w:t>
      </w:r>
      <w:r>
        <w:t xml:space="preserve">strata to be included in detailed queries.</w:t>
      </w:r>
    </w:p>
    <w:p>
      <w:pPr>
        <w:pStyle w:val="BodyText"/>
      </w:pPr>
      <w:r>
        <w:t xml:space="preserve">Additional changes are being planned, HDMM instead of geometric</w:t>
      </w:r>
      <w:r>
        <w:t xml:space="preserve"> </w:t>
      </w:r>
      <w:r>
        <w:t xml:space="preserve">mechanism, for example.</w:t>
      </w:r>
    </w:p>
    <w:p>
      <w:pPr>
        <w:pStyle w:val="BodyText"/>
      </w:pPr>
      <w:r>
        <w:t xml:space="preserve">Our approach to quantifying error focused on the median absolute</w:t>
      </w:r>
      <w:r>
        <w:t xml:space="preserve"> </w:t>
      </w:r>
      <w:r>
        <w:t xml:space="preserve">error, and there are important tails to this distribution as well.</w:t>
      </w:r>
    </w:p>
    <w:p>
      <w:pPr>
        <w:pStyle w:val="BodyText"/>
      </w:pPr>
      <w:r>
        <w:t xml:space="preserve">Our empirical privacy loss is not comprehensive, and there is the</w:t>
      </w:r>
      <w:r>
        <w:t xml:space="preserve"> </w:t>
      </w:r>
      <w:r>
        <w:t xml:space="preserve">possibility that some other perturbation or some other test statistic</w:t>
      </w:r>
      <w:r>
        <w:t xml:space="preserve"> </w:t>
      </w:r>
      <w:r>
        <w:t xml:space="preserve">would reveal a larger privacy loss than we have found with our</w:t>
      </w:r>
      <w:r>
        <w:t xml:space="preserve"> </w:t>
      </w:r>
      <w:r>
        <w:t xml:space="preserve">approach. Our approach also assumes that the residuals for different</w:t>
      </w:r>
      <w:r>
        <w:t xml:space="preserve"> </w:t>
      </w:r>
      <w:r>
        <w:t xml:space="preserve">locations is generalizable to the residuals from the same location</w:t>
      </w:r>
      <w:r>
        <w:t xml:space="preserve"> </w:t>
      </w:r>
      <w:r>
        <w:t xml:space="preserve">when run with different data. Although these are certainly different,</w:t>
      </w:r>
      <w:r>
        <w:t xml:space="preserve"> </w:t>
      </w:r>
      <w:r>
        <w:t xml:space="preserve">it is likely that the difference is sufficiently small as to not</w:t>
      </w:r>
      <w:r>
        <w:t xml:space="preserve"> </w:t>
      </w:r>
      <w:r>
        <w:t xml:space="preserve">affect our estimates substantially.</w:t>
      </w:r>
    </w:p>
    <w:p>
      <w:pPr>
        <w:pStyle w:val="Heading1"/>
      </w:pPr>
      <w:bookmarkStart w:id="36" w:name="conclusion"/>
      <w:r>
        <w:t xml:space="preserve">Conclusion</w:t>
      </w:r>
      <w:bookmarkEnd w:id="36"/>
    </w:p>
    <w:p>
      <w:pPr>
        <w:pStyle w:val="FirstParagraph"/>
      </w:pPr>
      <w:r>
        <w:t xml:space="preserve">DP in census, what will it be? Opportunity to have something that balances privacy and accuracy, but this opportunity is not without risks.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8" w:name="refs"/>
    <w:bookmarkStart w:id="38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38"/>
    <w:bookmarkStart w:id="39" w:name="ref-gao2018census"/>
    <w:p>
      <w:pPr>
        <w:pStyle w:val="Bibliography"/>
      </w:pPr>
      <w:r>
        <w:t xml:space="preserve">2. Office USGA. Census bureau improved the quality of its cost estimation but additional steps are needed to ensure reliability. U.S. G.A.O. 2018.</w:t>
      </w:r>
      <w:r>
        <w:t xml:space="preserve"> </w:t>
      </w:r>
    </w:p>
    <w:bookmarkEnd w:id="39"/>
    <w:bookmarkStart w:id="40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0"/>
    <w:bookmarkStart w:id="42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1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2"/>
    <w:bookmarkStart w:id="43" w:name="ref-dwork2014algorithmic"/>
    <w:p>
      <w:pPr>
        <w:pStyle w:val="Bibliography"/>
      </w:pPr>
      <w:r>
        <w:t xml:space="preserve">5. Dwork C, Roth A, others. The algorithmic foundations of differential privacy. Foundations and Trends in Theoretical Computer Science. Now Publishers, Inc. 2014;9:211–407.</w:t>
      </w:r>
      <w:r>
        <w:t xml:space="preserve"> </w:t>
      </w:r>
    </w:p>
    <w:bookmarkEnd w:id="43"/>
    <w:bookmarkStart w:id="44" w:name="ref-mckenna2018disclosure"/>
    <w:p>
      <w:pPr>
        <w:pStyle w:val="Bibliography"/>
      </w:pPr>
      <w:r>
        <w:t xml:space="preserve">6. McKenna L, others. Disclosure avoidance techniques used for the 1970 through 2010 decennial censuses of population and housing. 2018.</w:t>
      </w:r>
      <w:r>
        <w:t xml:space="preserve"> </w:t>
      </w:r>
    </w:p>
    <w:bookmarkEnd w:id="44"/>
    <w:bookmarkStart w:id="46" w:name="ref-boyd2019differential"/>
    <w:p>
      <w:pPr>
        <w:pStyle w:val="Bibliography"/>
      </w:pPr>
      <w:r>
        <w:t xml:space="preserve">7. boyd. Differential privacy in the 2020 decennial census and the implications for available data products. CoRR [Internet]. 2019;abs/1907.03639. Available from:</w:t>
      </w:r>
      <w:r>
        <w:t xml:space="preserve"> </w:t>
      </w:r>
      <w:hyperlink r:id="rId45">
        <w:r>
          <w:rPr>
            <w:rStyle w:val="Hyperlink"/>
          </w:rPr>
          <w:t xml:space="preserve">http://arxiv.org/abs/1907.03639</w:t>
        </w:r>
      </w:hyperlink>
    </w:p>
    <w:bookmarkEnd w:id="46"/>
    <w:bookmarkStart w:id="47" w:name="ref-chen2015differentially"/>
    <w:p>
      <w:pPr>
        <w:pStyle w:val="Bibliography"/>
      </w:pPr>
      <w:r>
        <w:t xml:space="preserve">8. Chen R, Xiao Q, Zhang Y, Xu J. Differentially private high-dimensional data publication via sampling-based inference. Proceedings of the 21th acm sigkdd international conference on knowledge discovery and data mining. ACM; 2015. pp. 129–38.</w:t>
      </w:r>
      <w:r>
        <w:t xml:space="preserve"> 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5" Target="http://arxiv.org/abs/1907.03639" TargetMode="External" /><Relationship Type="http://schemas.openxmlformats.org/officeDocument/2006/relationships/hyperlink" Id="rId41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arxiv.org/abs/1907.03639" TargetMode="External" /><Relationship Type="http://schemas.openxmlformats.org/officeDocument/2006/relationships/hyperlink" Id="rId41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2019-08-21T00:09:38Z</dcterms:created>
  <dcterms:modified xsi:type="dcterms:W3CDTF">2019-08-21T00:09:38Z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