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ECDC7" w14:textId="77777777" w:rsidR="00861D26" w:rsidRPr="00861D26" w:rsidRDefault="00861D26" w:rsidP="00861D26">
      <w:pPr>
        <w:rPr>
          <w:b/>
          <w:bCs/>
        </w:rPr>
      </w:pPr>
      <w:r w:rsidRPr="00861D26">
        <w:rPr>
          <w:b/>
          <w:bCs/>
        </w:rPr>
        <w:t>Executive Summary</w:t>
      </w:r>
    </w:p>
    <w:p w14:paraId="74D9316B" w14:textId="77777777" w:rsidR="00861D26" w:rsidRPr="00861D26" w:rsidRDefault="00861D26" w:rsidP="00861D26">
      <w:r w:rsidRPr="00861D26">
        <w:t>Professor Andrew Flitman is an experienced higher-education leader turned consultant. He heads iMORSE, an analytics/strategy consultancy specializing in universities and education. He has held senior academic roles (Deputy Vice-Chancellor at Swinburne, Dean at Deakin, Head at Monash) and now serves on multiple boards (e.g. Chair of Torrens University’s Academic Board, Chair of the Analytics Institute of Australia, Board member at LCI Melbourne and ACAP). He is a Fellow of professional societies and an (honorary) professor at several institutes. The evidence indicates he is a well</w:t>
      </w:r>
      <w:r w:rsidRPr="00861D26">
        <w:rPr>
          <w:rFonts w:ascii="Cambria Math" w:hAnsi="Cambria Math" w:cs="Cambria Math"/>
        </w:rPr>
        <w:t>‐</w:t>
      </w:r>
      <w:r w:rsidRPr="00861D26">
        <w:t>known figure in Australian higher education, respected for his administrative and analytical expertise, though his academic research impact appears moderate. His consulting work focuses on higher-education strategy, analytics/</w:t>
      </w:r>
      <w:proofErr w:type="spellStart"/>
      <w:r w:rsidRPr="00861D26">
        <w:t>modeling</w:t>
      </w:r>
      <w:proofErr w:type="spellEnd"/>
      <w:r w:rsidRPr="00861D26">
        <w:t>, and governance/advisory services. Likely service categories for his firm include</w:t>
      </w:r>
      <w:r w:rsidRPr="00861D26">
        <w:rPr>
          <w:rFonts w:ascii="Aptos" w:hAnsi="Aptos" w:cs="Aptos"/>
        </w:rPr>
        <w:t> </w:t>
      </w:r>
      <w:r w:rsidRPr="00861D26">
        <w:rPr>
          <w:b/>
          <w:bCs/>
        </w:rPr>
        <w:t>Higher Education Strategy &amp; Policy Advisory</w:t>
      </w:r>
      <w:r w:rsidRPr="00861D26">
        <w:t>, </w:t>
      </w:r>
      <w:r w:rsidRPr="00861D26">
        <w:rPr>
          <w:b/>
          <w:bCs/>
        </w:rPr>
        <w:t>Analytics/</w:t>
      </w:r>
      <w:proofErr w:type="spellStart"/>
      <w:r w:rsidRPr="00861D26">
        <w:rPr>
          <w:b/>
          <w:bCs/>
        </w:rPr>
        <w:t>Modeling</w:t>
      </w:r>
      <w:proofErr w:type="spellEnd"/>
      <w:r w:rsidRPr="00861D26">
        <w:rPr>
          <w:b/>
          <w:bCs/>
        </w:rPr>
        <w:t xml:space="preserve"> and Performance Planning</w:t>
      </w:r>
      <w:r w:rsidRPr="00861D26">
        <w:t>, </w:t>
      </w:r>
      <w:r w:rsidRPr="00861D26">
        <w:rPr>
          <w:b/>
          <w:bCs/>
        </w:rPr>
        <w:t>Governance and Accreditation Consulting</w:t>
      </w:r>
      <w:r w:rsidRPr="00861D26">
        <w:t>, and </w:t>
      </w:r>
      <w:r w:rsidRPr="00861D26">
        <w:rPr>
          <w:b/>
          <w:bCs/>
        </w:rPr>
        <w:t>Research Strategy and Evaluation</w:t>
      </w:r>
      <w:r w:rsidRPr="00861D26">
        <w:t> (all supported by his roles and projects). These suggest website sections on </w:t>
      </w:r>
      <w:r w:rsidRPr="00861D26">
        <w:rPr>
          <w:i/>
          <w:iCs/>
        </w:rPr>
        <w:t>Advisory &amp; Strategy</w:t>
      </w:r>
      <w:r w:rsidRPr="00861D26">
        <w:t>, </w:t>
      </w:r>
      <w:r w:rsidRPr="00861D26">
        <w:rPr>
          <w:i/>
          <w:iCs/>
        </w:rPr>
        <w:t>Analytics &amp; Modelling</w:t>
      </w:r>
      <w:r w:rsidRPr="00861D26">
        <w:t>, </w:t>
      </w:r>
      <w:r w:rsidRPr="00861D26">
        <w:rPr>
          <w:i/>
          <w:iCs/>
        </w:rPr>
        <w:t>Governance &amp; Quality</w:t>
      </w:r>
      <w:r w:rsidRPr="00861D26">
        <w:t>, and </w:t>
      </w:r>
      <w:r w:rsidRPr="00861D26">
        <w:rPr>
          <w:i/>
          <w:iCs/>
        </w:rPr>
        <w:t>Projects/Consulting Services</w:t>
      </w:r>
      <w:r w:rsidRPr="00861D26">
        <w:t>.</w:t>
      </w:r>
    </w:p>
    <w:p w14:paraId="4B49C5D0" w14:textId="77777777" w:rsidR="00861D26" w:rsidRPr="00861D26" w:rsidRDefault="00861D26" w:rsidP="00861D26">
      <w:pPr>
        <w:rPr>
          <w:b/>
          <w:bCs/>
        </w:rPr>
      </w:pPr>
      <w:r w:rsidRPr="00861D26">
        <w:rPr>
          <w:b/>
          <w:bCs/>
        </w:rPr>
        <w:t>Evidence Summary</w:t>
      </w:r>
    </w:p>
    <w:p w14:paraId="6836A4C9" w14:textId="77777777" w:rsidR="00861D26" w:rsidRPr="00861D26" w:rsidRDefault="00861D26" w:rsidP="00861D26">
      <w:pPr>
        <w:numPr>
          <w:ilvl w:val="0"/>
          <w:numId w:val="1"/>
        </w:numPr>
      </w:pPr>
      <w:r w:rsidRPr="00861D26">
        <w:rPr>
          <w:b/>
          <w:bCs/>
        </w:rPr>
        <w:t>Current Principal, iMORSE consultancy</w:t>
      </w:r>
      <w:r w:rsidRPr="00861D26">
        <w:t> – Melbourne-based “strategic analytics consultancy” focusing on higher education (CV).</w:t>
      </w:r>
    </w:p>
    <w:p w14:paraId="135CA643" w14:textId="77777777" w:rsidR="00861D26" w:rsidRPr="00861D26" w:rsidRDefault="00861D26" w:rsidP="00861D26">
      <w:pPr>
        <w:numPr>
          <w:ilvl w:val="0"/>
          <w:numId w:val="1"/>
        </w:numPr>
      </w:pPr>
      <w:r w:rsidRPr="00861D26">
        <w:rPr>
          <w:b/>
          <w:bCs/>
        </w:rPr>
        <w:t>Academic Board Chair/Member (Torrens, LCI Melbourne, ACAP, IKON, etc.)</w:t>
      </w:r>
      <w:r w:rsidRPr="00861D26">
        <w:t> – e.g. Chair of Torrens University Academic Board, Deputy Chair of ACAP Academic Board, Board Member/Chair at private providers. These roles come from his CV and public governance pages.</w:t>
      </w:r>
    </w:p>
    <w:p w14:paraId="646319C0" w14:textId="77777777" w:rsidR="00861D26" w:rsidRPr="00861D26" w:rsidRDefault="00861D26" w:rsidP="00861D26">
      <w:pPr>
        <w:numPr>
          <w:ilvl w:val="0"/>
          <w:numId w:val="1"/>
        </w:numPr>
      </w:pPr>
      <w:r w:rsidRPr="00861D26">
        <w:rPr>
          <w:b/>
          <w:bCs/>
        </w:rPr>
        <w:t>Board Chair, Analytics Institute of Australia</w:t>
      </w:r>
      <w:r w:rsidRPr="00861D26">
        <w:t> – confirmed as Chair of AIA Board (external source).</w:t>
      </w:r>
    </w:p>
    <w:p w14:paraId="48DFCA8B" w14:textId="77777777" w:rsidR="00861D26" w:rsidRPr="00861D26" w:rsidRDefault="00861D26" w:rsidP="00861D26">
      <w:pPr>
        <w:numPr>
          <w:ilvl w:val="0"/>
          <w:numId w:val="1"/>
        </w:numPr>
      </w:pPr>
      <w:r w:rsidRPr="00861D26">
        <w:rPr>
          <w:b/>
          <w:bCs/>
        </w:rPr>
        <w:t>Higher-Education Leadership</w:t>
      </w:r>
      <w:r w:rsidRPr="00861D26">
        <w:t> – Former Deputy Vice-Chancellor (Research) at Swinburne University (2007–2012, including Acting VC), Dean of Science &amp; Tech at Deakin (2005–2007), and Head of Business Systems at Monash (2000–2005) (CV).</w:t>
      </w:r>
    </w:p>
    <w:p w14:paraId="4C6A10A2" w14:textId="77777777" w:rsidR="00861D26" w:rsidRPr="00861D26" w:rsidRDefault="00861D26" w:rsidP="00861D26">
      <w:pPr>
        <w:numPr>
          <w:ilvl w:val="0"/>
          <w:numId w:val="1"/>
        </w:numPr>
      </w:pPr>
      <w:r w:rsidRPr="00861D26">
        <w:rPr>
          <w:b/>
          <w:bCs/>
        </w:rPr>
        <w:t>Academic Appointments</w:t>
      </w:r>
      <w:r w:rsidRPr="00861D26">
        <w:t> – Honorary Professor at Torrens University; honorary professor/adjunct at University of Melbourne (Florey &amp; LH Martin Institutes, 2012–2020). Promoted to full Professor by 1997 (Monash).</w:t>
      </w:r>
    </w:p>
    <w:p w14:paraId="1C0D0466" w14:textId="77777777" w:rsidR="00861D26" w:rsidRPr="00861D26" w:rsidRDefault="00861D26" w:rsidP="00861D26">
      <w:pPr>
        <w:numPr>
          <w:ilvl w:val="0"/>
          <w:numId w:val="1"/>
        </w:numPr>
      </w:pPr>
      <w:r w:rsidRPr="00861D26">
        <w:rPr>
          <w:b/>
          <w:bCs/>
        </w:rPr>
        <w:t>Research Output</w:t>
      </w:r>
      <w:r w:rsidRPr="00861D26">
        <w:t xml:space="preserve"> – Over 100 publications (peer-reviewed and reports), in areas of operations research and strategic </w:t>
      </w:r>
      <w:proofErr w:type="spellStart"/>
      <w:r w:rsidRPr="00861D26">
        <w:t>modeling</w:t>
      </w:r>
      <w:proofErr w:type="spellEnd"/>
      <w:r w:rsidRPr="00861D26">
        <w:t>. Fellow of Australian Computer Society and Operational Research Society. (He also co-authored an OR textbook.)</w:t>
      </w:r>
    </w:p>
    <w:p w14:paraId="3A6E85F6" w14:textId="77777777" w:rsidR="00861D26" w:rsidRPr="00861D26" w:rsidRDefault="00861D26" w:rsidP="00861D26">
      <w:pPr>
        <w:numPr>
          <w:ilvl w:val="0"/>
          <w:numId w:val="1"/>
        </w:numPr>
      </w:pPr>
      <w:r w:rsidRPr="00861D26">
        <w:rPr>
          <w:b/>
          <w:bCs/>
        </w:rPr>
        <w:lastRenderedPageBreak/>
        <w:t>Consulting &amp; Advisory Work</w:t>
      </w:r>
      <w:r w:rsidRPr="00861D26">
        <w:t xml:space="preserve"> – Senior roles at Deloitte (UK) and PwC (Melbourne) in business/financial </w:t>
      </w:r>
      <w:proofErr w:type="spellStart"/>
      <w:r w:rsidRPr="00861D26">
        <w:t>modeling</w:t>
      </w:r>
      <w:proofErr w:type="spellEnd"/>
      <w:r w:rsidRPr="00861D26">
        <w:t xml:space="preserve">. Principal Advisor with Wells Advisory (Minter Ellison) on education projects, and ongoing SME in </w:t>
      </w:r>
      <w:proofErr w:type="gramStart"/>
      <w:r w:rsidRPr="00861D26">
        <w:t>higher-education</w:t>
      </w:r>
      <w:proofErr w:type="gramEnd"/>
      <w:r w:rsidRPr="00861D26">
        <w:t xml:space="preserve"> for PwC. The home-affairs submission (2021) also identifies him as “Principal Advisor with Wells Advisory and a leading expert on higher education, research, and regulation”.</w:t>
      </w:r>
    </w:p>
    <w:p w14:paraId="3D15FE17" w14:textId="77777777" w:rsidR="00861D26" w:rsidRPr="00861D26" w:rsidRDefault="00861D26" w:rsidP="00861D26">
      <w:pPr>
        <w:numPr>
          <w:ilvl w:val="0"/>
          <w:numId w:val="1"/>
        </w:numPr>
      </w:pPr>
      <w:r w:rsidRPr="00861D26">
        <w:rPr>
          <w:b/>
          <w:bCs/>
        </w:rPr>
        <w:t>Recent Engagements</w:t>
      </w:r>
      <w:r w:rsidRPr="00861D26">
        <w:t> – The email digest shows he advised Boston Consulting Group (Mar 2026) on an education change project, with BCG praising his academic framing and inviting further STEM advisory (Email digest). CV lists projects: TEQSA regulatory advice, academic promotions committees, international branch campus development, mergers &amp; acquisitions support, due diligence, risk analysis in UAE/Saudi, etc. (CV).</w:t>
      </w:r>
    </w:p>
    <w:p w14:paraId="0FC19C63" w14:textId="77777777" w:rsidR="00861D26" w:rsidRPr="00861D26" w:rsidRDefault="00861D26" w:rsidP="00861D26">
      <w:pPr>
        <w:numPr>
          <w:ilvl w:val="0"/>
          <w:numId w:val="1"/>
        </w:numPr>
      </w:pPr>
      <w:r w:rsidRPr="00861D26">
        <w:rPr>
          <w:b/>
          <w:bCs/>
        </w:rPr>
        <w:t>Sector &amp; Clients</w:t>
      </w:r>
      <w:r w:rsidRPr="00861D26">
        <w:t> – He has advised universities and private providers, and projects in government/regulatory contexts (e.g. TEQSA appeals, Home Affairs submission). The LCI profile notes he “has advised several clients in the financial services and higher education sectors”.</w:t>
      </w:r>
    </w:p>
    <w:p w14:paraId="11994840" w14:textId="77777777" w:rsidR="00861D26" w:rsidRPr="00861D26" w:rsidRDefault="00861D26" w:rsidP="00861D26">
      <w:r w:rsidRPr="00861D26">
        <w:rPr>
          <w:i/>
          <w:iCs/>
        </w:rPr>
        <w:t>Sources:</w:t>
      </w:r>
      <w:r w:rsidRPr="00861D26">
        <w:t xml:space="preserve"> CV (AF Resume), Email digest (Mar 2026), Torrens U. Academic Board page, LCI Melbourne board page, </w:t>
      </w:r>
      <w:proofErr w:type="spellStart"/>
      <w:r w:rsidRPr="00861D26">
        <w:t>ThinkEd</w:t>
      </w:r>
      <w:proofErr w:type="spellEnd"/>
      <w:r w:rsidRPr="00861D26">
        <w:t xml:space="preserve"> Academic Board, ACC profile, Swinburne design-factory news, Concerto interview, Ikon board PDF, Analytics Institute site, ACAP governance page, Home Affairs submission. (References indicate external sources; CV/email noted parenthetically.)</w:t>
      </w:r>
    </w:p>
    <w:p w14:paraId="40758143" w14:textId="77777777" w:rsidR="00861D26" w:rsidRPr="00861D26" w:rsidRDefault="00861D26" w:rsidP="00861D26">
      <w:pPr>
        <w:rPr>
          <w:b/>
          <w:bCs/>
        </w:rPr>
      </w:pPr>
      <w:r w:rsidRPr="00861D26">
        <w:rPr>
          <w:b/>
          <w:bCs/>
        </w:rPr>
        <w:t>Assessment of Academic Standing</w:t>
      </w:r>
    </w:p>
    <w:p w14:paraId="76ECC226" w14:textId="77777777" w:rsidR="00861D26" w:rsidRPr="00861D26" w:rsidRDefault="00861D26" w:rsidP="00861D26">
      <w:r w:rsidRPr="00861D26">
        <w:t>Andrew Flitman has an established record in operations research and analytics, with </w:t>
      </w:r>
      <w:r w:rsidRPr="00861D26">
        <w:rPr>
          <w:b/>
          <w:bCs/>
        </w:rPr>
        <w:t>100+ publications</w:t>
      </w:r>
      <w:r w:rsidRPr="00861D26">
        <w:t> (CV and profiles) and authorship of books. He holds or held professorial titles (Promoted to Professor in 1997 at Monash; Honorary Professor at University of Melbourne and Torrens University). He is a Fellow of ACS and ORS, indicating peer recognition.</w:t>
      </w:r>
    </w:p>
    <w:p w14:paraId="18C6BC98" w14:textId="77777777" w:rsidR="00861D26" w:rsidRDefault="00861D26" w:rsidP="00861D26">
      <w:r w:rsidRPr="00861D26">
        <w:t xml:space="preserve">His recent career has focused on administration and consulting rather than traditional research output. </w:t>
      </w:r>
    </w:p>
    <w:p w14:paraId="213C90A6" w14:textId="5A12A5F0" w:rsidR="00861D26" w:rsidRPr="00861D26" w:rsidRDefault="00861D26" w:rsidP="00861D26">
      <w:r w:rsidRPr="00861D26">
        <w:rPr>
          <w:b/>
          <w:bCs/>
        </w:rPr>
        <w:t>Benchmarking:</w:t>
      </w:r>
      <w:r w:rsidRPr="00861D26">
        <w:t> </w:t>
      </w:r>
      <w:r>
        <w:t>In</w:t>
      </w:r>
      <w:r w:rsidRPr="00861D26">
        <w:t xml:space="preserve"> the context of higher-ed leadership, his standing is strong: he has held major executive roles (DVC Research), and his expertise is recognized by industry (Fellowships, advisory roles).</w:t>
      </w:r>
    </w:p>
    <w:p w14:paraId="2B85E415" w14:textId="77777777" w:rsidR="00861D26" w:rsidRPr="00861D26" w:rsidRDefault="00861D26" w:rsidP="00861D26">
      <w:r w:rsidRPr="00861D26">
        <w:rPr>
          <w:b/>
          <w:bCs/>
        </w:rPr>
        <w:t>Conclusion:</w:t>
      </w:r>
      <w:r w:rsidRPr="00861D26">
        <w:t xml:space="preserve"> He is respected as an academic administrator and applied researcher, though perhaps not a research star on citation metrics. He holds senior titles and </w:t>
      </w:r>
      <w:proofErr w:type="spellStart"/>
      <w:r w:rsidRPr="00861D26">
        <w:t>honors</w:t>
      </w:r>
      <w:proofErr w:type="spellEnd"/>
      <w:r w:rsidRPr="00861D26">
        <w:t xml:space="preserve"> consistent with a seasoned professor (High confidence). His influence appears greater in leadership and consulting domains than in scholarly citations.</w:t>
      </w:r>
    </w:p>
    <w:p w14:paraId="4A8BC0CF" w14:textId="77777777" w:rsidR="00861D26" w:rsidRPr="00861D26" w:rsidRDefault="00861D26" w:rsidP="00861D26">
      <w:pPr>
        <w:rPr>
          <w:b/>
          <w:bCs/>
        </w:rPr>
      </w:pPr>
      <w:r w:rsidRPr="00861D26">
        <w:rPr>
          <w:b/>
          <w:bCs/>
        </w:rPr>
        <w:t>Assessment of Consulting Standing</w:t>
      </w:r>
    </w:p>
    <w:p w14:paraId="6E70B477" w14:textId="77777777" w:rsidR="00861D26" w:rsidRPr="00861D26" w:rsidRDefault="00861D26" w:rsidP="00861D26">
      <w:r w:rsidRPr="00861D26">
        <w:lastRenderedPageBreak/>
        <w:t>Andrew Flitman’s consulting profile is robust and well-supported. He has held senior consultant roles at global firms (Deloitte UK, PwC) and worked with Wells Advisory/Minter Ellison on HE projects. He currently advises as a Principal/SME on education strategy for PwC and Wells. He has conducted institutional reviews and TEQSA advisory (CV) and international branch campus deals (CV).</w:t>
      </w:r>
    </w:p>
    <w:p w14:paraId="74C82F51" w14:textId="77777777" w:rsidR="00861D26" w:rsidRPr="00861D26" w:rsidRDefault="00861D26" w:rsidP="00861D26">
      <w:r w:rsidRPr="00861D26">
        <w:t>External evidence of reputation includes a recent </w:t>
      </w:r>
      <w:r w:rsidRPr="00861D26">
        <w:rPr>
          <w:b/>
          <w:bCs/>
        </w:rPr>
        <w:t>Boston Consulting Group (BCG)</w:t>
      </w:r>
      <w:r w:rsidRPr="00861D26">
        <w:t xml:space="preserve"> engagement (Mar 2026): BCG’s note praises his academic perspective and indicates intent to reuse him as a STEM expert. He also publicly presented higher-ed policy advice (Home Affairs submission). His Board chairmanship at the Analytics Institute and board membership </w:t>
      </w:r>
      <w:proofErr w:type="spellStart"/>
      <w:r w:rsidRPr="00861D26">
        <w:t>roles</w:t>
      </w:r>
      <w:proofErr w:type="spellEnd"/>
      <w:r w:rsidRPr="00861D26">
        <w:t xml:space="preserve"> also imply credibility.</w:t>
      </w:r>
    </w:p>
    <w:p w14:paraId="3ECC1A75" w14:textId="77777777" w:rsidR="00861D26" w:rsidRPr="00861D26" w:rsidRDefault="00861D26" w:rsidP="00861D26">
      <w:r w:rsidRPr="00861D26">
        <w:t>Clients mentioned or implied are mainly in higher education (public and private universities/colleges) and some financial institutions (via his earlier consulting). No contract values or testimonials are public, but repeated appointments (PwC, Wells, BCG) suggest strong market trust.</w:t>
      </w:r>
    </w:p>
    <w:p w14:paraId="371FC0DD" w14:textId="77777777" w:rsidR="00861D26" w:rsidRPr="00861D26" w:rsidRDefault="00861D26" w:rsidP="00861D26">
      <w:r w:rsidRPr="00861D26">
        <w:rPr>
          <w:b/>
          <w:bCs/>
        </w:rPr>
        <w:t>Conclusion:</w:t>
      </w:r>
      <w:r w:rsidRPr="00861D26">
        <w:t xml:space="preserve"> Evidence shows he is </w:t>
      </w:r>
      <w:proofErr w:type="spellStart"/>
      <w:proofErr w:type="gramStart"/>
      <w:r w:rsidRPr="00861D26">
        <w:t>a</w:t>
      </w:r>
      <w:proofErr w:type="spellEnd"/>
      <w:proofErr w:type="gramEnd"/>
      <w:r w:rsidRPr="00861D26">
        <w:t> </w:t>
      </w:r>
      <w:r w:rsidRPr="00861D26">
        <w:rPr>
          <w:b/>
          <w:bCs/>
        </w:rPr>
        <w:t>established consultant</w:t>
      </w:r>
      <w:r w:rsidRPr="00861D26">
        <w:t> in education strategy and analytics, sought by top firms and government. His reputation appears solid in the Australian higher-education market (confidence: High).</w:t>
      </w:r>
    </w:p>
    <w:p w14:paraId="5836A744" w14:textId="77777777" w:rsidR="00861D26" w:rsidRPr="00861D26" w:rsidRDefault="00861D26" w:rsidP="00861D26">
      <w:pPr>
        <w:rPr>
          <w:b/>
          <w:bCs/>
        </w:rPr>
      </w:pPr>
      <w:r w:rsidRPr="00861D26">
        <w:rPr>
          <w:b/>
          <w:bCs/>
        </w:rPr>
        <w:t>Likely Service Categories</w:t>
      </w:r>
    </w:p>
    <w:p w14:paraId="43BBB265" w14:textId="77777777" w:rsidR="00861D26" w:rsidRPr="00861D26" w:rsidRDefault="00861D26" w:rsidP="00861D26">
      <w:pPr>
        <w:numPr>
          <w:ilvl w:val="0"/>
          <w:numId w:val="2"/>
        </w:numPr>
      </w:pPr>
      <w:r w:rsidRPr="00861D26">
        <w:rPr>
          <w:b/>
          <w:bCs/>
        </w:rPr>
        <w:t>Higher Education Strategy &amp; Policy Advisory</w:t>
      </w:r>
      <w:r w:rsidRPr="00861D26">
        <w:t> (High confidence) – Inferred from his DVC role, board advisory work, and policy submissions. Services likely include strategic planning, performance benchmarking, and response to regulatory changes. </w:t>
      </w:r>
      <w:r w:rsidRPr="00861D26">
        <w:rPr>
          <w:i/>
          <w:iCs/>
        </w:rPr>
        <w:t>Evidence:</w:t>
      </w:r>
      <w:r w:rsidRPr="00861D26">
        <w:t> Senior HE roles; advisory to regulators (TEQSA) and gov’t.</w:t>
      </w:r>
    </w:p>
    <w:p w14:paraId="12B7AC9A" w14:textId="77777777" w:rsidR="00861D26" w:rsidRPr="00861D26" w:rsidRDefault="00861D26" w:rsidP="00861D26">
      <w:pPr>
        <w:numPr>
          <w:ilvl w:val="0"/>
          <w:numId w:val="2"/>
        </w:numPr>
      </w:pPr>
      <w:r w:rsidRPr="00861D26">
        <w:rPr>
          <w:b/>
          <w:bCs/>
        </w:rPr>
        <w:t xml:space="preserve">Analytics &amp; </w:t>
      </w:r>
      <w:proofErr w:type="spellStart"/>
      <w:r w:rsidRPr="00861D26">
        <w:rPr>
          <w:b/>
          <w:bCs/>
        </w:rPr>
        <w:t>Modeling</w:t>
      </w:r>
      <w:proofErr w:type="spellEnd"/>
      <w:r w:rsidRPr="00861D26">
        <w:rPr>
          <w:b/>
          <w:bCs/>
        </w:rPr>
        <w:t xml:space="preserve"> / Decision Support</w:t>
      </w:r>
      <w:r w:rsidRPr="00861D26">
        <w:t xml:space="preserve"> (High) – His expertise is in business/financial </w:t>
      </w:r>
      <w:proofErr w:type="spellStart"/>
      <w:r w:rsidRPr="00861D26">
        <w:t>modeling</w:t>
      </w:r>
      <w:proofErr w:type="spellEnd"/>
      <w:r w:rsidRPr="00861D26">
        <w:t xml:space="preserve"> and analytics. Services likely include data-driven scenario planning, university ranking models, KPI </w:t>
      </w:r>
      <w:proofErr w:type="spellStart"/>
      <w:r w:rsidRPr="00861D26">
        <w:t>modeling</w:t>
      </w:r>
      <w:proofErr w:type="spellEnd"/>
      <w:r w:rsidRPr="00861D26">
        <w:t>, and risk analysis. </w:t>
      </w:r>
      <w:r w:rsidRPr="00861D26">
        <w:rPr>
          <w:i/>
          <w:iCs/>
        </w:rPr>
        <w:t>Evidence:</w:t>
      </w:r>
      <w:r w:rsidRPr="00861D26">
        <w:t xml:space="preserve"> Described as an expert in strategic </w:t>
      </w:r>
      <w:proofErr w:type="spellStart"/>
      <w:r w:rsidRPr="00861D26">
        <w:t>modeling</w:t>
      </w:r>
      <w:proofErr w:type="spellEnd"/>
      <w:r w:rsidRPr="00861D26">
        <w:t xml:space="preserve">; iMORSE is an “analytics consultancy”; the Concerto interview emphasizes ranking </w:t>
      </w:r>
      <w:proofErr w:type="spellStart"/>
      <w:r w:rsidRPr="00861D26">
        <w:t>modeling</w:t>
      </w:r>
      <w:proofErr w:type="spellEnd"/>
      <w:r w:rsidRPr="00861D26">
        <w:t xml:space="preserve"> and scenario tools.</w:t>
      </w:r>
    </w:p>
    <w:p w14:paraId="2B65569B" w14:textId="77777777" w:rsidR="00861D26" w:rsidRPr="00861D26" w:rsidRDefault="00861D26" w:rsidP="00861D26">
      <w:pPr>
        <w:numPr>
          <w:ilvl w:val="0"/>
          <w:numId w:val="2"/>
        </w:numPr>
      </w:pPr>
      <w:r w:rsidRPr="00861D26">
        <w:rPr>
          <w:b/>
          <w:bCs/>
        </w:rPr>
        <w:t>Governance &amp; Academic Quality Consulting</w:t>
      </w:r>
      <w:r w:rsidRPr="00861D26">
        <w:t> (High) – Likely advising on academic governance, accreditation, and board effectiveness. He has chaired multiple Academic Boards and served on promotions and audit committees. </w:t>
      </w:r>
      <w:r w:rsidRPr="00861D26">
        <w:rPr>
          <w:i/>
          <w:iCs/>
        </w:rPr>
        <w:t>Evidence:</w:t>
      </w:r>
      <w:r w:rsidRPr="00861D26">
        <w:t> Chair of Torrens Academic Board, Chair Academic Board LCI, Deputy Chair ACAP; CV mentions academic promotions committees, policy advice, TEQSA expertise.</w:t>
      </w:r>
    </w:p>
    <w:p w14:paraId="69B836CC" w14:textId="77777777" w:rsidR="00861D26" w:rsidRPr="00861D26" w:rsidRDefault="00861D26" w:rsidP="00861D26">
      <w:pPr>
        <w:numPr>
          <w:ilvl w:val="0"/>
          <w:numId w:val="2"/>
        </w:numPr>
      </w:pPr>
      <w:r w:rsidRPr="00861D26">
        <w:rPr>
          <w:b/>
          <w:bCs/>
        </w:rPr>
        <w:t>Research Strategy &amp; Evaluation</w:t>
      </w:r>
      <w:r w:rsidRPr="00861D26">
        <w:t> (Medium) – Advising universities on research investment, output measurement, and fundraising strategy. </w:t>
      </w:r>
      <w:r w:rsidRPr="00861D26">
        <w:rPr>
          <w:i/>
          <w:iCs/>
        </w:rPr>
        <w:t>Evidence:</w:t>
      </w:r>
      <w:r w:rsidRPr="00861D26">
        <w:t xml:space="preserve"> As DVC </w:t>
      </w:r>
      <w:r w:rsidRPr="00861D26">
        <w:lastRenderedPageBreak/>
        <w:t>Research he oversaw research growth; CV cites “Research strategy and investment advice” for universities.</w:t>
      </w:r>
    </w:p>
    <w:p w14:paraId="5B1B1CAE" w14:textId="77777777" w:rsidR="00861D26" w:rsidRPr="00861D26" w:rsidRDefault="00861D26" w:rsidP="00861D26">
      <w:pPr>
        <w:numPr>
          <w:ilvl w:val="0"/>
          <w:numId w:val="2"/>
        </w:numPr>
      </w:pPr>
      <w:r w:rsidRPr="00861D26">
        <w:rPr>
          <w:b/>
          <w:bCs/>
        </w:rPr>
        <w:t>Mergers, Due Diligence &amp; Project Reviews</w:t>
      </w:r>
      <w:r w:rsidRPr="00861D26">
        <w:t> (Medium) – Services like M&amp;A support for universities, project feasibility, and compliance reviews. </w:t>
      </w:r>
      <w:r w:rsidRPr="00861D26">
        <w:rPr>
          <w:i/>
          <w:iCs/>
        </w:rPr>
        <w:t>Evidence:</w:t>
      </w:r>
      <w:r w:rsidRPr="00861D26">
        <w:t> CV lists due diligence, campus acquisitions, organizational reviews (CV). He has done AAT expert witness on university standards (CV).</w:t>
      </w:r>
    </w:p>
    <w:p w14:paraId="3A28209E" w14:textId="77777777" w:rsidR="00861D26" w:rsidRPr="00861D26" w:rsidRDefault="00861D26" w:rsidP="00861D26">
      <w:pPr>
        <w:numPr>
          <w:ilvl w:val="0"/>
          <w:numId w:val="2"/>
        </w:numPr>
      </w:pPr>
      <w:r w:rsidRPr="00861D26">
        <w:rPr>
          <w:b/>
          <w:bCs/>
        </w:rPr>
        <w:t>Regulatory/Policy Compliance</w:t>
      </w:r>
      <w:r w:rsidRPr="00861D26">
        <w:t> (Medium) – Assisting providers with accreditation (TEQSA registrations, standards). </w:t>
      </w:r>
      <w:r w:rsidRPr="00861D26">
        <w:rPr>
          <w:i/>
          <w:iCs/>
        </w:rPr>
        <w:t>Evidence:</w:t>
      </w:r>
      <w:r w:rsidRPr="00861D26">
        <w:t> CV notes TEQSA registration advice, AAT review; public comments on student visa credential issues.</w:t>
      </w:r>
    </w:p>
    <w:p w14:paraId="30782C55" w14:textId="77777777" w:rsidR="00861D26" w:rsidRPr="00861D26" w:rsidRDefault="00861D26" w:rsidP="00861D26">
      <w:pPr>
        <w:numPr>
          <w:ilvl w:val="0"/>
          <w:numId w:val="2"/>
        </w:numPr>
      </w:pPr>
      <w:r w:rsidRPr="00861D26">
        <w:rPr>
          <w:b/>
          <w:bCs/>
        </w:rPr>
        <w:t>Training / Workshops / Speaking</w:t>
      </w:r>
      <w:r w:rsidRPr="00861D26">
        <w:t> (Low) – Possibly workshops on analytics or governance. </w:t>
      </w:r>
      <w:r w:rsidRPr="00861D26">
        <w:rPr>
          <w:i/>
          <w:iCs/>
        </w:rPr>
        <w:t>Evidence:</w:t>
      </w:r>
      <w:r w:rsidRPr="00861D26">
        <w:t> No explicit evidence of formal training offerings or speaking engagements beyond one media quote. If included, confidence is low.</w:t>
      </w:r>
    </w:p>
    <w:p w14:paraId="0D49980B" w14:textId="77777777" w:rsidR="00861D26" w:rsidRPr="00861D26" w:rsidRDefault="00861D26" w:rsidP="00861D26">
      <w:pPr>
        <w:rPr>
          <w:b/>
          <w:bCs/>
        </w:rPr>
      </w:pPr>
      <w:r w:rsidRPr="00861D26">
        <w:rPr>
          <w:b/>
          <w:bCs/>
        </w:rPr>
        <w:t>Suggested Website Structure Implications</w:t>
      </w:r>
    </w:p>
    <w:p w14:paraId="5B5A8555" w14:textId="77777777" w:rsidR="00861D26" w:rsidRPr="00861D26" w:rsidRDefault="00861D26" w:rsidP="00861D26">
      <w:r w:rsidRPr="00861D26">
        <w:t>The site should highlight distinct service areas reflecting Flitman’s expertise: e.g.</w:t>
      </w:r>
    </w:p>
    <w:p w14:paraId="3AB9F595" w14:textId="77777777" w:rsidR="00861D26" w:rsidRPr="00861D26" w:rsidRDefault="00861D26" w:rsidP="00861D26">
      <w:pPr>
        <w:numPr>
          <w:ilvl w:val="0"/>
          <w:numId w:val="3"/>
        </w:numPr>
      </w:pPr>
      <w:r w:rsidRPr="00861D26">
        <w:rPr>
          <w:b/>
          <w:bCs/>
        </w:rPr>
        <w:t>“Advisory &amp; Governance”</w:t>
      </w:r>
      <w:r w:rsidRPr="00861D26">
        <w:t> – coverage of board advisory, academic governance, strategic planning for institutions. This fits his roles (Academic Boards, board chairs).</w:t>
      </w:r>
    </w:p>
    <w:p w14:paraId="0B0F1798" w14:textId="77777777" w:rsidR="00861D26" w:rsidRPr="00861D26" w:rsidRDefault="00861D26" w:rsidP="00861D26">
      <w:pPr>
        <w:numPr>
          <w:ilvl w:val="0"/>
          <w:numId w:val="3"/>
        </w:numPr>
      </w:pPr>
      <w:r w:rsidRPr="00861D26">
        <w:rPr>
          <w:b/>
          <w:bCs/>
        </w:rPr>
        <w:t>“Analytics &amp; Modelling Services”</w:t>
      </w:r>
      <w:r w:rsidRPr="00861D26">
        <w:t xml:space="preserve"> – showcasing scenario planning, performance </w:t>
      </w:r>
      <w:proofErr w:type="spellStart"/>
      <w:r w:rsidRPr="00861D26">
        <w:t>modeling</w:t>
      </w:r>
      <w:proofErr w:type="spellEnd"/>
      <w:r w:rsidRPr="00861D26">
        <w:t>, ranking simulation (</w:t>
      </w:r>
      <w:proofErr w:type="spellStart"/>
      <w:r w:rsidRPr="00861D26">
        <w:t>iMORSE’s</w:t>
      </w:r>
      <w:proofErr w:type="spellEnd"/>
      <w:r w:rsidRPr="00861D26">
        <w:t xml:space="preserve"> niche).</w:t>
      </w:r>
    </w:p>
    <w:p w14:paraId="5D08DA1D" w14:textId="77777777" w:rsidR="00861D26" w:rsidRPr="00861D26" w:rsidRDefault="00861D26" w:rsidP="00861D26">
      <w:pPr>
        <w:numPr>
          <w:ilvl w:val="0"/>
          <w:numId w:val="3"/>
        </w:numPr>
      </w:pPr>
      <w:r w:rsidRPr="00861D26">
        <w:rPr>
          <w:b/>
          <w:bCs/>
        </w:rPr>
        <w:t>“Strategy &amp; Research Consulting”</w:t>
      </w:r>
      <w:r w:rsidRPr="00861D26">
        <w:t> – for research strategy, growth planning, academic promotions guidance.</w:t>
      </w:r>
    </w:p>
    <w:p w14:paraId="37A477B5" w14:textId="77777777" w:rsidR="00861D26" w:rsidRPr="00861D26" w:rsidRDefault="00861D26" w:rsidP="00861D26">
      <w:pPr>
        <w:numPr>
          <w:ilvl w:val="0"/>
          <w:numId w:val="3"/>
        </w:numPr>
      </w:pPr>
      <w:r w:rsidRPr="00861D26">
        <w:rPr>
          <w:b/>
          <w:bCs/>
        </w:rPr>
        <w:t>“Projects &amp; Reviews”</w:t>
      </w:r>
      <w:r w:rsidRPr="00861D26">
        <w:t> – including due diligence, accreditation, and organizational reviews.</w:t>
      </w:r>
    </w:p>
    <w:p w14:paraId="3B91272E" w14:textId="77777777" w:rsidR="00861D26" w:rsidRPr="00861D26" w:rsidRDefault="00861D26" w:rsidP="00861D26">
      <w:pPr>
        <w:numPr>
          <w:ilvl w:val="0"/>
          <w:numId w:val="3"/>
        </w:numPr>
      </w:pPr>
      <w:r w:rsidRPr="00861D26">
        <w:t>Possibly a section for </w:t>
      </w:r>
      <w:r w:rsidRPr="00861D26">
        <w:rPr>
          <w:b/>
          <w:bCs/>
        </w:rPr>
        <w:t>“Speaking &amp; Thought Leadership”</w:t>
      </w:r>
      <w:r w:rsidRPr="00861D26">
        <w:t> or </w:t>
      </w:r>
      <w:r w:rsidRPr="00861D26">
        <w:rPr>
          <w:b/>
          <w:bCs/>
        </w:rPr>
        <w:t>“Training”</w:t>
      </w:r>
      <w:r w:rsidRPr="00861D26">
        <w:t> if applicable (though not strongly evidenced).</w:t>
      </w:r>
      <w:r w:rsidRPr="00861D26">
        <w:br/>
        <w:t>Each section should align with real evidence (e.g. mention “Univ. research strategy” or “accreditation review”) to avoid overclaim. Tone should be professional/expert, emphasizing data-driven and academic grounding.</w:t>
      </w:r>
    </w:p>
    <w:p w14:paraId="4A98F40A" w14:textId="77777777" w:rsidR="00861D26" w:rsidRPr="00861D26" w:rsidRDefault="00861D26" w:rsidP="00861D26">
      <w:pPr>
        <w:rPr>
          <w:b/>
          <w:bCs/>
        </w:rPr>
      </w:pPr>
      <w:r w:rsidRPr="00861D26">
        <w:rPr>
          <w:b/>
          <w:bCs/>
        </w:rPr>
        <w:t>Gaps or Uncertainties</w:t>
      </w:r>
    </w:p>
    <w:p w14:paraId="341E7CA4" w14:textId="77777777" w:rsidR="00861D26" w:rsidRPr="00861D26" w:rsidRDefault="00861D26" w:rsidP="00861D26">
      <w:pPr>
        <w:rPr>
          <w:b/>
          <w:bCs/>
        </w:rPr>
      </w:pPr>
      <w:r w:rsidRPr="00861D26">
        <w:rPr>
          <w:b/>
          <w:bCs/>
        </w:rPr>
        <w:t>Appendices</w:t>
      </w:r>
    </w:p>
    <w:p w14:paraId="10A06A36" w14:textId="77777777" w:rsidR="00861D26" w:rsidRPr="00861D26" w:rsidRDefault="00861D26" w:rsidP="00861D26">
      <w:r w:rsidRPr="00861D26">
        <w:rPr>
          <w:b/>
          <w:bCs/>
        </w:rPr>
        <w:t>Recent Engagement Timeline (selected):</w:t>
      </w:r>
    </w:p>
    <w:p w14:paraId="751749CB" w14:textId="77777777" w:rsidR="00861D26" w:rsidRPr="00861D26" w:rsidRDefault="00861D26" w:rsidP="00861D26">
      <w:r w:rsidRPr="00861D26">
        <w:t xml:space="preserve">2007Deputy VC(Research),Swinburne </w:t>
      </w:r>
      <w:proofErr w:type="spellStart"/>
      <w:r w:rsidRPr="00861D26">
        <w:t>Universitybegins</w:t>
      </w:r>
      <w:proofErr w:type="spellEnd"/>
      <w:r w:rsidRPr="00861D26">
        <w:rPr>
          <w:rFonts w:ascii="MS Gothic" w:eastAsia="MS Gothic" w:hAnsi="MS Gothic" w:cs="MS Gothic" w:hint="eastAsia"/>
        </w:rPr>
        <w:t>【</w:t>
      </w:r>
      <w:r w:rsidRPr="00861D26">
        <w:t>18†L219-L226</w:t>
      </w:r>
      <w:r w:rsidRPr="00861D26">
        <w:rPr>
          <w:rFonts w:ascii="MS Gothic" w:eastAsia="MS Gothic" w:hAnsi="MS Gothic" w:cs="MS Gothic" w:hint="eastAsia"/>
        </w:rPr>
        <w:t>】</w:t>
      </w:r>
      <w:r w:rsidRPr="00861D26">
        <w:t xml:space="preserve">2011ActingVice-Chancellor (9mo) </w:t>
      </w:r>
      <w:proofErr w:type="spellStart"/>
      <w:r w:rsidRPr="00861D26">
        <w:t>atSwinburne</w:t>
      </w:r>
      <w:proofErr w:type="spellEnd"/>
      <w:r w:rsidRPr="00861D26">
        <w:rPr>
          <w:rFonts w:ascii="MS Gothic" w:eastAsia="MS Gothic" w:hAnsi="MS Gothic" w:cs="MS Gothic" w:hint="eastAsia"/>
        </w:rPr>
        <w:t>【</w:t>
      </w:r>
      <w:r w:rsidRPr="00861D26">
        <w:t>18†L219-L226</w:t>
      </w:r>
      <w:r w:rsidRPr="00861D26">
        <w:rPr>
          <w:rFonts w:ascii="MS Gothic" w:eastAsia="MS Gothic" w:hAnsi="MS Gothic" w:cs="MS Gothic" w:hint="eastAsia"/>
        </w:rPr>
        <w:t>】</w:t>
      </w:r>
      <w:r w:rsidRPr="00861D26">
        <w:t xml:space="preserve">2012Launches </w:t>
      </w:r>
      <w:proofErr w:type="spellStart"/>
      <w:r w:rsidRPr="00861D26">
        <w:lastRenderedPageBreak/>
        <w:t>iMORSEconsultancy</w:t>
      </w:r>
      <w:proofErr w:type="spellEnd"/>
      <w:r w:rsidRPr="00861D26">
        <w:rPr>
          <w:rFonts w:ascii="MS Gothic" w:eastAsia="MS Gothic" w:hAnsi="MS Gothic" w:cs="MS Gothic" w:hint="eastAsia"/>
        </w:rPr>
        <w:t>【</w:t>
      </w:r>
      <w:r w:rsidRPr="00861D26">
        <w:t>2†L213-L220</w:t>
      </w:r>
      <w:r w:rsidRPr="00861D26">
        <w:rPr>
          <w:rFonts w:ascii="MS Gothic" w:eastAsia="MS Gothic" w:hAnsi="MS Gothic" w:cs="MS Gothic" w:hint="eastAsia"/>
        </w:rPr>
        <w:t>】</w:t>
      </w:r>
      <w:r w:rsidRPr="00861D26">
        <w:t xml:space="preserve">;Adjunct roles </w:t>
      </w:r>
      <w:proofErr w:type="spellStart"/>
      <w:r w:rsidRPr="00861D26">
        <w:t>atMelbourne</w:t>
      </w:r>
      <w:proofErr w:type="spellEnd"/>
      <w:r w:rsidRPr="00861D26">
        <w:t xml:space="preserve"> </w:t>
      </w:r>
      <w:proofErr w:type="spellStart"/>
      <w:r w:rsidRPr="00861D26">
        <w:t>Univ.begin</w:t>
      </w:r>
      <w:proofErr w:type="spellEnd"/>
      <w:r w:rsidRPr="00861D26">
        <w:rPr>
          <w:rFonts w:ascii="MS Gothic" w:eastAsia="MS Gothic" w:hAnsi="MS Gothic" w:cs="MS Gothic" w:hint="eastAsia"/>
        </w:rPr>
        <w:t>【</w:t>
      </w:r>
      <w:r w:rsidRPr="00861D26">
        <w:t>18†L219-L226</w:t>
      </w:r>
      <w:r w:rsidRPr="00861D26">
        <w:rPr>
          <w:rFonts w:ascii="MS Gothic" w:eastAsia="MS Gothic" w:hAnsi="MS Gothic" w:cs="MS Gothic" w:hint="eastAsia"/>
        </w:rPr>
        <w:t>】</w:t>
      </w:r>
      <w:r w:rsidRPr="00861D26">
        <w:t xml:space="preserve">2012Honorary </w:t>
      </w:r>
      <w:proofErr w:type="spellStart"/>
      <w:r w:rsidRPr="00861D26">
        <w:t>Professor,Florey</w:t>
      </w:r>
      <w:proofErr w:type="spellEnd"/>
      <w:r w:rsidRPr="00861D26">
        <w:t xml:space="preserve"> Institute(Melbourne)</w:t>
      </w:r>
      <w:r w:rsidRPr="00861D26">
        <w:rPr>
          <w:rFonts w:ascii="MS Gothic" w:eastAsia="MS Gothic" w:hAnsi="MS Gothic" w:cs="MS Gothic" w:hint="eastAsia"/>
        </w:rPr>
        <w:t>【</w:t>
      </w:r>
      <w:r w:rsidRPr="00861D26">
        <w:t>33†L99-L107</w:t>
      </w:r>
      <w:r w:rsidRPr="00861D26">
        <w:rPr>
          <w:rFonts w:ascii="MS Gothic" w:eastAsia="MS Gothic" w:hAnsi="MS Gothic" w:cs="MS Gothic" w:hint="eastAsia"/>
        </w:rPr>
        <w:t>】</w:t>
      </w:r>
      <w:r w:rsidRPr="00861D26">
        <w:t xml:space="preserve">2012Adjunct to LH </w:t>
      </w:r>
      <w:proofErr w:type="spellStart"/>
      <w:r w:rsidRPr="00861D26">
        <w:t>MartinInstitute</w:t>
      </w:r>
      <w:proofErr w:type="spellEnd"/>
      <w:r w:rsidRPr="00861D26">
        <w:t>(</w:t>
      </w:r>
      <w:proofErr w:type="spellStart"/>
      <w:r w:rsidRPr="00861D26">
        <w:t>UniMelb</w:t>
      </w:r>
      <w:proofErr w:type="spellEnd"/>
      <w:r w:rsidRPr="00861D26">
        <w:t>)</w:t>
      </w:r>
      <w:r w:rsidRPr="00861D26">
        <w:rPr>
          <w:rFonts w:ascii="MS Gothic" w:eastAsia="MS Gothic" w:hAnsi="MS Gothic" w:cs="MS Gothic" w:hint="eastAsia"/>
        </w:rPr>
        <w:t>【</w:t>
      </w:r>
      <w:r w:rsidRPr="00861D26">
        <w:t>33†L99-L107</w:t>
      </w:r>
      <w:r w:rsidRPr="00861D26">
        <w:rPr>
          <w:rFonts w:ascii="MS Gothic" w:eastAsia="MS Gothic" w:hAnsi="MS Gothic" w:cs="MS Gothic" w:hint="eastAsia"/>
        </w:rPr>
        <w:t>】</w:t>
      </w:r>
      <w:r w:rsidRPr="00861D26">
        <w:t xml:space="preserve">2020Honorary </w:t>
      </w:r>
      <w:proofErr w:type="spellStart"/>
      <w:r w:rsidRPr="00861D26">
        <w:t>Professor,TorrensUniversity</w:t>
      </w:r>
      <w:proofErr w:type="spellEnd"/>
      <w:r w:rsidRPr="00861D26">
        <w:rPr>
          <w:rFonts w:ascii="MS Gothic" w:eastAsia="MS Gothic" w:hAnsi="MS Gothic" w:cs="MS Gothic" w:hint="eastAsia"/>
        </w:rPr>
        <w:t>【</w:t>
      </w:r>
      <w:r w:rsidRPr="00861D26">
        <w:t>2†L213-L220</w:t>
      </w:r>
      <w:r w:rsidRPr="00861D26">
        <w:rPr>
          <w:rFonts w:ascii="MS Gothic" w:eastAsia="MS Gothic" w:hAnsi="MS Gothic" w:cs="MS Gothic" w:hint="eastAsia"/>
        </w:rPr>
        <w:t>】</w:t>
      </w:r>
      <w:r w:rsidRPr="00861D26">
        <w:t xml:space="preserve">2020Partners with </w:t>
      </w:r>
      <w:proofErr w:type="spellStart"/>
      <w:r w:rsidRPr="00861D26">
        <w:t>WellsAdvisory</w:t>
      </w:r>
      <w:proofErr w:type="spellEnd"/>
      <w:r w:rsidRPr="00861D26">
        <w:t xml:space="preserve"> on </w:t>
      </w:r>
      <w:proofErr w:type="spellStart"/>
      <w:r w:rsidRPr="00861D26">
        <w:t>HEstrategy</w:t>
      </w:r>
      <w:proofErr w:type="spellEnd"/>
      <w:r w:rsidRPr="00861D26">
        <w:rPr>
          <w:rFonts w:ascii="MS Gothic" w:eastAsia="MS Gothic" w:hAnsi="MS Gothic" w:cs="MS Gothic" w:hint="eastAsia"/>
        </w:rPr>
        <w:t>【</w:t>
      </w:r>
      <w:r w:rsidRPr="00861D26">
        <w:t>2†L213-L220</w:t>
      </w:r>
      <w:r w:rsidRPr="00861D26">
        <w:rPr>
          <w:rFonts w:ascii="MS Gothic" w:eastAsia="MS Gothic" w:hAnsi="MS Gothic" w:cs="MS Gothic" w:hint="eastAsia"/>
        </w:rPr>
        <w:t>】</w:t>
      </w:r>
      <w:r w:rsidRPr="00861D26">
        <w:t xml:space="preserve">Oct 2022Joins IKON </w:t>
      </w:r>
      <w:proofErr w:type="spellStart"/>
      <w:r w:rsidRPr="00861D26">
        <w:t>andothers</w:t>
      </w:r>
      <w:proofErr w:type="spellEnd"/>
      <w:r w:rsidRPr="00861D26">
        <w:t xml:space="preserve"> as </w:t>
      </w:r>
      <w:proofErr w:type="spellStart"/>
      <w:r w:rsidRPr="00861D26">
        <w:t>AcademicBoard</w:t>
      </w:r>
      <w:proofErr w:type="spellEnd"/>
      <w:r w:rsidRPr="00861D26">
        <w:t xml:space="preserve"> Chair (</w:t>
      </w:r>
      <w:proofErr w:type="spellStart"/>
      <w:r w:rsidRPr="00861D26">
        <w:t>pergovernancedocs</w:t>
      </w:r>
      <w:proofErr w:type="spellEnd"/>
      <w:r w:rsidRPr="00861D26">
        <w:t>)</w:t>
      </w:r>
      <w:r w:rsidRPr="00861D26">
        <w:rPr>
          <w:rFonts w:ascii="MS Gothic" w:eastAsia="MS Gothic" w:hAnsi="MS Gothic" w:cs="MS Gothic" w:hint="eastAsia"/>
        </w:rPr>
        <w:t>【</w:t>
      </w:r>
      <w:r w:rsidRPr="00861D26">
        <w:t>7†L1443-L1451</w:t>
      </w:r>
      <w:r w:rsidRPr="00861D26">
        <w:rPr>
          <w:rFonts w:ascii="MS Gothic" w:eastAsia="MS Gothic" w:hAnsi="MS Gothic" w:cs="MS Gothic" w:hint="eastAsia"/>
        </w:rPr>
        <w:t>】</w:t>
      </w:r>
      <w:r w:rsidRPr="00861D26">
        <w:t xml:space="preserve">Feb 2023Appointed </w:t>
      </w:r>
      <w:proofErr w:type="spellStart"/>
      <w:r w:rsidRPr="00861D26">
        <w:t>Chair,Analytics</w:t>
      </w:r>
      <w:proofErr w:type="spellEnd"/>
      <w:r w:rsidRPr="00861D26">
        <w:t xml:space="preserve"> Institute </w:t>
      </w:r>
      <w:proofErr w:type="spellStart"/>
      <w:r w:rsidRPr="00861D26">
        <w:t>ofAustralia</w:t>
      </w:r>
      <w:proofErr w:type="spellEnd"/>
      <w:r w:rsidRPr="00861D26">
        <w:rPr>
          <w:rFonts w:ascii="MS Gothic" w:eastAsia="MS Gothic" w:hAnsi="MS Gothic" w:cs="MS Gothic" w:hint="eastAsia"/>
        </w:rPr>
        <w:t>【</w:t>
      </w:r>
      <w:r w:rsidRPr="00861D26">
        <w:t>39†L142-L149</w:t>
      </w:r>
      <w:r w:rsidRPr="00861D26">
        <w:rPr>
          <w:rFonts w:ascii="MS Gothic" w:eastAsia="MS Gothic" w:hAnsi="MS Gothic" w:cs="MS Gothic" w:hint="eastAsia"/>
        </w:rPr>
        <w:t>】</w:t>
      </w:r>
      <w:r w:rsidRPr="00861D26">
        <w:t xml:space="preserve">Mar 2026Consultation </w:t>
      </w:r>
      <w:proofErr w:type="spellStart"/>
      <w:r w:rsidRPr="00861D26">
        <w:t>withBCG</w:t>
      </w:r>
      <w:proofErr w:type="spellEnd"/>
      <w:r w:rsidRPr="00861D26">
        <w:t xml:space="preserve"> (</w:t>
      </w:r>
      <w:proofErr w:type="spellStart"/>
      <w:r w:rsidRPr="00861D26">
        <w:t>emailconfirm</w:t>
      </w:r>
      <w:proofErr w:type="spellEnd"/>
      <w:r w:rsidRPr="00861D26">
        <w:t>)</w:t>
      </w:r>
      <w:r w:rsidRPr="00861D26">
        <w:rPr>
          <w:rFonts w:ascii="MS Gothic" w:eastAsia="MS Gothic" w:hAnsi="MS Gothic" w:cs="MS Gothic" w:hint="eastAsia"/>
        </w:rPr>
        <w:t>【</w:t>
      </w:r>
      <w:r w:rsidRPr="00861D26">
        <w:t>2†L213-L220</w:t>
      </w:r>
      <w:r w:rsidRPr="00861D26">
        <w:rPr>
          <w:rFonts w:ascii="MS Gothic" w:eastAsia="MS Gothic" w:hAnsi="MS Gothic" w:cs="MS Gothic" w:hint="eastAsia"/>
        </w:rPr>
        <w:t>】</w:t>
      </w:r>
      <w:r w:rsidRPr="00861D26">
        <w:t>Andrew Flitman – Selected Milestones</w:t>
      </w:r>
    </w:p>
    <w:p w14:paraId="1976E915" w14:textId="77777777" w:rsidR="00861D26" w:rsidRPr="00861D26" w:rsidRDefault="00861D26" w:rsidP="00861D26">
      <w:r w:rsidRPr="00861D26">
        <w:t>Show code</w:t>
      </w:r>
    </w:p>
    <w:p w14:paraId="01D899AF" w14:textId="77777777" w:rsidR="00861D26" w:rsidRPr="00861D26" w:rsidRDefault="00861D26" w:rsidP="00861D26">
      <w:r w:rsidRPr="00861D26">
        <w:rPr>
          <w:b/>
          <w:bCs/>
        </w:rPr>
        <w:t>Key Publications (selection):</w:t>
      </w:r>
      <w:r w:rsidRPr="00861D26">
        <w:br/>
      </w:r>
      <w:r w:rsidRPr="00861D26">
        <w:rPr>
          <w:i/>
          <w:iCs/>
        </w:rPr>
        <w:t>(See CV and Google Scholar for full list; &gt;100 publications including journals/books. Examples:)</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79"/>
        <w:gridCol w:w="1074"/>
        <w:gridCol w:w="4107"/>
      </w:tblGrid>
      <w:tr w:rsidR="00861D26" w:rsidRPr="00861D26" w14:paraId="20582FD5"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6D8C73E3" w14:textId="77777777" w:rsidR="00861D26" w:rsidRPr="00861D26" w:rsidRDefault="00861D26" w:rsidP="00861D26">
            <w:pPr>
              <w:rPr>
                <w:b/>
                <w:bCs/>
              </w:rPr>
            </w:pPr>
            <w:r w:rsidRPr="00861D26">
              <w:rPr>
                <w:b/>
                <w:bCs/>
              </w:rPr>
              <w:t>Title/Topic</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046B6D7" w14:textId="77777777" w:rsidR="00861D26" w:rsidRPr="00861D26" w:rsidRDefault="00861D26" w:rsidP="00861D26">
            <w:pPr>
              <w:rPr>
                <w:b/>
                <w:bCs/>
              </w:rPr>
            </w:pPr>
            <w:r w:rsidRPr="00861D26">
              <w:rPr>
                <w:b/>
                <w:bCs/>
              </w:rPr>
              <w:t>Year</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73E12BBF" w14:textId="77777777" w:rsidR="00861D26" w:rsidRPr="00861D26" w:rsidRDefault="00861D26" w:rsidP="00861D26">
            <w:pPr>
              <w:rPr>
                <w:b/>
                <w:bCs/>
              </w:rPr>
            </w:pPr>
            <w:r w:rsidRPr="00861D26">
              <w:rPr>
                <w:b/>
                <w:bCs/>
              </w:rPr>
              <w:t>Source/Notes</w:t>
            </w:r>
          </w:p>
        </w:tc>
      </w:tr>
      <w:tr w:rsidR="00861D26" w:rsidRPr="00861D26" w14:paraId="3CC6CD6E" w14:textId="77777777">
        <w:tc>
          <w:tcPr>
            <w:tcW w:w="0" w:type="auto"/>
            <w:tcBorders>
              <w:top w:val="single" w:sz="2" w:space="0" w:color="auto"/>
              <w:left w:val="single" w:sz="2" w:space="0" w:color="auto"/>
              <w:bottom w:val="single" w:sz="2" w:space="0" w:color="auto"/>
              <w:right w:val="single" w:sz="2" w:space="0" w:color="auto"/>
            </w:tcBorders>
            <w:hideMark/>
          </w:tcPr>
          <w:p w14:paraId="722FB227" w14:textId="77777777" w:rsidR="00861D26" w:rsidRPr="00861D26" w:rsidRDefault="00861D26" w:rsidP="00861D26">
            <w:r w:rsidRPr="00861D26">
              <w:t>“Value-Focused Business Process Engineering” (co-author)</w:t>
            </w:r>
          </w:p>
        </w:tc>
        <w:tc>
          <w:tcPr>
            <w:tcW w:w="0" w:type="auto"/>
            <w:tcBorders>
              <w:top w:val="single" w:sz="2" w:space="0" w:color="auto"/>
              <w:left w:val="single" w:sz="2" w:space="0" w:color="auto"/>
              <w:bottom w:val="single" w:sz="2" w:space="0" w:color="auto"/>
              <w:right w:val="single" w:sz="2" w:space="0" w:color="auto"/>
            </w:tcBorders>
            <w:hideMark/>
          </w:tcPr>
          <w:p w14:paraId="2AD26FB7" w14:textId="77777777" w:rsidR="00861D26" w:rsidRPr="00861D26" w:rsidRDefault="00861D26" w:rsidP="00861D26">
            <w:r w:rsidRPr="00861D26">
              <w:t>2009</w:t>
            </w:r>
          </w:p>
        </w:tc>
        <w:tc>
          <w:tcPr>
            <w:tcW w:w="0" w:type="auto"/>
            <w:tcBorders>
              <w:top w:val="single" w:sz="2" w:space="0" w:color="auto"/>
              <w:left w:val="single" w:sz="2" w:space="0" w:color="auto"/>
              <w:bottom w:val="single" w:sz="2" w:space="0" w:color="auto"/>
              <w:right w:val="single" w:sz="2" w:space="0" w:color="auto"/>
            </w:tcBorders>
            <w:hideMark/>
          </w:tcPr>
          <w:p w14:paraId="66148889" w14:textId="77777777" w:rsidR="00861D26" w:rsidRPr="00861D26" w:rsidRDefault="00861D26" w:rsidP="00861D26">
            <w:r w:rsidRPr="00861D26">
              <w:t>Springer book (w/Neiger)</w:t>
            </w:r>
          </w:p>
        </w:tc>
      </w:tr>
      <w:tr w:rsidR="00861D26" w:rsidRPr="00861D26" w14:paraId="2D4792E1" w14:textId="77777777">
        <w:tc>
          <w:tcPr>
            <w:tcW w:w="0" w:type="auto"/>
            <w:tcBorders>
              <w:top w:val="single" w:sz="2" w:space="0" w:color="auto"/>
              <w:left w:val="single" w:sz="2" w:space="0" w:color="auto"/>
              <w:bottom w:val="single" w:sz="2" w:space="0" w:color="auto"/>
              <w:right w:val="single" w:sz="2" w:space="0" w:color="auto"/>
            </w:tcBorders>
            <w:hideMark/>
          </w:tcPr>
          <w:p w14:paraId="31C3D0C0" w14:textId="77777777" w:rsidR="00861D26" w:rsidRPr="00861D26" w:rsidRDefault="00861D26" w:rsidP="00861D26">
            <w:r w:rsidRPr="00861D26">
              <w:t>Risk &amp; decision support articles (IFORS Conferences)</w:t>
            </w:r>
          </w:p>
        </w:tc>
        <w:tc>
          <w:tcPr>
            <w:tcW w:w="0" w:type="auto"/>
            <w:tcBorders>
              <w:top w:val="single" w:sz="2" w:space="0" w:color="auto"/>
              <w:left w:val="single" w:sz="2" w:space="0" w:color="auto"/>
              <w:bottom w:val="single" w:sz="2" w:space="0" w:color="auto"/>
              <w:right w:val="single" w:sz="2" w:space="0" w:color="auto"/>
            </w:tcBorders>
            <w:hideMark/>
          </w:tcPr>
          <w:p w14:paraId="402C1CC8" w14:textId="77777777" w:rsidR="00861D26" w:rsidRPr="00861D26" w:rsidRDefault="00861D26" w:rsidP="00861D26">
            <w:r w:rsidRPr="00861D26">
              <w:t>1990s–2000s</w:t>
            </w:r>
          </w:p>
        </w:tc>
        <w:tc>
          <w:tcPr>
            <w:tcW w:w="0" w:type="auto"/>
            <w:tcBorders>
              <w:top w:val="single" w:sz="2" w:space="0" w:color="auto"/>
              <w:left w:val="single" w:sz="2" w:space="0" w:color="auto"/>
              <w:bottom w:val="single" w:sz="2" w:space="0" w:color="auto"/>
              <w:right w:val="single" w:sz="2" w:space="0" w:color="auto"/>
            </w:tcBorders>
            <w:hideMark/>
          </w:tcPr>
          <w:p w14:paraId="775905FC" w14:textId="77777777" w:rsidR="00861D26" w:rsidRPr="00861D26" w:rsidRDefault="00861D26" w:rsidP="00861D26">
            <w:r w:rsidRPr="00861D26">
              <w:t>High volume of OR/conference papers (100+ total).</w:t>
            </w:r>
          </w:p>
        </w:tc>
      </w:tr>
      <w:tr w:rsidR="00861D26" w:rsidRPr="00861D26" w14:paraId="3D8197A1" w14:textId="77777777">
        <w:tc>
          <w:tcPr>
            <w:tcW w:w="0" w:type="auto"/>
            <w:tcBorders>
              <w:top w:val="single" w:sz="2" w:space="0" w:color="auto"/>
              <w:left w:val="single" w:sz="2" w:space="0" w:color="auto"/>
              <w:bottom w:val="single" w:sz="2" w:space="0" w:color="auto"/>
              <w:right w:val="single" w:sz="2" w:space="0" w:color="auto"/>
            </w:tcBorders>
            <w:hideMark/>
          </w:tcPr>
          <w:p w14:paraId="2DDA7ECE" w14:textId="77777777" w:rsidR="00861D26" w:rsidRPr="00861D26" w:rsidRDefault="00861D26" w:rsidP="00861D26">
            <w:r w:rsidRPr="00861D26">
              <w:t xml:space="preserve">Various journal articles on software metrics and project </w:t>
            </w:r>
            <w:proofErr w:type="spellStart"/>
            <w:r w:rsidRPr="00861D26">
              <w:t>modeling</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323F801A" w14:textId="77777777" w:rsidR="00861D26" w:rsidRPr="00861D26" w:rsidRDefault="00861D26" w:rsidP="00861D26">
            <w:r w:rsidRPr="00861D26">
              <w:t>1990s–2000s</w:t>
            </w:r>
          </w:p>
        </w:tc>
        <w:tc>
          <w:tcPr>
            <w:tcW w:w="0" w:type="auto"/>
            <w:tcBorders>
              <w:top w:val="single" w:sz="2" w:space="0" w:color="auto"/>
              <w:left w:val="single" w:sz="2" w:space="0" w:color="auto"/>
              <w:bottom w:val="single" w:sz="2" w:space="0" w:color="auto"/>
              <w:right w:val="single" w:sz="2" w:space="0" w:color="auto"/>
            </w:tcBorders>
            <w:hideMark/>
          </w:tcPr>
          <w:p w14:paraId="49222210" w14:textId="77777777" w:rsidR="00861D26" w:rsidRPr="00861D26" w:rsidRDefault="00861D26" w:rsidP="00861D26">
            <w:r w:rsidRPr="00861D26">
              <w:t>Demonstrate expertise in computing and analytics (refs in CV).</w:t>
            </w:r>
          </w:p>
        </w:tc>
      </w:tr>
    </w:tbl>
    <w:p w14:paraId="2FA2D0D5" w14:textId="77777777" w:rsidR="00861D26" w:rsidRPr="00861D26" w:rsidRDefault="00861D26" w:rsidP="00861D26">
      <w:r w:rsidRPr="00861D26">
        <w:rPr>
          <w:b/>
          <w:bCs/>
        </w:rPr>
        <w:t>Representative Roles &amp; Sources:</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06"/>
        <w:gridCol w:w="5354"/>
      </w:tblGrid>
      <w:tr w:rsidR="00861D26" w:rsidRPr="00861D26" w14:paraId="795E3A12"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143250F3" w14:textId="77777777" w:rsidR="00861D26" w:rsidRPr="00861D26" w:rsidRDefault="00861D26" w:rsidP="00861D26">
            <w:pPr>
              <w:rPr>
                <w:b/>
                <w:bCs/>
              </w:rPr>
            </w:pPr>
            <w:r w:rsidRPr="00861D26">
              <w:rPr>
                <w:b/>
                <w:bCs/>
              </w:rPr>
              <w:t>Role/Activity</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69583E63" w14:textId="77777777" w:rsidR="00861D26" w:rsidRPr="00861D26" w:rsidRDefault="00861D26" w:rsidP="00861D26">
            <w:pPr>
              <w:rPr>
                <w:b/>
                <w:bCs/>
              </w:rPr>
            </w:pPr>
            <w:r w:rsidRPr="00861D26">
              <w:rPr>
                <w:b/>
                <w:bCs/>
              </w:rPr>
              <w:t>Description/Evidence</w:t>
            </w:r>
          </w:p>
        </w:tc>
      </w:tr>
      <w:tr w:rsidR="00861D26" w:rsidRPr="00861D26" w14:paraId="0BD7F40E" w14:textId="77777777">
        <w:tc>
          <w:tcPr>
            <w:tcW w:w="0" w:type="auto"/>
            <w:tcBorders>
              <w:top w:val="single" w:sz="2" w:space="0" w:color="auto"/>
              <w:left w:val="single" w:sz="2" w:space="0" w:color="auto"/>
              <w:bottom w:val="single" w:sz="2" w:space="0" w:color="auto"/>
              <w:right w:val="single" w:sz="2" w:space="0" w:color="auto"/>
            </w:tcBorders>
            <w:hideMark/>
          </w:tcPr>
          <w:p w14:paraId="2EE6CA23" w14:textId="77777777" w:rsidR="00861D26" w:rsidRPr="00861D26" w:rsidRDefault="00861D26" w:rsidP="00861D26">
            <w:r w:rsidRPr="00861D26">
              <w:t>Principal, iMORSE (analytics consultancy)</w:t>
            </w:r>
          </w:p>
        </w:tc>
        <w:tc>
          <w:tcPr>
            <w:tcW w:w="0" w:type="auto"/>
            <w:tcBorders>
              <w:top w:val="single" w:sz="2" w:space="0" w:color="auto"/>
              <w:left w:val="single" w:sz="2" w:space="0" w:color="auto"/>
              <w:bottom w:val="single" w:sz="2" w:space="0" w:color="auto"/>
              <w:right w:val="single" w:sz="2" w:space="0" w:color="auto"/>
            </w:tcBorders>
            <w:hideMark/>
          </w:tcPr>
          <w:p w14:paraId="66E57575" w14:textId="77777777" w:rsidR="00861D26" w:rsidRPr="00861D26" w:rsidRDefault="00861D26" w:rsidP="00861D26">
            <w:r w:rsidRPr="00861D26">
              <w:t>Higher Ed strategy/analytics firm (site principal)</w:t>
            </w:r>
          </w:p>
        </w:tc>
      </w:tr>
      <w:tr w:rsidR="00861D26" w:rsidRPr="00861D26" w14:paraId="1C03498A" w14:textId="77777777">
        <w:tc>
          <w:tcPr>
            <w:tcW w:w="0" w:type="auto"/>
            <w:tcBorders>
              <w:top w:val="single" w:sz="2" w:space="0" w:color="auto"/>
              <w:left w:val="single" w:sz="2" w:space="0" w:color="auto"/>
              <w:bottom w:val="single" w:sz="2" w:space="0" w:color="auto"/>
              <w:right w:val="single" w:sz="2" w:space="0" w:color="auto"/>
            </w:tcBorders>
            <w:hideMark/>
          </w:tcPr>
          <w:p w14:paraId="76BA7BCC" w14:textId="77777777" w:rsidR="00861D26" w:rsidRPr="00861D26" w:rsidRDefault="00861D26" w:rsidP="00861D26">
            <w:r w:rsidRPr="00861D26">
              <w:t>Chair, Academic Board, Torrens University</w:t>
            </w:r>
          </w:p>
        </w:tc>
        <w:tc>
          <w:tcPr>
            <w:tcW w:w="0" w:type="auto"/>
            <w:tcBorders>
              <w:top w:val="single" w:sz="2" w:space="0" w:color="auto"/>
              <w:left w:val="single" w:sz="2" w:space="0" w:color="auto"/>
              <w:bottom w:val="single" w:sz="2" w:space="0" w:color="auto"/>
              <w:right w:val="single" w:sz="2" w:space="0" w:color="auto"/>
            </w:tcBorders>
            <w:hideMark/>
          </w:tcPr>
          <w:p w14:paraId="6B2C4295" w14:textId="77777777" w:rsidR="00861D26" w:rsidRPr="00861D26" w:rsidRDefault="00861D26" w:rsidP="00861D26">
            <w:r w:rsidRPr="00861D26">
              <w:t>Key governance role (Academic Board Chair)</w:t>
            </w:r>
          </w:p>
        </w:tc>
      </w:tr>
      <w:tr w:rsidR="00861D26" w:rsidRPr="00861D26" w14:paraId="1EB1882D" w14:textId="77777777">
        <w:tc>
          <w:tcPr>
            <w:tcW w:w="0" w:type="auto"/>
            <w:tcBorders>
              <w:top w:val="single" w:sz="2" w:space="0" w:color="auto"/>
              <w:left w:val="single" w:sz="2" w:space="0" w:color="auto"/>
              <w:bottom w:val="single" w:sz="2" w:space="0" w:color="auto"/>
              <w:right w:val="single" w:sz="2" w:space="0" w:color="auto"/>
            </w:tcBorders>
            <w:hideMark/>
          </w:tcPr>
          <w:p w14:paraId="4528ECE7" w14:textId="77777777" w:rsidR="00861D26" w:rsidRPr="00861D26" w:rsidRDefault="00861D26" w:rsidP="00861D26">
            <w:r w:rsidRPr="00861D26">
              <w:t>Chair, Board of Analytics Institute of Aust.</w:t>
            </w:r>
          </w:p>
        </w:tc>
        <w:tc>
          <w:tcPr>
            <w:tcW w:w="0" w:type="auto"/>
            <w:tcBorders>
              <w:top w:val="single" w:sz="2" w:space="0" w:color="auto"/>
              <w:left w:val="single" w:sz="2" w:space="0" w:color="auto"/>
              <w:bottom w:val="single" w:sz="2" w:space="0" w:color="auto"/>
              <w:right w:val="single" w:sz="2" w:space="0" w:color="auto"/>
            </w:tcBorders>
            <w:hideMark/>
          </w:tcPr>
          <w:p w14:paraId="4E15357B" w14:textId="77777777" w:rsidR="00861D26" w:rsidRPr="00861D26" w:rsidRDefault="00861D26" w:rsidP="00861D26">
            <w:r w:rsidRPr="00861D26">
              <w:t>National board chair (AIA governance page)</w:t>
            </w:r>
          </w:p>
        </w:tc>
      </w:tr>
      <w:tr w:rsidR="00861D26" w:rsidRPr="00861D26" w14:paraId="0929F792" w14:textId="77777777">
        <w:tc>
          <w:tcPr>
            <w:tcW w:w="0" w:type="auto"/>
            <w:tcBorders>
              <w:top w:val="single" w:sz="2" w:space="0" w:color="auto"/>
              <w:left w:val="single" w:sz="2" w:space="0" w:color="auto"/>
              <w:bottom w:val="single" w:sz="2" w:space="0" w:color="auto"/>
              <w:right w:val="single" w:sz="2" w:space="0" w:color="auto"/>
            </w:tcBorders>
            <w:hideMark/>
          </w:tcPr>
          <w:p w14:paraId="1BC1EDAF" w14:textId="77777777" w:rsidR="00861D26" w:rsidRPr="00861D26" w:rsidRDefault="00861D26" w:rsidP="00861D26">
            <w:r w:rsidRPr="00861D26">
              <w:t>DVC (Research), Swinburne University</w:t>
            </w:r>
          </w:p>
        </w:tc>
        <w:tc>
          <w:tcPr>
            <w:tcW w:w="0" w:type="auto"/>
            <w:tcBorders>
              <w:top w:val="single" w:sz="2" w:space="0" w:color="auto"/>
              <w:left w:val="single" w:sz="2" w:space="0" w:color="auto"/>
              <w:bottom w:val="single" w:sz="2" w:space="0" w:color="auto"/>
              <w:right w:val="single" w:sz="2" w:space="0" w:color="auto"/>
            </w:tcBorders>
            <w:hideMark/>
          </w:tcPr>
          <w:p w14:paraId="79C8030D" w14:textId="77777777" w:rsidR="00861D26" w:rsidRPr="00861D26" w:rsidRDefault="00861D26" w:rsidP="00861D26">
            <w:r w:rsidRPr="00861D26">
              <w:t>Senior research leadership</w:t>
            </w:r>
          </w:p>
        </w:tc>
      </w:tr>
      <w:tr w:rsidR="00861D26" w:rsidRPr="00861D26" w14:paraId="5A9BA755" w14:textId="77777777">
        <w:tc>
          <w:tcPr>
            <w:tcW w:w="0" w:type="auto"/>
            <w:tcBorders>
              <w:top w:val="single" w:sz="2" w:space="0" w:color="auto"/>
              <w:left w:val="single" w:sz="2" w:space="0" w:color="auto"/>
              <w:bottom w:val="single" w:sz="2" w:space="0" w:color="auto"/>
              <w:right w:val="single" w:sz="2" w:space="0" w:color="auto"/>
            </w:tcBorders>
            <w:hideMark/>
          </w:tcPr>
          <w:p w14:paraId="2A0B5A9B" w14:textId="77777777" w:rsidR="00861D26" w:rsidRPr="00861D26" w:rsidRDefault="00861D26" w:rsidP="00861D26">
            <w:r w:rsidRPr="00861D26">
              <w:t>Subject Matter Expert, PwC (Higher Ed)</w:t>
            </w:r>
          </w:p>
        </w:tc>
        <w:tc>
          <w:tcPr>
            <w:tcW w:w="0" w:type="auto"/>
            <w:tcBorders>
              <w:top w:val="single" w:sz="2" w:space="0" w:color="auto"/>
              <w:left w:val="single" w:sz="2" w:space="0" w:color="auto"/>
              <w:bottom w:val="single" w:sz="2" w:space="0" w:color="auto"/>
              <w:right w:val="single" w:sz="2" w:space="0" w:color="auto"/>
            </w:tcBorders>
            <w:hideMark/>
          </w:tcPr>
          <w:p w14:paraId="109FB97D" w14:textId="77777777" w:rsidR="00861D26" w:rsidRPr="00861D26" w:rsidRDefault="00861D26" w:rsidP="00861D26">
            <w:r w:rsidRPr="00861D26">
              <w:t>Ongoing advisor role</w:t>
            </w:r>
          </w:p>
        </w:tc>
      </w:tr>
      <w:tr w:rsidR="00861D26" w:rsidRPr="00861D26" w14:paraId="0310305D" w14:textId="77777777">
        <w:tc>
          <w:tcPr>
            <w:tcW w:w="0" w:type="auto"/>
            <w:tcBorders>
              <w:top w:val="single" w:sz="2" w:space="0" w:color="auto"/>
              <w:left w:val="single" w:sz="2" w:space="0" w:color="auto"/>
              <w:bottom w:val="single" w:sz="2" w:space="0" w:color="auto"/>
              <w:right w:val="single" w:sz="2" w:space="0" w:color="auto"/>
            </w:tcBorders>
            <w:hideMark/>
          </w:tcPr>
          <w:p w14:paraId="206F4731" w14:textId="77777777" w:rsidR="00861D26" w:rsidRPr="00861D26" w:rsidRDefault="00861D26" w:rsidP="00861D26">
            <w:r w:rsidRPr="00861D26">
              <w:t>Advisor, Wells Advisory (Minter Ellison)</w:t>
            </w:r>
          </w:p>
        </w:tc>
        <w:tc>
          <w:tcPr>
            <w:tcW w:w="0" w:type="auto"/>
            <w:tcBorders>
              <w:top w:val="single" w:sz="2" w:space="0" w:color="auto"/>
              <w:left w:val="single" w:sz="2" w:space="0" w:color="auto"/>
              <w:bottom w:val="single" w:sz="2" w:space="0" w:color="auto"/>
              <w:right w:val="single" w:sz="2" w:space="0" w:color="auto"/>
            </w:tcBorders>
            <w:hideMark/>
          </w:tcPr>
          <w:p w14:paraId="680AD813" w14:textId="77777777" w:rsidR="00861D26" w:rsidRPr="00861D26" w:rsidRDefault="00861D26" w:rsidP="00861D26">
            <w:r w:rsidRPr="00861D26">
              <w:t>Strategic education projects</w:t>
            </w:r>
          </w:p>
        </w:tc>
      </w:tr>
      <w:tr w:rsidR="00861D26" w:rsidRPr="00861D26" w14:paraId="3B700EA2" w14:textId="77777777">
        <w:tc>
          <w:tcPr>
            <w:tcW w:w="0" w:type="auto"/>
            <w:tcBorders>
              <w:top w:val="single" w:sz="2" w:space="0" w:color="auto"/>
              <w:left w:val="single" w:sz="2" w:space="0" w:color="auto"/>
              <w:bottom w:val="single" w:sz="2" w:space="0" w:color="auto"/>
              <w:right w:val="single" w:sz="2" w:space="0" w:color="auto"/>
            </w:tcBorders>
            <w:hideMark/>
          </w:tcPr>
          <w:p w14:paraId="1D0B36CA" w14:textId="77777777" w:rsidR="00861D26" w:rsidRPr="00861D26" w:rsidRDefault="00861D26" w:rsidP="00861D26">
            <w:r w:rsidRPr="00861D26">
              <w:lastRenderedPageBreak/>
              <w:t>Publications &amp; Grants</w:t>
            </w:r>
          </w:p>
        </w:tc>
        <w:tc>
          <w:tcPr>
            <w:tcW w:w="0" w:type="auto"/>
            <w:tcBorders>
              <w:top w:val="single" w:sz="2" w:space="0" w:color="auto"/>
              <w:left w:val="single" w:sz="2" w:space="0" w:color="auto"/>
              <w:bottom w:val="single" w:sz="2" w:space="0" w:color="auto"/>
              <w:right w:val="single" w:sz="2" w:space="0" w:color="auto"/>
            </w:tcBorders>
            <w:hideMark/>
          </w:tcPr>
          <w:p w14:paraId="5241A552" w14:textId="77777777" w:rsidR="00861D26" w:rsidRPr="00861D26" w:rsidRDefault="00861D26" w:rsidP="00861D26">
            <w:r w:rsidRPr="00861D26">
              <w:t>100+ papers, OR Society Fellowship; ~$5M funding (CV)</w:t>
            </w:r>
          </w:p>
        </w:tc>
      </w:tr>
    </w:tbl>
    <w:p w14:paraId="54EE4081" w14:textId="77777777" w:rsidR="00861D26" w:rsidRPr="00861D26" w:rsidRDefault="00861D26" w:rsidP="00861D26">
      <w:r w:rsidRPr="00861D26">
        <w:t>All referenced sources are official organizational pages or publications (see citations), except the CV/email which are internal inputs. Confidence levels: [High] = strong direct evidence; [Medium] = supported inference; [Low] = weak or no direct evidence.</w:t>
      </w:r>
    </w:p>
    <w:p w14:paraId="1530CFB9" w14:textId="77777777" w:rsidR="00EC3BA9" w:rsidRDefault="00EC3BA9"/>
    <w:sectPr w:rsidR="00EC3B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E1646"/>
    <w:multiLevelType w:val="multilevel"/>
    <w:tmpl w:val="70249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C37DB5"/>
    <w:multiLevelType w:val="multilevel"/>
    <w:tmpl w:val="9C9A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D3C6A2D"/>
    <w:multiLevelType w:val="multilevel"/>
    <w:tmpl w:val="F990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921279F"/>
    <w:multiLevelType w:val="multilevel"/>
    <w:tmpl w:val="5C54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9031276">
    <w:abstractNumId w:val="3"/>
  </w:num>
  <w:num w:numId="2" w16cid:durableId="55009705">
    <w:abstractNumId w:val="0"/>
  </w:num>
  <w:num w:numId="3" w16cid:durableId="1642494523">
    <w:abstractNumId w:val="1"/>
  </w:num>
  <w:num w:numId="4" w16cid:durableId="204298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D26"/>
    <w:rsid w:val="000F1092"/>
    <w:rsid w:val="00861D26"/>
    <w:rsid w:val="00D62790"/>
    <w:rsid w:val="00EC3BA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47272"/>
  <w15:chartTrackingRefBased/>
  <w15:docId w15:val="{865D0B7E-51F0-458F-81F3-173452022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D26"/>
    <w:rPr>
      <w:rFonts w:eastAsiaTheme="majorEastAsia" w:cstheme="majorBidi"/>
      <w:color w:val="272727" w:themeColor="text1" w:themeTint="D8"/>
    </w:rPr>
  </w:style>
  <w:style w:type="paragraph" w:styleId="Title">
    <w:name w:val="Title"/>
    <w:basedOn w:val="Normal"/>
    <w:next w:val="Normal"/>
    <w:link w:val="TitleChar"/>
    <w:uiPriority w:val="10"/>
    <w:qFormat/>
    <w:rsid w:val="00861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D26"/>
    <w:pPr>
      <w:spacing w:before="160"/>
      <w:jc w:val="center"/>
    </w:pPr>
    <w:rPr>
      <w:i/>
      <w:iCs/>
      <w:color w:val="404040" w:themeColor="text1" w:themeTint="BF"/>
    </w:rPr>
  </w:style>
  <w:style w:type="character" w:customStyle="1" w:styleId="QuoteChar">
    <w:name w:val="Quote Char"/>
    <w:basedOn w:val="DefaultParagraphFont"/>
    <w:link w:val="Quote"/>
    <w:uiPriority w:val="29"/>
    <w:rsid w:val="00861D26"/>
    <w:rPr>
      <w:i/>
      <w:iCs/>
      <w:color w:val="404040" w:themeColor="text1" w:themeTint="BF"/>
    </w:rPr>
  </w:style>
  <w:style w:type="paragraph" w:styleId="ListParagraph">
    <w:name w:val="List Paragraph"/>
    <w:basedOn w:val="Normal"/>
    <w:uiPriority w:val="34"/>
    <w:qFormat/>
    <w:rsid w:val="00861D26"/>
    <w:pPr>
      <w:ind w:left="720"/>
      <w:contextualSpacing/>
    </w:pPr>
  </w:style>
  <w:style w:type="character" w:styleId="IntenseEmphasis">
    <w:name w:val="Intense Emphasis"/>
    <w:basedOn w:val="DefaultParagraphFont"/>
    <w:uiPriority w:val="21"/>
    <w:qFormat/>
    <w:rsid w:val="00861D26"/>
    <w:rPr>
      <w:i/>
      <w:iCs/>
      <w:color w:val="0F4761" w:themeColor="accent1" w:themeShade="BF"/>
    </w:rPr>
  </w:style>
  <w:style w:type="paragraph" w:styleId="IntenseQuote">
    <w:name w:val="Intense Quote"/>
    <w:basedOn w:val="Normal"/>
    <w:next w:val="Normal"/>
    <w:link w:val="IntenseQuoteChar"/>
    <w:uiPriority w:val="30"/>
    <w:qFormat/>
    <w:rsid w:val="00861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D26"/>
    <w:rPr>
      <w:i/>
      <w:iCs/>
      <w:color w:val="0F4761" w:themeColor="accent1" w:themeShade="BF"/>
    </w:rPr>
  </w:style>
  <w:style w:type="character" w:styleId="IntenseReference">
    <w:name w:val="Intense Reference"/>
    <w:basedOn w:val="DefaultParagraphFont"/>
    <w:uiPriority w:val="32"/>
    <w:qFormat/>
    <w:rsid w:val="00861D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1504</Words>
  <Characters>9903</Characters>
  <Application>Microsoft Office Word</Application>
  <DocSecurity>0</DocSecurity>
  <Lines>198</Lines>
  <Paragraphs>84</Paragraphs>
  <ScaleCrop>false</ScaleCrop>
  <Company/>
  <LinksUpToDate>false</LinksUpToDate>
  <CharactersWithSpaces>11323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Flitman</dc:creator>
  <cp:keywords/>
  <dc:description/>
  <cp:lastModifiedBy>Andrew Flitman</cp:lastModifiedBy>
  <cp:revision>1</cp:revision>
  <dcterms:created xsi:type="dcterms:W3CDTF">2026-04-22T23:06:00Z</dcterms:created>
  <dcterms:modified xsi:type="dcterms:W3CDTF">2026-04-22T23:10:00Z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50783314-cab1-412b-bb57-ce7fce0a3567</vt:lpwstr>
  </property>
</Properties>
</file>