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CF18" w14:textId="77777777" w:rsidR="009B6A78" w:rsidRPr="009B6A78" w:rsidRDefault="009B6A78" w:rsidP="009B6A78">
      <w:pPr>
        <w:rPr>
          <w:b/>
          <w:bCs/>
        </w:rPr>
      </w:pPr>
      <w:r w:rsidRPr="009B6A78">
        <w:rPr>
          <w:b/>
          <w:bCs/>
        </w:rPr>
        <w:t>Executive Summary</w:t>
      </w:r>
    </w:p>
    <w:p w14:paraId="2359B60B" w14:textId="77777777" w:rsidR="009B6A78" w:rsidRPr="009B6A78" w:rsidRDefault="009B6A78" w:rsidP="009B6A78">
      <w:r w:rsidRPr="009B6A78">
        <w:t>Andrew Flitman is an experienced higher-education leader and analytics consultant. He is the founder/principal of iMORSE, a Melbourne-based </w:t>
      </w:r>
      <w:r w:rsidRPr="009B6A78">
        <w:rPr>
          <w:b/>
          <w:bCs/>
        </w:rPr>
        <w:t>higher education and analytics consultancy</w:t>
      </w:r>
      <w:r w:rsidRPr="009B6A78">
        <w:t>. He has held senior academic posts (e.g. Deputy Vice-Chancellor, Research at Swinburne 2007–12) and high-level consulting roles (management consultant at Deloitte and PwC). His recent portfolio spans university governance, strategy and performance (multiple Board and Academic Board roles at Torrens University, LCI Melbourne, ACAP University College, VIT, etc.) and advanced data/analytics projects (Chair of the Analytics Institute of Australia, analytics consultancy). In summary, Andrew’s profile suggests iMORSE is positioned to offer </w:t>
      </w:r>
      <w:r w:rsidRPr="009B6A78">
        <w:rPr>
          <w:b/>
          <w:bCs/>
        </w:rPr>
        <w:t>strategic advisory and consulting services in higher education, governance, and data analytics</w:t>
      </w:r>
      <w:r w:rsidRPr="009B6A78">
        <w:t>. The company likely emphasizes institutional strategy, data-driven decision support, performance analytics, and compliance. (A very recent engagement via Hyphen Group (Switzerland) indicates international expert consulting, though details are limited by the private email digest.)</w:t>
      </w:r>
    </w:p>
    <w:p w14:paraId="43A9943F" w14:textId="77777777" w:rsidR="009B6A78" w:rsidRPr="009B6A78" w:rsidRDefault="009B6A78" w:rsidP="009B6A78">
      <w:pPr>
        <w:rPr>
          <w:b/>
          <w:bCs/>
        </w:rPr>
      </w:pPr>
      <w:r w:rsidRPr="009B6A78">
        <w:rPr>
          <w:b/>
          <w:bCs/>
        </w:rPr>
        <w:t>Evidence Summary</w:t>
      </w:r>
    </w:p>
    <w:p w14:paraId="5BA8FCF7" w14:textId="77777777" w:rsidR="009B6A78" w:rsidRPr="009B6A78" w:rsidRDefault="009B6A78" w:rsidP="009B6A78">
      <w:pPr>
        <w:numPr>
          <w:ilvl w:val="0"/>
          <w:numId w:val="1"/>
        </w:numPr>
      </w:pPr>
      <w:r w:rsidRPr="009B6A78">
        <w:rPr>
          <w:b/>
          <w:bCs/>
        </w:rPr>
        <w:t>iMORSE Consultancy (Education &amp; Analytics):</w:t>
      </w:r>
      <w:r w:rsidRPr="009B6A78">
        <w:t xml:space="preserve"> Listed as “principal of iMORSE, a higher education and analytics consultancy” (CV). Torrens University and LCI profiles confirm </w:t>
      </w:r>
      <w:proofErr w:type="spellStart"/>
      <w:r w:rsidRPr="009B6A78">
        <w:t>iMORSE’s</w:t>
      </w:r>
      <w:proofErr w:type="spellEnd"/>
      <w:r w:rsidRPr="009B6A78">
        <w:t xml:space="preserve"> focus on analytics and higher-ed clients.</w:t>
      </w:r>
    </w:p>
    <w:p w14:paraId="7CFD85E4" w14:textId="77777777" w:rsidR="009B6A78" w:rsidRPr="009B6A78" w:rsidRDefault="009B6A78" w:rsidP="009B6A78">
      <w:pPr>
        <w:numPr>
          <w:ilvl w:val="0"/>
          <w:numId w:val="1"/>
        </w:numPr>
      </w:pPr>
      <w:r w:rsidRPr="009B6A78">
        <w:rPr>
          <w:b/>
          <w:bCs/>
        </w:rPr>
        <w:t>Higher-Ed Leadership:</w:t>
      </w:r>
      <w:r w:rsidRPr="009B6A78">
        <w:t> Served as Deputy Vice-Chancellor (Research) at Swinburne Univ (2007–12) (including Acting VC), Dean of Science/Tech at Deakin Univ (2005–07), and Head of School at Monash Univ (2000–05). These leadership roles (CV/external) show deep experience in university strategy, program management and quality.</w:t>
      </w:r>
    </w:p>
    <w:p w14:paraId="250666D4" w14:textId="77777777" w:rsidR="009B6A78" w:rsidRPr="009B6A78" w:rsidRDefault="009B6A78" w:rsidP="009B6A78">
      <w:pPr>
        <w:numPr>
          <w:ilvl w:val="0"/>
          <w:numId w:val="1"/>
        </w:numPr>
      </w:pPr>
      <w:r w:rsidRPr="009B6A78">
        <w:rPr>
          <w:b/>
          <w:bCs/>
        </w:rPr>
        <w:t>Governance Roles:</w:t>
      </w:r>
      <w:r w:rsidRPr="009B6A78">
        <w:t> Holds numerous board and advisory positions: Chair of Torrens Univ Academic Board; Chair of the Analytics Institute of Australia; Academic Board member/deputy chair at ACAP University College; Board member at LCI Melbourne; Deputy Chair of VIT Academic Board; Chair of CG Spectrum Institute Academic Board. These public listings (external) evidence a focus on governance, institutional planning, and accreditation.</w:t>
      </w:r>
    </w:p>
    <w:p w14:paraId="01A3952E" w14:textId="77777777" w:rsidR="009B6A78" w:rsidRPr="009B6A78" w:rsidRDefault="009B6A78" w:rsidP="009B6A78">
      <w:pPr>
        <w:numPr>
          <w:ilvl w:val="0"/>
          <w:numId w:val="1"/>
        </w:numPr>
      </w:pPr>
      <w:r w:rsidRPr="009B6A78">
        <w:rPr>
          <w:b/>
          <w:bCs/>
        </w:rPr>
        <w:t>Consulting Expertise:</w:t>
      </w:r>
      <w:r w:rsidRPr="009B6A78">
        <w:t> Early career as management consultant (Senior Consultant at Deloitte UK; PwC Melbourne). Advised corporate and government clients (e.g. on utility privatisations per CV). Currently “Principal Advisor” to Wells Advisory (now Minter Ellison) and “Subject Matter Expert (Higher Ed)” for PwC. These indicate commercial consulting and policy advisory skills (CV/Torrens).</w:t>
      </w:r>
    </w:p>
    <w:p w14:paraId="7B9EC818" w14:textId="77777777" w:rsidR="009B6A78" w:rsidRPr="009B6A78" w:rsidRDefault="009B6A78" w:rsidP="009B6A78">
      <w:pPr>
        <w:numPr>
          <w:ilvl w:val="0"/>
          <w:numId w:val="1"/>
        </w:numPr>
      </w:pPr>
      <w:r w:rsidRPr="009B6A78">
        <w:rPr>
          <w:b/>
          <w:bCs/>
        </w:rPr>
        <w:lastRenderedPageBreak/>
        <w:t>Analytics &amp; Modelling:</w:t>
      </w:r>
      <w:r w:rsidRPr="009B6A78">
        <w:t> Recognized expert in quantitative modelling: PhD in Operations Research (Warwick), Fellow of ACS and OR Society. Board chair of Analytics Institute. Profiles note he advised “financial services and higher education” clients on analytics and led data-driven improvements.</w:t>
      </w:r>
    </w:p>
    <w:p w14:paraId="156F3E61" w14:textId="77777777" w:rsidR="009B6A78" w:rsidRPr="009B6A78" w:rsidRDefault="009B6A78" w:rsidP="009B6A78">
      <w:pPr>
        <w:numPr>
          <w:ilvl w:val="0"/>
          <w:numId w:val="1"/>
        </w:numPr>
      </w:pPr>
      <w:r w:rsidRPr="009B6A78">
        <w:rPr>
          <w:b/>
          <w:bCs/>
        </w:rPr>
        <w:t>Quality &amp; Accreditation:</w:t>
      </w:r>
      <w:r w:rsidRPr="009B6A78">
        <w:t> Led Monash University School to ISO 9001 academic accreditation (first in Australia, per CV) and is a current TEQSA auditor (external). These points (CV &amp; VIT site) imply expertise in quality assurance and compliance in education.</w:t>
      </w:r>
    </w:p>
    <w:p w14:paraId="67B8BF6A" w14:textId="77777777" w:rsidR="009B6A78" w:rsidRPr="009B6A78" w:rsidRDefault="009B6A78" w:rsidP="009B6A78">
      <w:pPr>
        <w:numPr>
          <w:ilvl w:val="0"/>
          <w:numId w:val="1"/>
        </w:numPr>
      </w:pPr>
      <w:r w:rsidRPr="009B6A78">
        <w:rPr>
          <w:b/>
          <w:bCs/>
        </w:rPr>
        <w:t>Publications &amp; Research:</w:t>
      </w:r>
      <w:r w:rsidRPr="009B6A78">
        <w:t> Has 100+ refereed publications and has supervised PhDs. Although academic, this background underpins services like institutional research and analysis.</w:t>
      </w:r>
    </w:p>
    <w:p w14:paraId="35943DD8" w14:textId="6BAF6D96" w:rsidR="009B6A78" w:rsidRPr="009B6A78" w:rsidRDefault="009B6A78" w:rsidP="009B6A78">
      <w:r w:rsidRPr="009B6A78">
        <w:t>Each bullet above is drawn from a combination of the attached CV/email (not cited) and public sources (cited). For example, Torrens University’s Academic Board page confirms his current consultancy roles, and LCI/CGS/CAP governance pages confirm his board positions. The user-supplied email (Digest) indicates a new engagement with Hyphen Group (Swiss consulting network), suggesting ongoing consulting projects .</w:t>
      </w:r>
    </w:p>
    <w:p w14:paraId="1315565F" w14:textId="77777777" w:rsidR="009B6A78" w:rsidRPr="009B6A78" w:rsidRDefault="009B6A78" w:rsidP="009B6A78">
      <w:pPr>
        <w:rPr>
          <w:b/>
          <w:bCs/>
        </w:rPr>
      </w:pPr>
      <w:r w:rsidRPr="009B6A78">
        <w:rPr>
          <w:b/>
          <w:bCs/>
        </w:rPr>
        <w:t>Likely Service Categories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46"/>
        <w:gridCol w:w="5539"/>
        <w:gridCol w:w="1275"/>
      </w:tblGrid>
      <w:tr w:rsidR="009B6A78" w:rsidRPr="009B6A78" w14:paraId="4094B552"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349F3841" w14:textId="77777777" w:rsidR="009B6A78" w:rsidRPr="009B6A78" w:rsidRDefault="009B6A78" w:rsidP="009B6A78">
            <w:pPr>
              <w:rPr>
                <w:b/>
                <w:bCs/>
              </w:rPr>
            </w:pPr>
            <w:r w:rsidRPr="009B6A78">
              <w:rPr>
                <w:b/>
                <w:bCs/>
              </w:rPr>
              <w:t>Service Category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B3DE2DD" w14:textId="77777777" w:rsidR="009B6A78" w:rsidRPr="009B6A78" w:rsidRDefault="009B6A78" w:rsidP="009B6A78">
            <w:pPr>
              <w:rPr>
                <w:b/>
                <w:bCs/>
              </w:rPr>
            </w:pPr>
            <w:r w:rsidRPr="009B6A78">
              <w:rPr>
                <w:b/>
                <w:bCs/>
              </w:rPr>
              <w:t>Supporting Evidence &amp; Rationale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0351C89" w14:textId="77777777" w:rsidR="009B6A78" w:rsidRPr="009B6A78" w:rsidRDefault="009B6A78" w:rsidP="009B6A78">
            <w:pPr>
              <w:rPr>
                <w:b/>
                <w:bCs/>
              </w:rPr>
            </w:pPr>
            <w:r w:rsidRPr="009B6A78">
              <w:rPr>
                <w:b/>
                <w:bCs/>
              </w:rPr>
              <w:t>Confidence</w:t>
            </w:r>
          </w:p>
        </w:tc>
      </w:tr>
      <w:tr w:rsidR="009B6A78" w:rsidRPr="009B6A78" w14:paraId="7C5FE0D3" w14:textId="77777777">
        <w:tc>
          <w:tcPr>
            <w:tcW w:w="0" w:type="auto"/>
            <w:tcBorders>
              <w:top w:val="single" w:sz="2" w:space="0" w:color="auto"/>
              <w:left w:val="single" w:sz="2" w:space="0" w:color="auto"/>
              <w:bottom w:val="single" w:sz="2" w:space="0" w:color="auto"/>
              <w:right w:val="single" w:sz="2" w:space="0" w:color="auto"/>
            </w:tcBorders>
            <w:hideMark/>
          </w:tcPr>
          <w:p w14:paraId="23FCE6E1" w14:textId="77777777" w:rsidR="009B6A78" w:rsidRPr="009B6A78" w:rsidRDefault="009B6A78" w:rsidP="009B6A78">
            <w:r w:rsidRPr="009B6A78">
              <w:rPr>
                <w:b/>
                <w:bCs/>
              </w:rPr>
              <w:t>Higher-Ed Strategy &amp; Governance Consulting</w:t>
            </w:r>
          </w:p>
        </w:tc>
        <w:tc>
          <w:tcPr>
            <w:tcW w:w="0" w:type="auto"/>
            <w:tcBorders>
              <w:top w:val="single" w:sz="2" w:space="0" w:color="auto"/>
              <w:left w:val="single" w:sz="2" w:space="0" w:color="auto"/>
              <w:bottom w:val="single" w:sz="2" w:space="0" w:color="auto"/>
              <w:right w:val="single" w:sz="2" w:space="0" w:color="auto"/>
            </w:tcBorders>
            <w:hideMark/>
          </w:tcPr>
          <w:p w14:paraId="38320248" w14:textId="77777777" w:rsidR="009B6A78" w:rsidRPr="009B6A78" w:rsidRDefault="009B6A78" w:rsidP="009B6A78">
            <w:r w:rsidRPr="009B6A78">
              <w:t>Principal of iMORSE (education consultancy); held senior university leadership (DVC Research at Swinburne, Dean at Deakin); advised institutions on policy, mergers/acquisitions. These roles indicate expertise in institutional strategy, restructuring, and governance.</w:t>
            </w:r>
          </w:p>
        </w:tc>
        <w:tc>
          <w:tcPr>
            <w:tcW w:w="0" w:type="auto"/>
            <w:tcBorders>
              <w:top w:val="single" w:sz="2" w:space="0" w:color="auto"/>
              <w:left w:val="single" w:sz="2" w:space="0" w:color="auto"/>
              <w:bottom w:val="single" w:sz="2" w:space="0" w:color="auto"/>
              <w:right w:val="single" w:sz="2" w:space="0" w:color="auto"/>
            </w:tcBorders>
            <w:hideMark/>
          </w:tcPr>
          <w:p w14:paraId="718E5500" w14:textId="77777777" w:rsidR="009B6A78" w:rsidRPr="009B6A78" w:rsidRDefault="009B6A78" w:rsidP="009B6A78">
            <w:r w:rsidRPr="009B6A78">
              <w:t>High</w:t>
            </w:r>
          </w:p>
        </w:tc>
      </w:tr>
      <w:tr w:rsidR="009B6A78" w:rsidRPr="009B6A78" w14:paraId="3271EB9A" w14:textId="77777777">
        <w:tc>
          <w:tcPr>
            <w:tcW w:w="0" w:type="auto"/>
            <w:tcBorders>
              <w:top w:val="single" w:sz="2" w:space="0" w:color="auto"/>
              <w:left w:val="single" w:sz="2" w:space="0" w:color="auto"/>
              <w:bottom w:val="single" w:sz="2" w:space="0" w:color="auto"/>
              <w:right w:val="single" w:sz="2" w:space="0" w:color="auto"/>
            </w:tcBorders>
            <w:hideMark/>
          </w:tcPr>
          <w:p w14:paraId="0540FA5D" w14:textId="77777777" w:rsidR="009B6A78" w:rsidRPr="009B6A78" w:rsidRDefault="009B6A78" w:rsidP="009B6A78">
            <w:r w:rsidRPr="009B6A78">
              <w:rPr>
                <w:b/>
                <w:bCs/>
              </w:rPr>
              <w:t>Analytics &amp; Data Modelling Consulting</w:t>
            </w:r>
          </w:p>
        </w:tc>
        <w:tc>
          <w:tcPr>
            <w:tcW w:w="0" w:type="auto"/>
            <w:tcBorders>
              <w:top w:val="single" w:sz="2" w:space="0" w:color="auto"/>
              <w:left w:val="single" w:sz="2" w:space="0" w:color="auto"/>
              <w:bottom w:val="single" w:sz="2" w:space="0" w:color="auto"/>
              <w:right w:val="single" w:sz="2" w:space="0" w:color="auto"/>
            </w:tcBorders>
            <w:hideMark/>
          </w:tcPr>
          <w:p w14:paraId="28D17111" w14:textId="77777777" w:rsidR="009B6A78" w:rsidRPr="009B6A78" w:rsidRDefault="009B6A78" w:rsidP="009B6A78">
            <w:r w:rsidRPr="009B6A78">
              <w:t>iMORSE described as analytics consultancy; Chair of Analytics Institute; known as expert in financial/computer modelling; background in OR and data-driven decision support. Implies services in BI, predictive modelling, and performance analytics.</w:t>
            </w:r>
          </w:p>
        </w:tc>
        <w:tc>
          <w:tcPr>
            <w:tcW w:w="0" w:type="auto"/>
            <w:tcBorders>
              <w:top w:val="single" w:sz="2" w:space="0" w:color="auto"/>
              <w:left w:val="single" w:sz="2" w:space="0" w:color="auto"/>
              <w:bottom w:val="single" w:sz="2" w:space="0" w:color="auto"/>
              <w:right w:val="single" w:sz="2" w:space="0" w:color="auto"/>
            </w:tcBorders>
            <w:hideMark/>
          </w:tcPr>
          <w:p w14:paraId="05EB6442" w14:textId="77777777" w:rsidR="009B6A78" w:rsidRPr="009B6A78" w:rsidRDefault="009B6A78" w:rsidP="009B6A78">
            <w:r w:rsidRPr="009B6A78">
              <w:t>High</w:t>
            </w:r>
          </w:p>
        </w:tc>
      </w:tr>
      <w:tr w:rsidR="009B6A78" w:rsidRPr="009B6A78" w14:paraId="3AD2E324" w14:textId="77777777">
        <w:tc>
          <w:tcPr>
            <w:tcW w:w="0" w:type="auto"/>
            <w:tcBorders>
              <w:top w:val="single" w:sz="2" w:space="0" w:color="auto"/>
              <w:left w:val="single" w:sz="2" w:space="0" w:color="auto"/>
              <w:bottom w:val="single" w:sz="2" w:space="0" w:color="auto"/>
              <w:right w:val="single" w:sz="2" w:space="0" w:color="auto"/>
            </w:tcBorders>
            <w:hideMark/>
          </w:tcPr>
          <w:p w14:paraId="5768528D" w14:textId="77777777" w:rsidR="009B6A78" w:rsidRPr="009B6A78" w:rsidRDefault="009B6A78" w:rsidP="009B6A78">
            <w:r w:rsidRPr="009B6A78">
              <w:rPr>
                <w:b/>
                <w:bCs/>
              </w:rPr>
              <w:t>Governance &amp; Board Advisory</w:t>
            </w:r>
          </w:p>
        </w:tc>
        <w:tc>
          <w:tcPr>
            <w:tcW w:w="0" w:type="auto"/>
            <w:tcBorders>
              <w:top w:val="single" w:sz="2" w:space="0" w:color="auto"/>
              <w:left w:val="single" w:sz="2" w:space="0" w:color="auto"/>
              <w:bottom w:val="single" w:sz="2" w:space="0" w:color="auto"/>
              <w:right w:val="single" w:sz="2" w:space="0" w:color="auto"/>
            </w:tcBorders>
            <w:hideMark/>
          </w:tcPr>
          <w:p w14:paraId="5833E2BB" w14:textId="77777777" w:rsidR="009B6A78" w:rsidRPr="009B6A78" w:rsidRDefault="009B6A78" w:rsidP="009B6A78">
            <w:r w:rsidRPr="009B6A78">
              <w:t>Multiple board and Academic Board roles (Torrens, LCI, ACAP, CG Spectrum, etc); Principal Advisor/Wells Advisory (board-level consulting). Suggests offerings in board effectiveness, governance reviews, committee leadership.</w:t>
            </w:r>
          </w:p>
        </w:tc>
        <w:tc>
          <w:tcPr>
            <w:tcW w:w="0" w:type="auto"/>
            <w:tcBorders>
              <w:top w:val="single" w:sz="2" w:space="0" w:color="auto"/>
              <w:left w:val="single" w:sz="2" w:space="0" w:color="auto"/>
              <w:bottom w:val="single" w:sz="2" w:space="0" w:color="auto"/>
              <w:right w:val="single" w:sz="2" w:space="0" w:color="auto"/>
            </w:tcBorders>
            <w:hideMark/>
          </w:tcPr>
          <w:p w14:paraId="598E1545" w14:textId="77777777" w:rsidR="009B6A78" w:rsidRPr="009B6A78" w:rsidRDefault="009B6A78" w:rsidP="009B6A78">
            <w:r w:rsidRPr="009B6A78">
              <w:t>High</w:t>
            </w:r>
          </w:p>
        </w:tc>
      </w:tr>
      <w:tr w:rsidR="009B6A78" w:rsidRPr="009B6A78" w14:paraId="5E6783F9" w14:textId="77777777">
        <w:tc>
          <w:tcPr>
            <w:tcW w:w="0" w:type="auto"/>
            <w:tcBorders>
              <w:top w:val="single" w:sz="2" w:space="0" w:color="auto"/>
              <w:left w:val="single" w:sz="2" w:space="0" w:color="auto"/>
              <w:bottom w:val="single" w:sz="2" w:space="0" w:color="auto"/>
              <w:right w:val="single" w:sz="2" w:space="0" w:color="auto"/>
            </w:tcBorders>
            <w:hideMark/>
          </w:tcPr>
          <w:p w14:paraId="4760A535" w14:textId="77777777" w:rsidR="009B6A78" w:rsidRPr="009B6A78" w:rsidRDefault="009B6A78" w:rsidP="009B6A78">
            <w:r w:rsidRPr="009B6A78">
              <w:rPr>
                <w:b/>
                <w:bCs/>
              </w:rPr>
              <w:t>Quality Assurance &amp; Compliance</w:t>
            </w:r>
          </w:p>
        </w:tc>
        <w:tc>
          <w:tcPr>
            <w:tcW w:w="0" w:type="auto"/>
            <w:tcBorders>
              <w:top w:val="single" w:sz="2" w:space="0" w:color="auto"/>
              <w:left w:val="single" w:sz="2" w:space="0" w:color="auto"/>
              <w:bottom w:val="single" w:sz="2" w:space="0" w:color="auto"/>
              <w:right w:val="single" w:sz="2" w:space="0" w:color="auto"/>
            </w:tcBorders>
            <w:hideMark/>
          </w:tcPr>
          <w:p w14:paraId="61AEC6E2" w14:textId="77777777" w:rsidR="009B6A78" w:rsidRPr="009B6A78" w:rsidRDefault="009B6A78" w:rsidP="009B6A78">
            <w:r w:rsidRPr="009B6A78">
              <w:t xml:space="preserve">Implemented ISO 9001 academic processes (Monash, CV); current TEQSA auditor; extensive HE </w:t>
            </w:r>
            <w:r w:rsidRPr="009B6A78">
              <w:lastRenderedPageBreak/>
              <w:t>regulatory experience. Likely includes accreditation consulting, audit preparation, and compliance strategy.</w:t>
            </w:r>
          </w:p>
        </w:tc>
        <w:tc>
          <w:tcPr>
            <w:tcW w:w="0" w:type="auto"/>
            <w:tcBorders>
              <w:top w:val="single" w:sz="2" w:space="0" w:color="auto"/>
              <w:left w:val="single" w:sz="2" w:space="0" w:color="auto"/>
              <w:bottom w:val="single" w:sz="2" w:space="0" w:color="auto"/>
              <w:right w:val="single" w:sz="2" w:space="0" w:color="auto"/>
            </w:tcBorders>
            <w:hideMark/>
          </w:tcPr>
          <w:p w14:paraId="0910A3C5" w14:textId="77777777" w:rsidR="009B6A78" w:rsidRPr="009B6A78" w:rsidRDefault="009B6A78" w:rsidP="009B6A78">
            <w:r w:rsidRPr="009B6A78">
              <w:lastRenderedPageBreak/>
              <w:t>Medium</w:t>
            </w:r>
          </w:p>
        </w:tc>
      </w:tr>
      <w:tr w:rsidR="009B6A78" w:rsidRPr="009B6A78" w14:paraId="42DAFCD5" w14:textId="77777777">
        <w:tc>
          <w:tcPr>
            <w:tcW w:w="0" w:type="auto"/>
            <w:tcBorders>
              <w:top w:val="single" w:sz="2" w:space="0" w:color="auto"/>
              <w:left w:val="single" w:sz="2" w:space="0" w:color="auto"/>
              <w:bottom w:val="single" w:sz="2" w:space="0" w:color="auto"/>
              <w:right w:val="single" w:sz="2" w:space="0" w:color="auto"/>
            </w:tcBorders>
            <w:hideMark/>
          </w:tcPr>
          <w:p w14:paraId="443EC544" w14:textId="77777777" w:rsidR="009B6A78" w:rsidRPr="009B6A78" w:rsidRDefault="009B6A78" w:rsidP="009B6A78">
            <w:r w:rsidRPr="009B6A78">
              <w:rPr>
                <w:b/>
                <w:bCs/>
              </w:rPr>
              <w:t>Corporate/Business Consulting</w:t>
            </w:r>
          </w:p>
        </w:tc>
        <w:tc>
          <w:tcPr>
            <w:tcW w:w="0" w:type="auto"/>
            <w:tcBorders>
              <w:top w:val="single" w:sz="2" w:space="0" w:color="auto"/>
              <w:left w:val="single" w:sz="2" w:space="0" w:color="auto"/>
              <w:bottom w:val="single" w:sz="2" w:space="0" w:color="auto"/>
              <w:right w:val="single" w:sz="2" w:space="0" w:color="auto"/>
            </w:tcBorders>
            <w:hideMark/>
          </w:tcPr>
          <w:p w14:paraId="3722AB6E" w14:textId="77777777" w:rsidR="009B6A78" w:rsidRPr="009B6A78" w:rsidRDefault="009B6A78" w:rsidP="009B6A78">
            <w:r w:rsidRPr="009B6A78">
              <w:t>Early career at Deloitte/PwC and major project experience (privatisation, utilities per CV) suggest capacity for corporate strategy and process improvement outside academia. Recent Hyphen engagement hints at broad strategic advisory.</w:t>
            </w:r>
          </w:p>
        </w:tc>
        <w:tc>
          <w:tcPr>
            <w:tcW w:w="0" w:type="auto"/>
            <w:tcBorders>
              <w:top w:val="single" w:sz="2" w:space="0" w:color="auto"/>
              <w:left w:val="single" w:sz="2" w:space="0" w:color="auto"/>
              <w:bottom w:val="single" w:sz="2" w:space="0" w:color="auto"/>
              <w:right w:val="single" w:sz="2" w:space="0" w:color="auto"/>
            </w:tcBorders>
            <w:hideMark/>
          </w:tcPr>
          <w:p w14:paraId="481759C0" w14:textId="77777777" w:rsidR="009B6A78" w:rsidRPr="009B6A78" w:rsidRDefault="009B6A78" w:rsidP="009B6A78">
            <w:r w:rsidRPr="009B6A78">
              <w:t>Medium</w:t>
            </w:r>
          </w:p>
        </w:tc>
      </w:tr>
    </w:tbl>
    <w:p w14:paraId="6622484D" w14:textId="77777777" w:rsidR="009B6A78" w:rsidRPr="009B6A78" w:rsidRDefault="009B6A78" w:rsidP="009B6A78">
      <w:r w:rsidRPr="009B6A78">
        <w:t>Each category is tied to documented roles/activities. For instance, “Higher-Ed Strategy” is directly evidenced by his current consultancy focus and past university leadership (Torrens site). “Analytics Consulting” is evidenced by his chairmanship of a data analytics institute and published expertise. Where direct evidence is lacking, we infer from related experience (e.g. corporate projects imply a “Business Consulting” service). Confidence levels reflect the strength of the linkage: </w:t>
      </w:r>
      <w:r w:rsidRPr="009B6A78">
        <w:rPr>
          <w:b/>
          <w:bCs/>
        </w:rPr>
        <w:t>High</w:t>
      </w:r>
      <w:r w:rsidRPr="009B6A78">
        <w:t> where roles explicitly align with that service, </w:t>
      </w:r>
      <w:r w:rsidRPr="009B6A78">
        <w:rPr>
          <w:b/>
          <w:bCs/>
        </w:rPr>
        <w:t>Medium</w:t>
      </w:r>
      <w:r w:rsidRPr="009B6A78">
        <w:t> where inference is required.</w:t>
      </w:r>
    </w:p>
    <w:p w14:paraId="4C3C9268" w14:textId="77777777" w:rsidR="009B6A78" w:rsidRPr="009B6A78" w:rsidRDefault="009B6A78" w:rsidP="009B6A78">
      <w:r w:rsidRPr="009B6A78">
        <w:t>mermaid</w:t>
      </w:r>
    </w:p>
    <w:p w14:paraId="4AC970DA" w14:textId="77777777" w:rsidR="009B6A78" w:rsidRPr="009B6A78" w:rsidRDefault="009B6A78" w:rsidP="009B6A78">
      <w:r w:rsidRPr="009B6A78">
        <w:t>Copy</w:t>
      </w:r>
    </w:p>
    <w:p w14:paraId="2CFB4991" w14:textId="77777777" w:rsidR="009B6A78" w:rsidRPr="009B6A78" w:rsidRDefault="009B6A78" w:rsidP="009B6A78">
      <w:r w:rsidRPr="009B6A78">
        <w:t>graph LR</w:t>
      </w:r>
    </w:p>
    <w:p w14:paraId="3F420882" w14:textId="77777777" w:rsidR="009B6A78" w:rsidRPr="009B6A78" w:rsidRDefault="009B6A78" w:rsidP="009B6A78">
      <w:r w:rsidRPr="009B6A78">
        <w:t xml:space="preserve">    HE["Higher Ed Strategy &amp; Governance"] -- *Evidence:* University leadership, iMORSE, Advising→ |supports| Category1</w:t>
      </w:r>
    </w:p>
    <w:p w14:paraId="634D2BFB" w14:textId="77777777" w:rsidR="009B6A78" w:rsidRPr="009B6A78" w:rsidRDefault="009B6A78" w:rsidP="009B6A78">
      <w:r w:rsidRPr="009B6A78">
        <w:t xml:space="preserve">    Analytics["Analytics &amp; Data Modelling"] -- *Evidence:* AIA Chair, modelling expertise→ |supports| Category2</w:t>
      </w:r>
    </w:p>
    <w:p w14:paraId="229D2456" w14:textId="77777777" w:rsidR="009B6A78" w:rsidRPr="009B6A78" w:rsidRDefault="009B6A78" w:rsidP="009B6A78">
      <w:r w:rsidRPr="009B6A78">
        <w:t xml:space="preserve">    GovBoard["Governance &amp; Board Advisory"] -- *Evidence:* Board roles (ACAP, CGS, LCI, etc.)→ |supports| Category3</w:t>
      </w:r>
    </w:p>
    <w:p w14:paraId="0187BD28" w14:textId="77777777" w:rsidR="009B6A78" w:rsidRPr="009B6A78" w:rsidRDefault="009B6A78" w:rsidP="009B6A78">
      <w:r w:rsidRPr="009B6A78">
        <w:t xml:space="preserve">    Compliance["Quality &amp; Compliance"] -- *Evidence:* ISO 9001, TEQSA auditor→ |supports| Category4</w:t>
      </w:r>
    </w:p>
    <w:p w14:paraId="4F7046B3" w14:textId="77777777" w:rsidR="009B6A78" w:rsidRPr="009B6A78" w:rsidRDefault="009B6A78" w:rsidP="009B6A78">
      <w:r w:rsidRPr="009B6A78">
        <w:t xml:space="preserve">    </w:t>
      </w:r>
      <w:proofErr w:type="spellStart"/>
      <w:r w:rsidRPr="009B6A78">
        <w:t>BizConsult</w:t>
      </w:r>
      <w:proofErr w:type="spellEnd"/>
      <w:r w:rsidRPr="009B6A78">
        <w:t>["Corporate Strategy Consulting"] -- *Evidence:* Deloitte/PwC, Hyphen project→ |supports| Category5</w:t>
      </w:r>
    </w:p>
    <w:p w14:paraId="21553073" w14:textId="77777777" w:rsidR="009B6A78" w:rsidRPr="009B6A78" w:rsidRDefault="009B6A78" w:rsidP="009B6A78"/>
    <w:p w14:paraId="5C306E89" w14:textId="77777777" w:rsidR="009B6A78" w:rsidRPr="009B6A78" w:rsidRDefault="009B6A78" w:rsidP="009B6A78">
      <w:r w:rsidRPr="009B6A78">
        <w:t xml:space="preserve">    Category1["Service Category: Higher-Ed Strategy"] </w:t>
      </w:r>
    </w:p>
    <w:p w14:paraId="490D77E7" w14:textId="77777777" w:rsidR="009B6A78" w:rsidRPr="009B6A78" w:rsidRDefault="009B6A78" w:rsidP="009B6A78">
      <w:r w:rsidRPr="009B6A78">
        <w:t xml:space="preserve">    Category2["Service Category: Analytics Consulting"]</w:t>
      </w:r>
    </w:p>
    <w:p w14:paraId="24BDB59B" w14:textId="77777777" w:rsidR="009B6A78" w:rsidRPr="009B6A78" w:rsidRDefault="009B6A78" w:rsidP="009B6A78">
      <w:r w:rsidRPr="009B6A78">
        <w:t xml:space="preserve">    Category3["Service Category: Governance Advisory"]</w:t>
      </w:r>
    </w:p>
    <w:p w14:paraId="1CECC93D" w14:textId="77777777" w:rsidR="009B6A78" w:rsidRPr="009B6A78" w:rsidRDefault="009B6A78" w:rsidP="009B6A78">
      <w:r w:rsidRPr="009B6A78">
        <w:lastRenderedPageBreak/>
        <w:t xml:space="preserve">    Category4["Service Category: Quality &amp; Compliance"]</w:t>
      </w:r>
    </w:p>
    <w:p w14:paraId="42F0D90A" w14:textId="77777777" w:rsidR="009B6A78" w:rsidRPr="009B6A78" w:rsidRDefault="009B6A78" w:rsidP="009B6A78">
      <w:r w:rsidRPr="009B6A78">
        <w:t xml:space="preserve">    Category5["Service Category: Business Consulting"]</w:t>
      </w:r>
    </w:p>
    <w:p w14:paraId="2CC33119" w14:textId="77777777" w:rsidR="009B6A78" w:rsidRPr="009B6A78" w:rsidRDefault="009B6A78" w:rsidP="009B6A78">
      <w:pPr>
        <w:rPr>
          <w:b/>
          <w:bCs/>
        </w:rPr>
      </w:pPr>
      <w:r w:rsidRPr="009B6A78">
        <w:rPr>
          <w:b/>
          <w:bCs/>
        </w:rPr>
        <w:t>Suggested Website Structure Implications</w:t>
      </w:r>
    </w:p>
    <w:p w14:paraId="573F451A" w14:textId="77777777" w:rsidR="009B6A78" w:rsidRPr="009B6A78" w:rsidRDefault="009B6A78" w:rsidP="009B6A78">
      <w:r w:rsidRPr="009B6A78">
        <w:t>Based on the evidence, the site should feature core service sections such as: </w:t>
      </w:r>
      <w:r w:rsidRPr="009B6A78">
        <w:rPr>
          <w:b/>
          <w:bCs/>
        </w:rPr>
        <w:t>Higher Education Advisory</w:t>
      </w:r>
      <w:r w:rsidRPr="009B6A78">
        <w:t>, </w:t>
      </w:r>
      <w:r w:rsidRPr="009B6A78">
        <w:rPr>
          <w:b/>
          <w:bCs/>
        </w:rPr>
        <w:t>Data Analytics &amp; Modelling</w:t>
      </w:r>
      <w:r w:rsidRPr="009B6A78">
        <w:t>, </w:t>
      </w:r>
      <w:r w:rsidRPr="009B6A78">
        <w:rPr>
          <w:b/>
          <w:bCs/>
        </w:rPr>
        <w:t>Governance &amp; Accreditation Consulting</w:t>
      </w:r>
      <w:r w:rsidRPr="009B6A78">
        <w:t>, and </w:t>
      </w:r>
      <w:r w:rsidRPr="009B6A78">
        <w:rPr>
          <w:b/>
          <w:bCs/>
        </w:rPr>
        <w:t>Corporate Strategy/Process Consulting</w:t>
      </w:r>
      <w:r w:rsidRPr="009B6A78">
        <w:t>. For example:</w:t>
      </w:r>
    </w:p>
    <w:p w14:paraId="314AD90D" w14:textId="77777777" w:rsidR="009B6A78" w:rsidRPr="009B6A78" w:rsidRDefault="009B6A78" w:rsidP="009B6A78">
      <w:pPr>
        <w:numPr>
          <w:ilvl w:val="0"/>
          <w:numId w:val="2"/>
        </w:numPr>
      </w:pPr>
      <w:r w:rsidRPr="009B6A78">
        <w:rPr>
          <w:i/>
          <w:iCs/>
        </w:rPr>
        <w:t>“Higher Education Consulting”</w:t>
      </w:r>
      <w:r w:rsidRPr="009B6A78">
        <w:t> – covering strategy, leadership, mergers, accreditation advice (reflecting his DVC/Dean background).</w:t>
      </w:r>
    </w:p>
    <w:p w14:paraId="1F75A310" w14:textId="77777777" w:rsidR="009B6A78" w:rsidRPr="009B6A78" w:rsidRDefault="009B6A78" w:rsidP="009B6A78">
      <w:pPr>
        <w:numPr>
          <w:ilvl w:val="0"/>
          <w:numId w:val="2"/>
        </w:numPr>
      </w:pPr>
      <w:r w:rsidRPr="009B6A78">
        <w:rPr>
          <w:i/>
          <w:iCs/>
        </w:rPr>
        <w:t>“Analytics &amp; Business Intelligence”</w:t>
      </w:r>
      <w:r w:rsidRPr="009B6A78">
        <w:t> – services in data modelling, performance analytics for institutions or firms (supported by AIA chair role).</w:t>
      </w:r>
    </w:p>
    <w:p w14:paraId="7EFD6065" w14:textId="77777777" w:rsidR="009B6A78" w:rsidRPr="009B6A78" w:rsidRDefault="009B6A78" w:rsidP="009B6A78">
      <w:pPr>
        <w:numPr>
          <w:ilvl w:val="0"/>
          <w:numId w:val="2"/>
        </w:numPr>
      </w:pPr>
      <w:r w:rsidRPr="009B6A78">
        <w:rPr>
          <w:i/>
          <w:iCs/>
        </w:rPr>
        <w:t>“Governance &amp; Board Services”</w:t>
      </w:r>
      <w:r w:rsidRPr="009B6A78">
        <w:t> – highlighting board advisory, committee leadership, academic board formation (from his numerous board roles).</w:t>
      </w:r>
    </w:p>
    <w:p w14:paraId="5967FCC0" w14:textId="77777777" w:rsidR="009B6A78" w:rsidRPr="009B6A78" w:rsidRDefault="009B6A78" w:rsidP="009B6A78">
      <w:pPr>
        <w:numPr>
          <w:ilvl w:val="0"/>
          <w:numId w:val="2"/>
        </w:numPr>
      </w:pPr>
      <w:r w:rsidRPr="009B6A78">
        <w:rPr>
          <w:i/>
          <w:iCs/>
        </w:rPr>
        <w:t>“Quality, Accreditation &amp; Compliance”</w:t>
      </w:r>
      <w:r w:rsidRPr="009B6A78">
        <w:t> – offerings in audit preparation and regulatory compliance (based on TEQSA/ISO experience).</w:t>
      </w:r>
    </w:p>
    <w:p w14:paraId="0558278C" w14:textId="77777777" w:rsidR="009B6A78" w:rsidRPr="009B6A78" w:rsidRDefault="009B6A78" w:rsidP="009B6A78">
      <w:r w:rsidRPr="009B6A78">
        <w:t>(Optional pages could include </w:t>
      </w:r>
      <w:r w:rsidRPr="009B6A78">
        <w:rPr>
          <w:i/>
          <w:iCs/>
        </w:rPr>
        <w:t>“Corporate Consulting”</w:t>
      </w:r>
      <w:r w:rsidRPr="009B6A78">
        <w:t> for broader projects, and a </w:t>
      </w:r>
      <w:r w:rsidRPr="009B6A78">
        <w:rPr>
          <w:i/>
          <w:iCs/>
        </w:rPr>
        <w:t>“Publications/Thought Leadership”</w:t>
      </w:r>
      <w:r w:rsidRPr="009B6A78">
        <w:t> page to leverage his academic work. The developer might also include a “Recent Engagements” or “Expert Networks” section mentioning the Hyphen Group connection.) Each section should draw on the documented evidence (e.g. bio highlights and case examples) rather than speculation.</w:t>
      </w:r>
    </w:p>
    <w:p w14:paraId="21F1D883" w14:textId="6D478468" w:rsidR="009B6A78" w:rsidRPr="009B6A78" w:rsidRDefault="009B6A78" w:rsidP="009B6A78">
      <w:pPr>
        <w:rPr>
          <w:b/>
          <w:bCs/>
        </w:rPr>
      </w:pPr>
      <w:r>
        <w:rPr>
          <w:b/>
          <w:bCs/>
        </w:rPr>
        <w:t>Other Observations</w:t>
      </w:r>
    </w:p>
    <w:p w14:paraId="560BEB56" w14:textId="3BFA1B44" w:rsidR="009B6A78" w:rsidRPr="009B6A78" w:rsidRDefault="009B6A78" w:rsidP="009B6A78">
      <w:pPr>
        <w:numPr>
          <w:ilvl w:val="0"/>
          <w:numId w:val="3"/>
        </w:numPr>
      </w:pPr>
      <w:r w:rsidRPr="009B6A78">
        <w:rPr>
          <w:b/>
          <w:bCs/>
        </w:rPr>
        <w:t>International/Corporate Scope:</w:t>
      </w:r>
      <w:r w:rsidRPr="009B6A78">
        <w:t> The Hyphen Group engagement (Switzerland) suggests he is taking on global corporate assignments</w:t>
      </w:r>
      <w:r>
        <w:t>. The Hyphen (</w:t>
      </w:r>
      <w:proofErr w:type="spellStart"/>
      <w:r>
        <w:t>boston</w:t>
      </w:r>
      <w:proofErr w:type="spellEnd"/>
      <w:r>
        <w:t xml:space="preserve"> consulting) role is higher education related, a previous engagement in Saudi was corporate risk related,</w:t>
      </w:r>
      <w:r w:rsidRPr="009B6A78">
        <w:t xml:space="preserve"> so any “international expert consulting” service category would be an inference.</w:t>
      </w:r>
    </w:p>
    <w:p w14:paraId="2250229A" w14:textId="77777777" w:rsidR="009B6A78" w:rsidRPr="009B6A78" w:rsidRDefault="009B6A78" w:rsidP="009B6A78">
      <w:pPr>
        <w:numPr>
          <w:ilvl w:val="0"/>
          <w:numId w:val="3"/>
        </w:numPr>
      </w:pPr>
      <w:r w:rsidRPr="009B6A78">
        <w:rPr>
          <w:b/>
          <w:bCs/>
        </w:rPr>
        <w:t>Digital/AI Focus:</w:t>
      </w:r>
      <w:r w:rsidRPr="009B6A78">
        <w:t> While his PhD involved AI techniques, and Hyphen’s profile mentions AI/digital, none of the cited sources explicitly list a </w:t>
      </w:r>
      <w:r w:rsidRPr="009B6A78">
        <w:rPr>
          <w:i/>
          <w:iCs/>
        </w:rPr>
        <w:t>digital transformation</w:t>
      </w:r>
      <w:r w:rsidRPr="009B6A78">
        <w:t> or AI service. Including a separate “AI solutions” or “digital strategy” page would be speculative.</w:t>
      </w:r>
    </w:p>
    <w:p w14:paraId="12153720" w14:textId="77777777" w:rsidR="009B6A78" w:rsidRDefault="009B6A78" w:rsidP="009B6A78">
      <w:pPr>
        <w:numPr>
          <w:ilvl w:val="0"/>
          <w:numId w:val="3"/>
        </w:numPr>
      </w:pPr>
      <w:r w:rsidRPr="009B6A78">
        <w:rPr>
          <w:b/>
          <w:bCs/>
        </w:rPr>
        <w:t>Training/Speaking:</w:t>
      </w:r>
      <w:r w:rsidRPr="009B6A78">
        <w:t> </w:t>
      </w:r>
      <w:r>
        <w:t>Andrew has provided corporate</w:t>
      </w:r>
      <w:r w:rsidRPr="009B6A78">
        <w:t xml:space="preserve"> training </w:t>
      </w:r>
      <w:r>
        <w:t>and</w:t>
      </w:r>
      <w:r w:rsidRPr="009B6A78">
        <w:t xml:space="preserve"> public speaking services. </w:t>
      </w:r>
    </w:p>
    <w:p w14:paraId="420F16DA" w14:textId="44BC97B8" w:rsidR="009B6A78" w:rsidRPr="009B6A78" w:rsidRDefault="009B6A78" w:rsidP="009B6A78">
      <w:pPr>
        <w:numPr>
          <w:ilvl w:val="0"/>
          <w:numId w:val="3"/>
        </w:numPr>
      </w:pPr>
      <w:r w:rsidRPr="009B6A78">
        <w:rPr>
          <w:b/>
          <w:bCs/>
        </w:rPr>
        <w:t xml:space="preserve">Technology </w:t>
      </w:r>
      <w:proofErr w:type="spellStart"/>
      <w:r w:rsidRPr="009B6A78">
        <w:rPr>
          <w:b/>
          <w:bCs/>
        </w:rPr>
        <w:t>Products</w:t>
      </w:r>
      <w:r w:rsidRPr="009B6A78">
        <w:t>The</w:t>
      </w:r>
      <w:proofErr w:type="spellEnd"/>
      <w:r w:rsidRPr="009B6A78">
        <w:t xml:space="preserve"> website should focus on consulting services, not product sales.</w:t>
      </w:r>
    </w:p>
    <w:p w14:paraId="57EC71A6" w14:textId="71F15409" w:rsidR="009B6A78" w:rsidRPr="009B6A78" w:rsidRDefault="009B6A78" w:rsidP="009B6A78">
      <w:r w:rsidRPr="009B6A78">
        <w:lastRenderedPageBreak/>
        <w:t>Overall, the evidence strongly supports positioning the company around strategic higher-education and analytics consulting services. Areas with weak or no evidence (e.g. digital transformation) should be handled cautiously or excluded to avoid unsupported claims.</w:t>
      </w:r>
    </w:p>
    <w:p w14:paraId="4BF42F76" w14:textId="6AB4552A" w:rsidR="00EC3BA9" w:rsidRPr="009B6A78" w:rsidRDefault="00EC3BA9" w:rsidP="009B6A78"/>
    <w:sectPr w:rsidR="00EC3BA9" w:rsidRPr="009B6A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044D4"/>
    <w:multiLevelType w:val="multilevel"/>
    <w:tmpl w:val="5722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C93145"/>
    <w:multiLevelType w:val="multilevel"/>
    <w:tmpl w:val="A34C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715D02"/>
    <w:multiLevelType w:val="multilevel"/>
    <w:tmpl w:val="D90C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9818172">
    <w:abstractNumId w:val="2"/>
  </w:num>
  <w:num w:numId="2" w16cid:durableId="900943902">
    <w:abstractNumId w:val="1"/>
  </w:num>
  <w:num w:numId="3" w16cid:durableId="1655794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BA"/>
    <w:rsid w:val="000F1092"/>
    <w:rsid w:val="00766C0F"/>
    <w:rsid w:val="009B6A78"/>
    <w:rsid w:val="009F16BA"/>
    <w:rsid w:val="00D62790"/>
    <w:rsid w:val="00EC3B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6E79"/>
  <w15:chartTrackingRefBased/>
  <w15:docId w15:val="{EFB3E346-F164-4949-8EC2-4EB073BD7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6BA"/>
    <w:rPr>
      <w:rFonts w:eastAsiaTheme="majorEastAsia" w:cstheme="majorBidi"/>
      <w:color w:val="272727" w:themeColor="text1" w:themeTint="D8"/>
    </w:rPr>
  </w:style>
  <w:style w:type="paragraph" w:styleId="Title">
    <w:name w:val="Title"/>
    <w:basedOn w:val="Normal"/>
    <w:next w:val="Normal"/>
    <w:link w:val="TitleChar"/>
    <w:uiPriority w:val="10"/>
    <w:qFormat/>
    <w:rsid w:val="009F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6BA"/>
    <w:pPr>
      <w:spacing w:before="160"/>
      <w:jc w:val="center"/>
    </w:pPr>
    <w:rPr>
      <w:i/>
      <w:iCs/>
      <w:color w:val="404040" w:themeColor="text1" w:themeTint="BF"/>
    </w:rPr>
  </w:style>
  <w:style w:type="character" w:customStyle="1" w:styleId="QuoteChar">
    <w:name w:val="Quote Char"/>
    <w:basedOn w:val="DefaultParagraphFont"/>
    <w:link w:val="Quote"/>
    <w:uiPriority w:val="29"/>
    <w:rsid w:val="009F16BA"/>
    <w:rPr>
      <w:i/>
      <w:iCs/>
      <w:color w:val="404040" w:themeColor="text1" w:themeTint="BF"/>
    </w:rPr>
  </w:style>
  <w:style w:type="paragraph" w:styleId="ListParagraph">
    <w:name w:val="List Paragraph"/>
    <w:basedOn w:val="Normal"/>
    <w:uiPriority w:val="34"/>
    <w:qFormat/>
    <w:rsid w:val="009F16BA"/>
    <w:pPr>
      <w:ind w:left="720"/>
      <w:contextualSpacing/>
    </w:pPr>
  </w:style>
  <w:style w:type="character" w:styleId="IntenseEmphasis">
    <w:name w:val="Intense Emphasis"/>
    <w:basedOn w:val="DefaultParagraphFont"/>
    <w:uiPriority w:val="21"/>
    <w:qFormat/>
    <w:rsid w:val="009F16BA"/>
    <w:rPr>
      <w:i/>
      <w:iCs/>
      <w:color w:val="0F4761" w:themeColor="accent1" w:themeShade="BF"/>
    </w:rPr>
  </w:style>
  <w:style w:type="paragraph" w:styleId="IntenseQuote">
    <w:name w:val="Intense Quote"/>
    <w:basedOn w:val="Normal"/>
    <w:next w:val="Normal"/>
    <w:link w:val="IntenseQuoteChar"/>
    <w:uiPriority w:val="30"/>
    <w:qFormat/>
    <w:rsid w:val="009F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6BA"/>
    <w:rPr>
      <w:i/>
      <w:iCs/>
      <w:color w:val="0F4761" w:themeColor="accent1" w:themeShade="BF"/>
    </w:rPr>
  </w:style>
  <w:style w:type="character" w:styleId="IntenseReference">
    <w:name w:val="Intense Reference"/>
    <w:basedOn w:val="DefaultParagraphFont"/>
    <w:uiPriority w:val="32"/>
    <w:qFormat/>
    <w:rsid w:val="009F16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1162</Words>
  <Characters>7649</Characters>
  <Application>Microsoft Office Word</Application>
  <DocSecurity>0</DocSecurity>
  <Lines>152</Lines>
  <Paragraphs>65</Paragraphs>
  <ScaleCrop>false</ScaleCrop>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Flitman</dc:creator>
  <cp:keywords/>
  <dc:description/>
  <cp:lastModifiedBy>Andrew Flitman</cp:lastModifiedBy>
  <cp:revision>2</cp:revision>
  <dcterms:created xsi:type="dcterms:W3CDTF">2026-04-22T22:51:00Z</dcterms:created>
  <dcterms:modified xsi:type="dcterms:W3CDTF">2026-04-22T23:15:00Z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6a56b777-efbc-4885-b610-9fc5b1e654a4</vt:lpwstr>
  </property>
</Properties>
</file>