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5F4A9" w14:textId="20FAF199" w:rsidR="009F7B27" w:rsidRDefault="009F7B27" w:rsidP="009F7B27">
      <w:pPr>
        <w:pStyle w:val="Title"/>
        <w:jc w:val="center"/>
        <w:rPr>
          <w:rFonts w:ascii="Times New Roman" w:hAnsi="Times New Roman" w:cs="Times New Roman"/>
          <w:b/>
          <w:bCs/>
          <w:sz w:val="40"/>
          <w:szCs w:val="40"/>
        </w:rPr>
      </w:pPr>
      <w:bookmarkStart w:id="0" w:name="header"/>
      <w:bookmarkEnd w:id="0"/>
      <w:r w:rsidRPr="009F7B27">
        <w:rPr>
          <w:rFonts w:ascii="Times New Roman" w:hAnsi="Times New Roman" w:cs="Times New Roman"/>
          <w:b/>
          <w:bCs/>
          <w:noProof/>
          <w:sz w:val="40"/>
          <w:szCs w:val="40"/>
        </w:rPr>
        <w:drawing>
          <wp:inline distT="0" distB="0" distL="0" distR="0" wp14:anchorId="076401D9" wp14:editId="22A79695">
            <wp:extent cx="812800" cy="1155109"/>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l="22815" t="8592" r="22370" b="8741"/>
                    <a:stretch/>
                  </pic:blipFill>
                  <pic:spPr bwMode="auto">
                    <a:xfrm>
                      <a:off x="0" y="0"/>
                      <a:ext cx="819746" cy="1164980"/>
                    </a:xfrm>
                    <a:prstGeom prst="rect">
                      <a:avLst/>
                    </a:prstGeom>
                    <a:noFill/>
                    <a:ln>
                      <a:noFill/>
                    </a:ln>
                    <a:extLst>
                      <a:ext uri="{53640926-AAD7-44D8-BBD7-CCE9431645EC}">
                        <a14:shadowObscured xmlns:a14="http://schemas.microsoft.com/office/drawing/2010/main"/>
                      </a:ext>
                    </a:extLst>
                  </pic:spPr>
                </pic:pic>
              </a:graphicData>
            </a:graphic>
          </wp:inline>
        </w:drawing>
      </w:r>
    </w:p>
    <w:p w14:paraId="561338EC" w14:textId="77777777" w:rsidR="009F7B27" w:rsidRPr="009F7B27" w:rsidRDefault="009F7B27" w:rsidP="009F7B27"/>
    <w:p w14:paraId="6F8BAA27" w14:textId="3A7B945F" w:rsidR="009F7B27" w:rsidRDefault="009F7B27" w:rsidP="009F7B27">
      <w:pPr>
        <w:pStyle w:val="Title"/>
        <w:jc w:val="center"/>
        <w:rPr>
          <w:rFonts w:ascii="Times New Roman" w:hAnsi="Times New Roman" w:cs="Times New Roman"/>
          <w:b/>
          <w:bCs/>
          <w:sz w:val="40"/>
          <w:szCs w:val="40"/>
        </w:rPr>
      </w:pPr>
      <w:r w:rsidRPr="009F7B27">
        <w:rPr>
          <w:rFonts w:ascii="Times New Roman" w:hAnsi="Times New Roman" w:cs="Times New Roman"/>
          <w:b/>
          <w:bCs/>
          <w:sz w:val="40"/>
          <w:szCs w:val="40"/>
        </w:rPr>
        <w:t xml:space="preserve">ACCT5034: Analysis and </w:t>
      </w:r>
      <w:proofErr w:type="spellStart"/>
      <w:r w:rsidRPr="009F7B27">
        <w:rPr>
          <w:rFonts w:ascii="Times New Roman" w:hAnsi="Times New Roman" w:cs="Times New Roman"/>
          <w:b/>
          <w:bCs/>
          <w:sz w:val="40"/>
          <w:szCs w:val="40"/>
        </w:rPr>
        <w:t>Visualisation</w:t>
      </w:r>
      <w:proofErr w:type="spellEnd"/>
      <w:r w:rsidRPr="009F7B27">
        <w:rPr>
          <w:rFonts w:ascii="Times New Roman" w:hAnsi="Times New Roman" w:cs="Times New Roman"/>
          <w:b/>
          <w:bCs/>
          <w:sz w:val="40"/>
          <w:szCs w:val="40"/>
        </w:rPr>
        <w:t xml:space="preserve"> of Financial Data</w:t>
      </w:r>
    </w:p>
    <w:p w14:paraId="31F7C3CC" w14:textId="77777777" w:rsidR="009F7B27" w:rsidRPr="009F7B27" w:rsidRDefault="009F7B27" w:rsidP="009F7B27"/>
    <w:p w14:paraId="5107BF02" w14:textId="420E8253" w:rsidR="009F7B27" w:rsidRDefault="009F7B27" w:rsidP="009F7B27">
      <w:pPr>
        <w:pStyle w:val="Title"/>
        <w:jc w:val="center"/>
        <w:rPr>
          <w:rFonts w:ascii="Times New Roman" w:hAnsi="Times New Roman" w:cs="Times New Roman"/>
          <w:b/>
          <w:bCs/>
          <w:sz w:val="40"/>
          <w:szCs w:val="40"/>
        </w:rPr>
      </w:pPr>
      <w:r w:rsidRPr="009F7B27">
        <w:rPr>
          <w:rFonts w:ascii="Times New Roman" w:hAnsi="Times New Roman" w:cs="Times New Roman"/>
          <w:b/>
          <w:bCs/>
          <w:sz w:val="40"/>
          <w:szCs w:val="40"/>
        </w:rPr>
        <w:t>Curtin University</w:t>
      </w:r>
    </w:p>
    <w:p w14:paraId="41AA8E1B" w14:textId="77777777" w:rsidR="009F7B27" w:rsidRPr="009F7B27" w:rsidRDefault="009F7B27" w:rsidP="009F7B27"/>
    <w:p w14:paraId="0FFEEE74" w14:textId="77777777" w:rsidR="009F7B27" w:rsidRPr="009F7B27" w:rsidRDefault="009F7B27" w:rsidP="009F7B27"/>
    <w:p w14:paraId="69A1186D" w14:textId="4E128CF2" w:rsidR="002D759E" w:rsidRPr="009F7B27" w:rsidRDefault="002D759E" w:rsidP="009F7B27">
      <w:pPr>
        <w:pStyle w:val="Title"/>
        <w:jc w:val="center"/>
        <w:rPr>
          <w:rFonts w:ascii="Times New Roman" w:eastAsia="Times New Roman" w:hAnsi="Times New Roman" w:cs="Times New Roman"/>
          <w:b/>
          <w:bCs/>
          <w:sz w:val="40"/>
          <w:szCs w:val="40"/>
        </w:rPr>
      </w:pPr>
      <w:r w:rsidRPr="009F7B27">
        <w:rPr>
          <w:rFonts w:ascii="Times New Roman" w:eastAsia="Times New Roman" w:hAnsi="Times New Roman" w:cs="Times New Roman"/>
          <w:b/>
          <w:bCs/>
          <w:sz w:val="40"/>
          <w:szCs w:val="40"/>
        </w:rPr>
        <w:t>ESG Performance, Governance Quality and Financial Outcomes in Asia-Pacific Markets</w:t>
      </w:r>
    </w:p>
    <w:p w14:paraId="47F45D20" w14:textId="77777777" w:rsidR="009F7B27" w:rsidRDefault="009F7B27" w:rsidP="009F7B27">
      <w:pPr>
        <w:rPr>
          <w:rFonts w:ascii="Times New Roman" w:hAnsi="Times New Roman" w:cs="Times New Roman"/>
          <w:sz w:val="24"/>
          <w:szCs w:val="24"/>
        </w:rPr>
      </w:pPr>
    </w:p>
    <w:p w14:paraId="57583640" w14:textId="77777777" w:rsidR="009F7B27" w:rsidRDefault="009F7B27" w:rsidP="009F7B27">
      <w:pPr>
        <w:rPr>
          <w:rFonts w:ascii="Times New Roman" w:hAnsi="Times New Roman" w:cs="Times New Roman"/>
          <w:sz w:val="24"/>
          <w:szCs w:val="24"/>
        </w:rPr>
      </w:pPr>
    </w:p>
    <w:p w14:paraId="455CF42F" w14:textId="77777777" w:rsidR="009F7B27" w:rsidRDefault="009F7B27" w:rsidP="009F7B27">
      <w:pPr>
        <w:rPr>
          <w:rFonts w:ascii="Times New Roman" w:hAnsi="Times New Roman" w:cs="Times New Roman"/>
          <w:sz w:val="24"/>
          <w:szCs w:val="24"/>
        </w:rPr>
      </w:pPr>
    </w:p>
    <w:p w14:paraId="05396384" w14:textId="471A877C" w:rsidR="009F7B27" w:rsidRDefault="009F7B27" w:rsidP="009F7B27">
      <w:pPr>
        <w:rPr>
          <w:rFonts w:ascii="Times New Roman" w:hAnsi="Times New Roman" w:cs="Times New Roman"/>
          <w:sz w:val="24"/>
          <w:szCs w:val="24"/>
        </w:rPr>
      </w:pPr>
    </w:p>
    <w:p w14:paraId="5FCC8C8B" w14:textId="45388AEF" w:rsidR="009F7B27" w:rsidRDefault="009F7B27" w:rsidP="009F7B27">
      <w:pPr>
        <w:rPr>
          <w:rFonts w:ascii="Times New Roman" w:hAnsi="Times New Roman" w:cs="Times New Roman"/>
          <w:sz w:val="24"/>
          <w:szCs w:val="24"/>
        </w:rPr>
      </w:pPr>
    </w:p>
    <w:p w14:paraId="2536D5E2" w14:textId="43B7F786" w:rsidR="009F7B27" w:rsidRDefault="009F7B27" w:rsidP="009F7B27">
      <w:pPr>
        <w:rPr>
          <w:rFonts w:ascii="Times New Roman" w:hAnsi="Times New Roman" w:cs="Times New Roman"/>
          <w:sz w:val="24"/>
          <w:szCs w:val="24"/>
        </w:rPr>
      </w:pPr>
    </w:p>
    <w:p w14:paraId="039FA0E8" w14:textId="1DEC93DD" w:rsidR="009F7B27" w:rsidRDefault="009F7B27" w:rsidP="009F7B27">
      <w:pPr>
        <w:rPr>
          <w:rFonts w:ascii="Times New Roman" w:hAnsi="Times New Roman" w:cs="Times New Roman"/>
          <w:sz w:val="24"/>
          <w:szCs w:val="24"/>
        </w:rPr>
      </w:pPr>
    </w:p>
    <w:p w14:paraId="43C177D8" w14:textId="77777777" w:rsidR="009F7B27" w:rsidRDefault="009F7B27" w:rsidP="009F7B27">
      <w:pPr>
        <w:rPr>
          <w:rFonts w:ascii="Times New Roman" w:hAnsi="Times New Roman" w:cs="Times New Roman"/>
          <w:sz w:val="24"/>
          <w:szCs w:val="24"/>
        </w:rPr>
      </w:pPr>
    </w:p>
    <w:p w14:paraId="0FB19A7F" w14:textId="1A107A88" w:rsidR="009F7B27" w:rsidRPr="009F7B27" w:rsidRDefault="009F7B27" w:rsidP="009F7B27">
      <w:pPr>
        <w:rPr>
          <w:rFonts w:ascii="Times New Roman" w:hAnsi="Times New Roman" w:cs="Times New Roman"/>
          <w:sz w:val="32"/>
          <w:szCs w:val="32"/>
        </w:rPr>
      </w:pPr>
      <w:r w:rsidRPr="009F7B27">
        <w:rPr>
          <w:rFonts w:ascii="Times New Roman" w:hAnsi="Times New Roman" w:cs="Times New Roman"/>
          <w:sz w:val="32"/>
          <w:szCs w:val="32"/>
        </w:rPr>
        <w:t>Name: Abu Fatah Mohammed Faisal</w:t>
      </w:r>
    </w:p>
    <w:p w14:paraId="2B80A153" w14:textId="6D77CA01" w:rsidR="009F7B27" w:rsidRPr="009F7B27" w:rsidRDefault="009F7B27" w:rsidP="009F7B27">
      <w:pPr>
        <w:rPr>
          <w:rFonts w:ascii="Times New Roman" w:hAnsi="Times New Roman" w:cs="Times New Roman"/>
          <w:sz w:val="32"/>
          <w:szCs w:val="32"/>
        </w:rPr>
      </w:pPr>
      <w:r w:rsidRPr="009F7B27">
        <w:rPr>
          <w:rFonts w:ascii="Times New Roman" w:hAnsi="Times New Roman" w:cs="Times New Roman"/>
          <w:sz w:val="32"/>
          <w:szCs w:val="32"/>
        </w:rPr>
        <w:t>Student ID: 23107667</w:t>
      </w:r>
    </w:p>
    <w:p w14:paraId="7622CD40" w14:textId="7F712E8C" w:rsidR="009F7B27" w:rsidRPr="009F7B27" w:rsidRDefault="009F7B27" w:rsidP="009F7B27">
      <w:pPr>
        <w:rPr>
          <w:rFonts w:ascii="Times New Roman" w:hAnsi="Times New Roman" w:cs="Times New Roman"/>
          <w:sz w:val="32"/>
          <w:szCs w:val="32"/>
        </w:rPr>
      </w:pPr>
      <w:r w:rsidRPr="009F7B27">
        <w:rPr>
          <w:rFonts w:ascii="Times New Roman" w:hAnsi="Times New Roman" w:cs="Times New Roman"/>
          <w:sz w:val="32"/>
          <w:szCs w:val="32"/>
        </w:rPr>
        <w:t>Tableau Public Link:</w:t>
      </w:r>
      <w:r w:rsidR="00411780">
        <w:rPr>
          <w:rFonts w:ascii="Times New Roman" w:hAnsi="Times New Roman" w:cs="Times New Roman"/>
          <w:sz w:val="32"/>
          <w:szCs w:val="32"/>
        </w:rPr>
        <w:t xml:space="preserve"> </w:t>
      </w:r>
      <w:hyperlink r:id="rId5" w:history="1">
        <w:r w:rsidR="00411780" w:rsidRPr="00C56806">
          <w:rPr>
            <w:rStyle w:val="Hyperlink"/>
            <w:rFonts w:ascii="Times New Roman" w:hAnsi="Times New Roman" w:cs="Times New Roman"/>
            <w:sz w:val="32"/>
            <w:szCs w:val="32"/>
          </w:rPr>
          <w:t>https://public.tableau.com/views/23107667_Faisal_Viz/Dashboard3?:language=en-US&amp;:sid=&amp;:redirect=auth&amp;:display_count=n&amp;:origin=viz_share_link</w:t>
        </w:r>
      </w:hyperlink>
      <w:r w:rsidR="00411780">
        <w:rPr>
          <w:rFonts w:ascii="Times New Roman" w:hAnsi="Times New Roman" w:cs="Times New Roman"/>
          <w:sz w:val="32"/>
          <w:szCs w:val="32"/>
        </w:rPr>
        <w:t xml:space="preserve"> </w:t>
      </w:r>
    </w:p>
    <w:p w14:paraId="2F94A47B" w14:textId="7476BF5F" w:rsidR="009F7B27" w:rsidRPr="009F7B27" w:rsidRDefault="009F7B27" w:rsidP="009F7B27"/>
    <w:p w14:paraId="03ED547A" w14:textId="77777777" w:rsidR="009F7B27" w:rsidRPr="002D759E" w:rsidRDefault="009F7B27" w:rsidP="009F7B27"/>
    <w:p w14:paraId="73489C97" w14:textId="135C32BA" w:rsidR="00E66D32" w:rsidRPr="00451C5B" w:rsidRDefault="00E66D32" w:rsidP="00451C5B">
      <w:pPr>
        <w:pStyle w:val="Heading1"/>
        <w:rPr>
          <w:sz w:val="36"/>
          <w:szCs w:val="36"/>
        </w:rPr>
      </w:pPr>
      <w:r w:rsidRPr="00451C5B">
        <w:rPr>
          <w:sz w:val="36"/>
          <w:szCs w:val="36"/>
        </w:rPr>
        <w:lastRenderedPageBreak/>
        <w:t>Executive Summary</w:t>
      </w:r>
    </w:p>
    <w:p w14:paraId="087E59F5" w14:textId="77777777" w:rsidR="00E66D32" w:rsidRPr="00451C5B" w:rsidRDefault="00E66D32" w:rsidP="00451C5B">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Publish and communicate ESG, ESG governance quality and financial results to nine Asia-Pacific markets, using visually appealing, Tableau-driven environmental, social and governance analysis. The results show that there is a difference between the level of ESG maturity in developed and emerging markets. There is less consistent disclosure in Eastern Europe and Asia while Australia, Singapore and New Zealand have a more positive performance in the ESG.</w:t>
      </w:r>
    </w:p>
    <w:p w14:paraId="724DC279" w14:textId="77777777" w:rsidR="00E66D32" w:rsidRPr="00451C5B" w:rsidRDefault="00E66D32" w:rsidP="00451C5B">
      <w:pPr>
        <w:spacing w:after="0" w:line="360" w:lineRule="auto"/>
        <w:jc w:val="both"/>
        <w:rPr>
          <w:rFonts w:ascii="Times New Roman" w:eastAsia="Times New Roman" w:hAnsi="Times New Roman" w:cs="Times New Roman"/>
          <w:sz w:val="24"/>
          <w:szCs w:val="24"/>
        </w:rPr>
      </w:pPr>
    </w:p>
    <w:p w14:paraId="2C2A9E2F" w14:textId="77777777" w:rsidR="00E66D32" w:rsidRPr="00451C5B" w:rsidRDefault="00E66D32" w:rsidP="00451C5B">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Governance characteristics seem to have a significant impact on ESG performance. The more diverse the board and the more evenly split the CEO and chairman, the more positive the ESG results, and the more controversial the industry, the lower the ESG credibility of the board. The financial analysis shows a slight positive relationship between the ESG performance and profitability and valuation of the firm.</w:t>
      </w:r>
    </w:p>
    <w:p w14:paraId="7A033F39" w14:textId="77777777" w:rsidR="00E66D32" w:rsidRPr="00451C5B" w:rsidRDefault="00E66D32" w:rsidP="00451C5B">
      <w:pPr>
        <w:spacing w:after="0" w:line="360" w:lineRule="auto"/>
        <w:jc w:val="both"/>
        <w:rPr>
          <w:rFonts w:ascii="Times New Roman" w:eastAsia="Times New Roman" w:hAnsi="Times New Roman" w:cs="Times New Roman"/>
          <w:sz w:val="24"/>
          <w:szCs w:val="24"/>
        </w:rPr>
      </w:pPr>
    </w:p>
    <w:p w14:paraId="546699CE" w14:textId="603CD5BC" w:rsidR="00E66D32" w:rsidRPr="00451C5B" w:rsidRDefault="00E66D32" w:rsidP="00451C5B">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Forecast analysis reveals that ESG will trend slightly upwards over the next five years, but with larger confidence intervals, there is an increased level of uncertainty. In summary, the results indicate that investor confidence and regulatory alignment are gaining in importance in terms of ESG performance in the markets of Asia-Pacific.</w:t>
      </w:r>
    </w:p>
    <w:p w14:paraId="7F276247" w14:textId="77777777" w:rsidR="00E66D32" w:rsidRPr="00451C5B" w:rsidRDefault="00E66D32" w:rsidP="00451C5B">
      <w:pPr>
        <w:pStyle w:val="Heading1"/>
        <w:rPr>
          <w:sz w:val="36"/>
          <w:szCs w:val="36"/>
        </w:rPr>
      </w:pPr>
      <w:r w:rsidRPr="00451C5B">
        <w:rPr>
          <w:sz w:val="36"/>
          <w:szCs w:val="36"/>
        </w:rPr>
        <w:t>Introduction</w:t>
      </w:r>
    </w:p>
    <w:p w14:paraId="7AC002B6" w14:textId="20C58EA6" w:rsidR="00E66D32" w:rsidRDefault="00E66D32" w:rsidP="00451C5B">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Environmental, social and governance (ESG) is increasingly becoming a relevant factor in the Asia-Pacific capital markets in line with the evolving regulatory and investor requirements in the context of the sustainability related financial risks and disclosure expectations. The regulators in Australia (ASIC and AASB), Singapore (MAS), India (SEBI), Korea (KSSB) and China (HKEX, CSRC) are making the transition to frameworks of IFRS reporting more aligned with the principles set out by the International Sustainability Standards Board (ISSB).</w:t>
      </w:r>
    </w:p>
    <w:p w14:paraId="55FE479A" w14:textId="77777777" w:rsidR="00411780" w:rsidRPr="00451C5B" w:rsidRDefault="00411780" w:rsidP="00451C5B">
      <w:pPr>
        <w:spacing w:after="0" w:line="360" w:lineRule="auto"/>
        <w:jc w:val="both"/>
        <w:rPr>
          <w:rFonts w:ascii="Times New Roman" w:eastAsia="Times New Roman" w:hAnsi="Times New Roman" w:cs="Times New Roman"/>
          <w:sz w:val="24"/>
          <w:szCs w:val="24"/>
        </w:rPr>
      </w:pPr>
    </w:p>
    <w:p w14:paraId="10D9184E" w14:textId="21D169CA" w:rsidR="00E66D32" w:rsidRPr="00451C5B" w:rsidRDefault="00E66D32" w:rsidP="00451C5B">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The degree of ESG maturity is not the same across the Asia-Pacific region. Transparency, disclosure and governance are less robust in the EMs than in the DMs, and there is a lack of consistency between the EMs. This report provides a benchmarking analysis of the ESG performance and governance drivers and financial results of nine Asia-Pacific markets.</w:t>
      </w:r>
    </w:p>
    <w:p w14:paraId="1438749B" w14:textId="77777777" w:rsidR="00451C5B" w:rsidRPr="00451C5B" w:rsidRDefault="00451C5B" w:rsidP="00451C5B">
      <w:pPr>
        <w:pStyle w:val="Heading1"/>
        <w:rPr>
          <w:sz w:val="36"/>
          <w:szCs w:val="36"/>
        </w:rPr>
      </w:pPr>
      <w:r w:rsidRPr="00451C5B">
        <w:rPr>
          <w:sz w:val="36"/>
          <w:szCs w:val="36"/>
        </w:rPr>
        <w:lastRenderedPageBreak/>
        <w:t>Findings &amp; Critical Analysis</w:t>
      </w:r>
    </w:p>
    <w:p w14:paraId="14C659D3" w14:textId="38B89DBF" w:rsidR="005A7559" w:rsidRDefault="00451C5B" w:rsidP="005A7559">
      <w:pPr>
        <w:pStyle w:val="Heading2"/>
        <w:rPr>
          <w:sz w:val="24"/>
          <w:szCs w:val="24"/>
        </w:rPr>
      </w:pPr>
      <w:r w:rsidRPr="00451C5B">
        <w:rPr>
          <w:sz w:val="24"/>
          <w:szCs w:val="24"/>
        </w:rPr>
        <w:t>Dashboard 1</w:t>
      </w:r>
      <w:r>
        <w:rPr>
          <w:sz w:val="24"/>
          <w:szCs w:val="24"/>
        </w:rPr>
        <w:t>:</w:t>
      </w:r>
      <w:r w:rsidRPr="00451C5B">
        <w:rPr>
          <w:sz w:val="24"/>
          <w:szCs w:val="24"/>
        </w:rPr>
        <w:t xml:space="preserve"> Asia-Pacific Market Overview and ESG Trends</w:t>
      </w:r>
    </w:p>
    <w:p w14:paraId="3EDD71DE" w14:textId="2419424E" w:rsidR="005A7559" w:rsidRPr="005A7559" w:rsidRDefault="005A7559" w:rsidP="005A7559">
      <w:pPr>
        <w:spacing w:after="0" w:line="360" w:lineRule="auto"/>
        <w:jc w:val="both"/>
        <w:rPr>
          <w:rFonts w:ascii="Times New Roman" w:eastAsia="Times New Roman" w:hAnsi="Times New Roman" w:cs="Times New Roman"/>
          <w:sz w:val="24"/>
          <w:szCs w:val="24"/>
        </w:rPr>
      </w:pPr>
      <w:r w:rsidRPr="005A7559">
        <w:rPr>
          <w:rFonts w:ascii="Times New Roman" w:eastAsia="Times New Roman" w:hAnsi="Times New Roman" w:cs="Times New Roman"/>
          <w:sz w:val="24"/>
          <w:szCs w:val="24"/>
        </w:rPr>
        <w:t xml:space="preserve">The analysis shows that there are clear differences in ESG performance in the various markets in the Asia-Pacific. Developed countries such as Australia, Singapore and New Zealand all have higher ESG ratings than their emerging market peers. The trend of the ESG scores of the countries from 2010 to 2024 indicates a gradual upward trend in all countries, while the disclosure requirements for sustainability have increased since 2018. The results align with the movement towards the sustainability reporting frameworks based on ISSB </w:t>
      </w:r>
      <w:r w:rsidR="006F5202" w:rsidRPr="006F5202">
        <w:rPr>
          <w:rFonts w:ascii="Times New Roman" w:eastAsia="Times New Roman" w:hAnsi="Times New Roman" w:cs="Times New Roman"/>
          <w:sz w:val="24"/>
          <w:szCs w:val="24"/>
        </w:rPr>
        <w:t>(IFRS - Introduction to the ISSB and IFRS Sustainability Disclosure Standards, n.d.)</w:t>
      </w:r>
    </w:p>
    <w:p w14:paraId="506620B2" w14:textId="7D2F07A5" w:rsidR="005A7559" w:rsidRPr="005A7559" w:rsidRDefault="005A7559" w:rsidP="005A7559">
      <w:pPr>
        <w:spacing w:after="0" w:line="360" w:lineRule="auto"/>
        <w:jc w:val="both"/>
        <w:rPr>
          <w:rFonts w:ascii="Times New Roman" w:eastAsia="Times New Roman" w:hAnsi="Times New Roman" w:cs="Times New Roman"/>
          <w:sz w:val="24"/>
          <w:szCs w:val="24"/>
        </w:rPr>
      </w:pPr>
      <w:r w:rsidRPr="005A7559">
        <w:rPr>
          <w:rFonts w:ascii="Times New Roman" w:eastAsia="Times New Roman" w:hAnsi="Times New Roman" w:cs="Times New Roman"/>
          <w:sz w:val="24"/>
          <w:szCs w:val="24"/>
        </w:rPr>
        <w:t xml:space="preserve">Another significant factor in the ESG differences is industry composition. In many cases, financial services and utilities have a better ESG rating, as they are subjected to a greater level of scrutiny and disclosure. The size effect is evident in the engagement in ESG reporting activity, with larger companies being more likely to report and therefore to be on the ESG front page </w:t>
      </w:r>
      <w:r w:rsidR="006F5202" w:rsidRPr="006F5202">
        <w:rPr>
          <w:rFonts w:ascii="Times New Roman" w:eastAsia="Times New Roman" w:hAnsi="Times New Roman" w:cs="Times New Roman"/>
          <w:sz w:val="24"/>
          <w:szCs w:val="24"/>
        </w:rPr>
        <w:t>(Eccles et al., 2014)</w:t>
      </w:r>
      <w:r w:rsidR="006F5202">
        <w:rPr>
          <w:rFonts w:ascii="Times New Roman" w:eastAsia="Times New Roman" w:hAnsi="Times New Roman" w:cs="Times New Roman"/>
          <w:sz w:val="24"/>
          <w:szCs w:val="24"/>
        </w:rPr>
        <w:t xml:space="preserve">. </w:t>
      </w:r>
    </w:p>
    <w:p w14:paraId="5521E413" w14:textId="4EF4F095" w:rsidR="005A7559" w:rsidRPr="005A7559" w:rsidRDefault="005A7559" w:rsidP="005A7559">
      <w:pPr>
        <w:pStyle w:val="Heading2"/>
        <w:rPr>
          <w:sz w:val="24"/>
          <w:szCs w:val="24"/>
        </w:rPr>
      </w:pPr>
      <w:r w:rsidRPr="005A7559">
        <w:rPr>
          <w:sz w:val="24"/>
          <w:szCs w:val="24"/>
        </w:rPr>
        <w:t>Dashboard 2: Governance Drivers of ESG</w:t>
      </w:r>
    </w:p>
    <w:p w14:paraId="3FCF6AC3" w14:textId="662671F1" w:rsidR="005A7559" w:rsidRDefault="005A7559" w:rsidP="005A7559">
      <w:pPr>
        <w:spacing w:after="0" w:line="360" w:lineRule="auto"/>
        <w:jc w:val="both"/>
        <w:rPr>
          <w:rFonts w:ascii="Times New Roman" w:eastAsia="Times New Roman" w:hAnsi="Times New Roman" w:cs="Times New Roman"/>
          <w:sz w:val="24"/>
          <w:szCs w:val="24"/>
        </w:rPr>
      </w:pPr>
      <w:r w:rsidRPr="005A7559">
        <w:rPr>
          <w:rFonts w:ascii="Times New Roman" w:eastAsia="Times New Roman" w:hAnsi="Times New Roman" w:cs="Times New Roman"/>
          <w:sz w:val="24"/>
          <w:szCs w:val="24"/>
        </w:rPr>
        <w:t>The characteristics of governance seem to be tightly associated with the performance of ESGs. The overall analysis suggests that there is a mild positive relationship between the percentage of women on the board and the ESG quality. The results indicate that board diversity is positively associated with ESG scores, which is the opposite of the simple correlation that would be expected given that a diverse board would help to ensure good board and sustainability governance practices</w:t>
      </w:r>
      <w:r w:rsidR="006F5202">
        <w:rPr>
          <w:rFonts w:ascii="Times New Roman" w:eastAsia="Times New Roman" w:hAnsi="Times New Roman" w:cs="Times New Roman"/>
          <w:sz w:val="24"/>
          <w:szCs w:val="24"/>
        </w:rPr>
        <w:t xml:space="preserve"> </w:t>
      </w:r>
      <w:r w:rsidR="006F5202" w:rsidRPr="006F5202">
        <w:rPr>
          <w:rFonts w:ascii="Times New Roman" w:eastAsia="Times New Roman" w:hAnsi="Times New Roman" w:cs="Times New Roman"/>
          <w:sz w:val="24"/>
          <w:szCs w:val="24"/>
        </w:rPr>
        <w:t>(</w:t>
      </w:r>
      <w:proofErr w:type="spellStart"/>
      <w:r w:rsidR="006F5202" w:rsidRPr="006F5202">
        <w:rPr>
          <w:rFonts w:ascii="Times New Roman" w:eastAsia="Times New Roman" w:hAnsi="Times New Roman" w:cs="Times New Roman"/>
          <w:sz w:val="24"/>
          <w:szCs w:val="24"/>
        </w:rPr>
        <w:t>Friede</w:t>
      </w:r>
      <w:proofErr w:type="spellEnd"/>
      <w:r w:rsidR="006F5202" w:rsidRPr="006F5202">
        <w:rPr>
          <w:rFonts w:ascii="Times New Roman" w:eastAsia="Times New Roman" w:hAnsi="Times New Roman" w:cs="Times New Roman"/>
          <w:sz w:val="24"/>
          <w:szCs w:val="24"/>
        </w:rPr>
        <w:t xml:space="preserve"> et al., 2015)</w:t>
      </w:r>
      <w:r w:rsidR="006F5202">
        <w:rPr>
          <w:rFonts w:ascii="Times New Roman" w:eastAsia="Times New Roman" w:hAnsi="Times New Roman" w:cs="Times New Roman"/>
          <w:sz w:val="24"/>
          <w:szCs w:val="24"/>
        </w:rPr>
        <w:t xml:space="preserve">. </w:t>
      </w:r>
    </w:p>
    <w:p w14:paraId="6BEE1DCA" w14:textId="77777777" w:rsidR="006F5202" w:rsidRPr="005A7559" w:rsidRDefault="006F5202" w:rsidP="005A7559">
      <w:pPr>
        <w:spacing w:after="0" w:line="360" w:lineRule="auto"/>
        <w:jc w:val="both"/>
        <w:rPr>
          <w:rFonts w:ascii="Times New Roman" w:eastAsia="Times New Roman" w:hAnsi="Times New Roman" w:cs="Times New Roman"/>
          <w:sz w:val="24"/>
          <w:szCs w:val="24"/>
        </w:rPr>
      </w:pPr>
    </w:p>
    <w:p w14:paraId="133F9FEC" w14:textId="64279AEA" w:rsidR="005A7559" w:rsidRPr="005A7559" w:rsidRDefault="005A7559" w:rsidP="005A7559">
      <w:pPr>
        <w:spacing w:after="0" w:line="360" w:lineRule="auto"/>
        <w:jc w:val="both"/>
        <w:rPr>
          <w:rFonts w:ascii="Times New Roman" w:eastAsia="Times New Roman" w:hAnsi="Times New Roman" w:cs="Times New Roman"/>
          <w:sz w:val="24"/>
          <w:szCs w:val="24"/>
        </w:rPr>
      </w:pPr>
      <w:r w:rsidRPr="005A7559">
        <w:rPr>
          <w:rFonts w:ascii="Times New Roman" w:eastAsia="Times New Roman" w:hAnsi="Times New Roman" w:cs="Times New Roman"/>
          <w:sz w:val="24"/>
          <w:szCs w:val="24"/>
        </w:rPr>
        <w:t xml:space="preserve">The CEO Duality analysis also reveals that the ESG distributions are slightly greater in the companies where the CEO and Chairperson job roles are separate. Furthermore, as per the analysis of controversy in the industry, companies with high controversy scores tend to have low ESG scores or high ESG volatility scores, which indicates that a company's Controversy score may negatively impact stakeholder trust and ESG credibility scores. SEBI BRSR Core framework in India is another indication of a trend towards transparency and quality of governance in the area </w:t>
      </w:r>
      <w:r w:rsidRPr="005A7559">
        <w:rPr>
          <w:rFonts w:ascii="Times New Roman" w:eastAsia="Times New Roman" w:hAnsi="Times New Roman" w:cs="Times New Roman"/>
          <w:sz w:val="24"/>
          <w:szCs w:val="24"/>
        </w:rPr>
        <w:lastRenderedPageBreak/>
        <w:t>of environmental, social and governance (ESG) issues</w:t>
      </w:r>
      <w:r w:rsidR="006F5202">
        <w:rPr>
          <w:rFonts w:ascii="Times New Roman" w:eastAsia="Times New Roman" w:hAnsi="Times New Roman" w:cs="Times New Roman"/>
          <w:sz w:val="24"/>
          <w:szCs w:val="24"/>
        </w:rPr>
        <w:t xml:space="preserve"> </w:t>
      </w:r>
      <w:r w:rsidR="006F5202" w:rsidRPr="006F5202">
        <w:rPr>
          <w:rFonts w:ascii="Times New Roman" w:eastAsia="Times New Roman" w:hAnsi="Times New Roman" w:cs="Times New Roman"/>
          <w:sz w:val="24"/>
          <w:szCs w:val="24"/>
        </w:rPr>
        <w:t>(ESG Disclosures &amp; Sustainability Report Assurance, n.d.)</w:t>
      </w:r>
      <w:r w:rsidRPr="005A7559">
        <w:rPr>
          <w:rFonts w:ascii="Times New Roman" w:eastAsia="Times New Roman" w:hAnsi="Times New Roman" w:cs="Times New Roman"/>
          <w:sz w:val="24"/>
          <w:szCs w:val="24"/>
        </w:rPr>
        <w:t>.</w:t>
      </w:r>
    </w:p>
    <w:p w14:paraId="64873B33" w14:textId="0D2CDC05" w:rsidR="005A7559" w:rsidRPr="005A7559" w:rsidRDefault="005A7559" w:rsidP="005A7559">
      <w:pPr>
        <w:pStyle w:val="Heading2"/>
        <w:rPr>
          <w:sz w:val="24"/>
          <w:szCs w:val="24"/>
        </w:rPr>
      </w:pPr>
      <w:r w:rsidRPr="005A7559">
        <w:rPr>
          <w:sz w:val="24"/>
          <w:szCs w:val="24"/>
        </w:rPr>
        <w:t>Dashboard 3</w:t>
      </w:r>
      <w:r>
        <w:rPr>
          <w:sz w:val="24"/>
          <w:szCs w:val="24"/>
        </w:rPr>
        <w:t>:</w:t>
      </w:r>
      <w:r w:rsidRPr="005A7559">
        <w:rPr>
          <w:sz w:val="24"/>
          <w:szCs w:val="24"/>
        </w:rPr>
        <w:t xml:space="preserve"> ESG and Financial Outcomes</w:t>
      </w:r>
    </w:p>
    <w:p w14:paraId="5498CB17" w14:textId="437E2254" w:rsidR="005A7559" w:rsidRDefault="005A7559" w:rsidP="005A7559">
      <w:pPr>
        <w:spacing w:after="0" w:line="360" w:lineRule="auto"/>
        <w:jc w:val="both"/>
        <w:rPr>
          <w:rFonts w:ascii="Times New Roman" w:eastAsia="Times New Roman" w:hAnsi="Times New Roman" w:cs="Times New Roman"/>
          <w:sz w:val="24"/>
          <w:szCs w:val="24"/>
        </w:rPr>
      </w:pPr>
      <w:r w:rsidRPr="005A7559">
        <w:rPr>
          <w:rFonts w:ascii="Times New Roman" w:eastAsia="Times New Roman" w:hAnsi="Times New Roman" w:cs="Times New Roman"/>
          <w:sz w:val="24"/>
          <w:szCs w:val="24"/>
        </w:rPr>
        <w:t xml:space="preserve">According to the financial analysis, there is a small positive trend between ESG performance and firm profitability. The ROA x ESG scatterplot shows a positive trend line; however, the R² is relatively low and thus ESG only accounts for a small percentage of the variation in profitability. This finding coincides with previous research indicating that ESG has a positive impact on firm value but ESG's impact on financial performance is not solely explanatory </w:t>
      </w:r>
      <w:r w:rsidR="006F5202" w:rsidRPr="006F5202">
        <w:rPr>
          <w:rFonts w:ascii="Times New Roman" w:eastAsia="Times New Roman" w:hAnsi="Times New Roman" w:cs="Times New Roman"/>
          <w:sz w:val="24"/>
          <w:szCs w:val="24"/>
        </w:rPr>
        <w:t>(Fatemi et al., 2017)</w:t>
      </w:r>
      <w:r w:rsidR="006F5202">
        <w:rPr>
          <w:rFonts w:ascii="Times New Roman" w:eastAsia="Times New Roman" w:hAnsi="Times New Roman" w:cs="Times New Roman"/>
          <w:sz w:val="24"/>
          <w:szCs w:val="24"/>
        </w:rPr>
        <w:t xml:space="preserve">. </w:t>
      </w:r>
    </w:p>
    <w:p w14:paraId="58F7BDFE" w14:textId="77777777" w:rsidR="006F5202" w:rsidRPr="005A7559" w:rsidRDefault="006F5202" w:rsidP="005A7559">
      <w:pPr>
        <w:spacing w:after="0" w:line="360" w:lineRule="auto"/>
        <w:jc w:val="both"/>
        <w:rPr>
          <w:rFonts w:ascii="Times New Roman" w:eastAsia="Times New Roman" w:hAnsi="Times New Roman" w:cs="Times New Roman"/>
          <w:sz w:val="24"/>
          <w:szCs w:val="24"/>
        </w:rPr>
      </w:pPr>
    </w:p>
    <w:p w14:paraId="04B4116B" w14:textId="33408C12" w:rsidR="005A7559" w:rsidRDefault="005A7559" w:rsidP="005A7559">
      <w:pPr>
        <w:spacing w:after="0" w:line="360" w:lineRule="auto"/>
        <w:jc w:val="both"/>
        <w:rPr>
          <w:rFonts w:ascii="Times New Roman" w:eastAsia="Times New Roman" w:hAnsi="Times New Roman" w:cs="Times New Roman"/>
          <w:sz w:val="24"/>
          <w:szCs w:val="24"/>
        </w:rPr>
      </w:pPr>
      <w:r w:rsidRPr="005A7559">
        <w:rPr>
          <w:rFonts w:ascii="Times New Roman" w:eastAsia="Times New Roman" w:hAnsi="Times New Roman" w:cs="Times New Roman"/>
          <w:sz w:val="24"/>
          <w:szCs w:val="24"/>
        </w:rPr>
        <w:t>Forecast analysis indicates average ESG scores will continue to rise in a gradual fashion until 2028, and Tobin's Q will be around the same level. However, the increasing width of the 95% confidence intervals indicate increases in uncertainty regarding long-term forecasts. Moreover, companies with ESG ratings above the ESG High Threshold have performed better financially than companies with ESG ratings below the threshold, as can be clearly seen in developed markets such as Australia and Singapore.</w:t>
      </w:r>
    </w:p>
    <w:p w14:paraId="4E4A5D5D" w14:textId="77777777" w:rsidR="006F5202" w:rsidRPr="005A7559" w:rsidRDefault="006F5202" w:rsidP="005A7559">
      <w:pPr>
        <w:spacing w:after="0" w:line="360" w:lineRule="auto"/>
        <w:jc w:val="both"/>
        <w:rPr>
          <w:rFonts w:ascii="Times New Roman" w:eastAsia="Times New Roman" w:hAnsi="Times New Roman" w:cs="Times New Roman"/>
          <w:sz w:val="24"/>
          <w:szCs w:val="24"/>
        </w:rPr>
      </w:pPr>
    </w:p>
    <w:p w14:paraId="7273841A" w14:textId="0B0CE41B" w:rsidR="005A7559" w:rsidRDefault="005A7559" w:rsidP="005A7559">
      <w:pPr>
        <w:spacing w:after="0" w:line="360" w:lineRule="auto"/>
        <w:jc w:val="both"/>
        <w:rPr>
          <w:rFonts w:ascii="Times New Roman" w:eastAsia="Times New Roman" w:hAnsi="Times New Roman" w:cs="Times New Roman"/>
          <w:sz w:val="24"/>
          <w:szCs w:val="24"/>
        </w:rPr>
      </w:pPr>
      <w:r w:rsidRPr="005A7559">
        <w:rPr>
          <w:rFonts w:ascii="Times New Roman" w:eastAsia="Times New Roman" w:hAnsi="Times New Roman" w:cs="Times New Roman"/>
          <w:sz w:val="24"/>
          <w:szCs w:val="24"/>
        </w:rPr>
        <w:t>However, there are several points of caution to note: Provider disagreement, disclosure bias, backfilling bias and size bias are reported in ESG measures by Refinitiv/LSEG, as the reporting of ESG is biased towards larger companies. Some data are missing and the reporting quality varies between markets, particularly smaller markets such as Bangladesh and New Zealand, can also affect the comparability.</w:t>
      </w:r>
    </w:p>
    <w:p w14:paraId="6BA434EA" w14:textId="77777777" w:rsidR="002D759E" w:rsidRPr="00411780" w:rsidRDefault="002D759E" w:rsidP="00411780">
      <w:pPr>
        <w:pStyle w:val="Heading1"/>
        <w:rPr>
          <w:sz w:val="36"/>
          <w:szCs w:val="36"/>
        </w:rPr>
      </w:pPr>
      <w:r w:rsidRPr="00411780">
        <w:rPr>
          <w:sz w:val="36"/>
          <w:szCs w:val="36"/>
        </w:rPr>
        <w:t>Recommendations</w:t>
      </w:r>
    </w:p>
    <w:p w14:paraId="158EE63A" w14:textId="77777777" w:rsidR="002D759E" w:rsidRPr="00451C5B" w:rsidRDefault="002D759E" w:rsidP="00451C5B">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 xml:space="preserve">Boards of directors within the Asia-Pacific markets need to enhance governance quality by improving the independence of their board and increasing the gender diversity of their board members, and separating the role of the CEO and the Chairperson where appropriate. </w:t>
      </w:r>
      <w:proofErr w:type="spellStart"/>
      <w:r w:rsidRPr="00451C5B">
        <w:rPr>
          <w:rFonts w:ascii="Times New Roman" w:eastAsia="Times New Roman" w:hAnsi="Times New Roman" w:cs="Times New Roman"/>
          <w:sz w:val="24"/>
          <w:szCs w:val="24"/>
        </w:rPr>
        <w:t>Organisations</w:t>
      </w:r>
      <w:proofErr w:type="spellEnd"/>
      <w:r w:rsidRPr="00451C5B">
        <w:rPr>
          <w:rFonts w:ascii="Times New Roman" w:eastAsia="Times New Roman" w:hAnsi="Times New Roman" w:cs="Times New Roman"/>
          <w:sz w:val="24"/>
          <w:szCs w:val="24"/>
        </w:rPr>
        <w:t xml:space="preserve"> should also proactively cover ESG issues and enhance their sustainability reporting in accordance with the ISSB and local laws.</w:t>
      </w:r>
    </w:p>
    <w:p w14:paraId="2623043B" w14:textId="15EC95ED" w:rsidR="002D759E" w:rsidRDefault="002D759E" w:rsidP="00451C5B">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 xml:space="preserve">Investors need to better incorporate ESG into the valuation and risk analysis. But investors need to be aware of the quality of disclosure, reporting experience and threshold of interpretation for </w:t>
      </w:r>
      <w:r w:rsidRPr="00451C5B">
        <w:rPr>
          <w:rFonts w:ascii="Times New Roman" w:eastAsia="Times New Roman" w:hAnsi="Times New Roman" w:cs="Times New Roman"/>
          <w:sz w:val="24"/>
          <w:szCs w:val="24"/>
        </w:rPr>
        <w:lastRenderedPageBreak/>
        <w:t>ESG metrics, which are key differences across countries in the Asia-Pacific region when comparing companies.</w:t>
      </w:r>
    </w:p>
    <w:p w14:paraId="3040501C" w14:textId="77777777" w:rsidR="006F5202" w:rsidRPr="00451C5B" w:rsidRDefault="006F5202" w:rsidP="00451C5B">
      <w:pPr>
        <w:spacing w:after="0" w:line="360" w:lineRule="auto"/>
        <w:jc w:val="both"/>
        <w:rPr>
          <w:rFonts w:ascii="Times New Roman" w:eastAsia="Times New Roman" w:hAnsi="Times New Roman" w:cs="Times New Roman"/>
          <w:sz w:val="24"/>
          <w:szCs w:val="24"/>
        </w:rPr>
      </w:pPr>
    </w:p>
    <w:p w14:paraId="6FB3F6FD" w14:textId="170DBBDC" w:rsidR="002D759E" w:rsidRPr="00451C5B" w:rsidRDefault="002D759E" w:rsidP="00451C5B">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 xml:space="preserve">Regulators to continue to work on disclosure frameworks to converge with ISSB and </w:t>
      </w:r>
      <w:proofErr w:type="spellStart"/>
      <w:r w:rsidRPr="00451C5B">
        <w:rPr>
          <w:rFonts w:ascii="Times New Roman" w:eastAsia="Times New Roman" w:hAnsi="Times New Roman" w:cs="Times New Roman"/>
          <w:sz w:val="24"/>
          <w:szCs w:val="24"/>
        </w:rPr>
        <w:t>standardise</w:t>
      </w:r>
      <w:proofErr w:type="spellEnd"/>
      <w:r w:rsidRPr="00451C5B">
        <w:rPr>
          <w:rFonts w:ascii="Times New Roman" w:eastAsia="Times New Roman" w:hAnsi="Times New Roman" w:cs="Times New Roman"/>
          <w:sz w:val="24"/>
          <w:szCs w:val="24"/>
        </w:rPr>
        <w:t xml:space="preserve"> regional disclosures. ASIC/AASB, MAS, SEBI, HKEX, CSRC and KSSB need to promote greater uniformity in disclosure particularly in the case of the smaller companies and emerging markets. The more transparent the information becomes regarding ESG, the more investors would be assured, the less information asymmetry, and the more the financing costs would be reduced for companies in the long-term.</w:t>
      </w:r>
    </w:p>
    <w:p w14:paraId="6617482F" w14:textId="77777777" w:rsidR="002D759E" w:rsidRPr="00411780" w:rsidRDefault="002D759E" w:rsidP="00411780">
      <w:pPr>
        <w:pStyle w:val="Heading1"/>
        <w:rPr>
          <w:sz w:val="36"/>
          <w:szCs w:val="36"/>
        </w:rPr>
      </w:pPr>
      <w:r w:rsidRPr="00411780">
        <w:rPr>
          <w:sz w:val="36"/>
          <w:szCs w:val="36"/>
        </w:rPr>
        <w:t>Conclusion</w:t>
      </w:r>
    </w:p>
    <w:p w14:paraId="1D2DB792" w14:textId="2E4DFFB0" w:rsidR="004E2BC9" w:rsidRDefault="002D759E" w:rsidP="00854C26">
      <w:pPr>
        <w:spacing w:after="0" w:line="360" w:lineRule="auto"/>
        <w:jc w:val="both"/>
        <w:rPr>
          <w:rFonts w:ascii="Times New Roman" w:eastAsia="Times New Roman" w:hAnsi="Times New Roman" w:cs="Times New Roman"/>
          <w:sz w:val="24"/>
          <w:szCs w:val="24"/>
        </w:rPr>
      </w:pPr>
      <w:r w:rsidRPr="00451C5B">
        <w:rPr>
          <w:rFonts w:ascii="Times New Roman" w:eastAsia="Times New Roman" w:hAnsi="Times New Roman" w:cs="Times New Roman"/>
          <w:sz w:val="24"/>
          <w:szCs w:val="24"/>
        </w:rPr>
        <w:t xml:space="preserve">The analysis reveals that today, there is a new connection between ESG performance and positive financial outcomes in the Asia-Pacific market, which is related to the quality of governance. The ESG–financial correlation is still weak on a statistical level, but statistically, the correlation is positive and stronger profitability and valuation performance are observed in higher ESG firms. The ESG maturity levels remain high in developed markets with challenges of disclosure diversity and reporting restrictions in emerging markets. The introduction of ESG factors is likely to become more relevant in corporate strategy, investor decision-making and the formulation of regulatory policy in the coming years as the sustainability frameworks </w:t>
      </w:r>
      <w:proofErr w:type="spellStart"/>
      <w:r w:rsidRPr="00451C5B">
        <w:rPr>
          <w:rFonts w:ascii="Times New Roman" w:eastAsia="Times New Roman" w:hAnsi="Times New Roman" w:cs="Times New Roman"/>
          <w:sz w:val="24"/>
          <w:szCs w:val="24"/>
        </w:rPr>
        <w:t>harmonised</w:t>
      </w:r>
      <w:proofErr w:type="spellEnd"/>
      <w:r w:rsidRPr="00451C5B">
        <w:rPr>
          <w:rFonts w:ascii="Times New Roman" w:eastAsia="Times New Roman" w:hAnsi="Times New Roman" w:cs="Times New Roman"/>
          <w:sz w:val="24"/>
          <w:szCs w:val="24"/>
        </w:rPr>
        <w:t xml:space="preserve"> with the ISSB are being rolled out throughout the region.</w:t>
      </w:r>
    </w:p>
    <w:p w14:paraId="0156E1A7" w14:textId="7D1B678E" w:rsidR="006F5202" w:rsidRDefault="006F5202" w:rsidP="00854C26">
      <w:pPr>
        <w:spacing w:after="0" w:line="360" w:lineRule="auto"/>
        <w:jc w:val="both"/>
        <w:rPr>
          <w:rFonts w:ascii="Times New Roman" w:eastAsia="Times New Roman" w:hAnsi="Times New Roman" w:cs="Times New Roman"/>
          <w:sz w:val="24"/>
          <w:szCs w:val="24"/>
        </w:rPr>
      </w:pPr>
    </w:p>
    <w:p w14:paraId="1F60B304" w14:textId="5BC06C34" w:rsidR="006F5202" w:rsidRDefault="006F5202" w:rsidP="00854C26">
      <w:pPr>
        <w:spacing w:after="0" w:line="360" w:lineRule="auto"/>
        <w:jc w:val="both"/>
        <w:rPr>
          <w:rFonts w:ascii="Times New Roman" w:eastAsia="Times New Roman" w:hAnsi="Times New Roman" w:cs="Times New Roman"/>
          <w:sz w:val="24"/>
          <w:szCs w:val="24"/>
        </w:rPr>
      </w:pPr>
    </w:p>
    <w:p w14:paraId="0003F93C" w14:textId="337D2D51" w:rsidR="006F5202" w:rsidRDefault="006F5202" w:rsidP="00854C26">
      <w:pPr>
        <w:spacing w:after="0" w:line="360" w:lineRule="auto"/>
        <w:jc w:val="both"/>
        <w:rPr>
          <w:rFonts w:ascii="Times New Roman" w:eastAsia="Times New Roman" w:hAnsi="Times New Roman" w:cs="Times New Roman"/>
          <w:sz w:val="24"/>
          <w:szCs w:val="24"/>
        </w:rPr>
      </w:pPr>
    </w:p>
    <w:p w14:paraId="644050F2" w14:textId="126E3762" w:rsidR="006F5202" w:rsidRDefault="006F5202" w:rsidP="00854C26">
      <w:pPr>
        <w:spacing w:after="0" w:line="360" w:lineRule="auto"/>
        <w:jc w:val="both"/>
        <w:rPr>
          <w:rFonts w:ascii="Times New Roman" w:eastAsia="Times New Roman" w:hAnsi="Times New Roman" w:cs="Times New Roman"/>
          <w:sz w:val="24"/>
          <w:szCs w:val="24"/>
        </w:rPr>
      </w:pPr>
    </w:p>
    <w:p w14:paraId="294F7622" w14:textId="6873AD6C" w:rsidR="006F5202" w:rsidRDefault="006F5202" w:rsidP="00854C26">
      <w:pPr>
        <w:spacing w:after="0" w:line="360" w:lineRule="auto"/>
        <w:jc w:val="both"/>
        <w:rPr>
          <w:rFonts w:ascii="Times New Roman" w:eastAsia="Times New Roman" w:hAnsi="Times New Roman" w:cs="Times New Roman"/>
          <w:sz w:val="24"/>
          <w:szCs w:val="24"/>
        </w:rPr>
      </w:pPr>
    </w:p>
    <w:p w14:paraId="38D0F57B" w14:textId="48B40C15" w:rsidR="006F5202" w:rsidRDefault="006F5202" w:rsidP="00854C26">
      <w:pPr>
        <w:spacing w:after="0" w:line="360" w:lineRule="auto"/>
        <w:jc w:val="both"/>
        <w:rPr>
          <w:rFonts w:ascii="Times New Roman" w:eastAsia="Times New Roman" w:hAnsi="Times New Roman" w:cs="Times New Roman"/>
          <w:sz w:val="24"/>
          <w:szCs w:val="24"/>
        </w:rPr>
      </w:pPr>
    </w:p>
    <w:p w14:paraId="3E405B65" w14:textId="45FEFC65" w:rsidR="006F5202" w:rsidRDefault="006F5202" w:rsidP="00854C26">
      <w:pPr>
        <w:spacing w:after="0" w:line="360" w:lineRule="auto"/>
        <w:jc w:val="both"/>
        <w:rPr>
          <w:rFonts w:ascii="Times New Roman" w:eastAsia="Times New Roman" w:hAnsi="Times New Roman" w:cs="Times New Roman"/>
          <w:sz w:val="24"/>
          <w:szCs w:val="24"/>
        </w:rPr>
      </w:pPr>
    </w:p>
    <w:p w14:paraId="62258C33" w14:textId="558074BD" w:rsidR="006F5202" w:rsidRDefault="006F5202" w:rsidP="00854C26">
      <w:pPr>
        <w:spacing w:after="0" w:line="360" w:lineRule="auto"/>
        <w:jc w:val="both"/>
        <w:rPr>
          <w:rFonts w:ascii="Times New Roman" w:eastAsia="Times New Roman" w:hAnsi="Times New Roman" w:cs="Times New Roman"/>
          <w:sz w:val="24"/>
          <w:szCs w:val="24"/>
        </w:rPr>
      </w:pPr>
    </w:p>
    <w:p w14:paraId="3C0B6C4C" w14:textId="1D468032" w:rsidR="006F5202" w:rsidRDefault="006F5202" w:rsidP="00854C26">
      <w:pPr>
        <w:spacing w:after="0" w:line="360" w:lineRule="auto"/>
        <w:jc w:val="both"/>
        <w:rPr>
          <w:rFonts w:ascii="Times New Roman" w:eastAsia="Times New Roman" w:hAnsi="Times New Roman" w:cs="Times New Roman"/>
          <w:sz w:val="24"/>
          <w:szCs w:val="24"/>
        </w:rPr>
      </w:pPr>
    </w:p>
    <w:p w14:paraId="34B0B6D0" w14:textId="77777777" w:rsidR="006F5202" w:rsidRDefault="006F5202" w:rsidP="00854C26">
      <w:pPr>
        <w:spacing w:after="0" w:line="360" w:lineRule="auto"/>
        <w:jc w:val="both"/>
        <w:rPr>
          <w:rFonts w:ascii="Times New Roman" w:eastAsia="Times New Roman" w:hAnsi="Times New Roman" w:cs="Times New Roman"/>
          <w:sz w:val="24"/>
          <w:szCs w:val="24"/>
        </w:rPr>
      </w:pPr>
    </w:p>
    <w:p w14:paraId="566C69C7" w14:textId="77777777" w:rsidR="006F5202" w:rsidRPr="00854C26" w:rsidRDefault="006F5202" w:rsidP="00854C26">
      <w:pPr>
        <w:spacing w:after="0" w:line="360" w:lineRule="auto"/>
        <w:jc w:val="both"/>
        <w:rPr>
          <w:rFonts w:ascii="Times New Roman" w:eastAsia="Times New Roman" w:hAnsi="Times New Roman" w:cs="Times New Roman"/>
          <w:sz w:val="24"/>
          <w:szCs w:val="24"/>
        </w:rPr>
      </w:pPr>
    </w:p>
    <w:p w14:paraId="7DE81F52" w14:textId="77777777" w:rsidR="004E2BC9" w:rsidRPr="00854C26" w:rsidRDefault="004E2BC9" w:rsidP="00854C26">
      <w:pPr>
        <w:pStyle w:val="Heading1"/>
        <w:rPr>
          <w:sz w:val="36"/>
          <w:szCs w:val="36"/>
        </w:rPr>
      </w:pPr>
      <w:r w:rsidRPr="00854C26">
        <w:rPr>
          <w:sz w:val="36"/>
          <w:szCs w:val="36"/>
        </w:rPr>
        <w:lastRenderedPageBreak/>
        <w:t>References</w:t>
      </w:r>
    </w:p>
    <w:p w14:paraId="339D314C" w14:textId="7F45646E" w:rsidR="00854C26" w:rsidRDefault="00854C26" w:rsidP="00854C26">
      <w:pPr>
        <w:pStyle w:val="NormalWeb"/>
        <w:spacing w:before="0" w:beforeAutospacing="0" w:after="0" w:afterAutospacing="0" w:line="480" w:lineRule="auto"/>
        <w:ind w:left="720" w:hanging="720"/>
      </w:pPr>
      <w:r>
        <w:t xml:space="preserve">Eccles, R. G., </w:t>
      </w:r>
      <w:proofErr w:type="spellStart"/>
      <w:r>
        <w:t>Ioannou</w:t>
      </w:r>
      <w:proofErr w:type="spellEnd"/>
      <w:r>
        <w:t xml:space="preserve">, I., &amp; </w:t>
      </w:r>
      <w:proofErr w:type="spellStart"/>
      <w:r>
        <w:t>Serafeim</w:t>
      </w:r>
      <w:proofErr w:type="spellEnd"/>
      <w:r>
        <w:t xml:space="preserve">, G. (2014). The impact of corporate sustainability on organizational processes and performance. </w:t>
      </w:r>
      <w:r>
        <w:rPr>
          <w:i/>
          <w:iCs/>
        </w:rPr>
        <w:t>Management Science</w:t>
      </w:r>
      <w:r>
        <w:t xml:space="preserve">, </w:t>
      </w:r>
      <w:r>
        <w:rPr>
          <w:i/>
          <w:iCs/>
        </w:rPr>
        <w:t>60</w:t>
      </w:r>
      <w:r>
        <w:t xml:space="preserve">(11), 2835–2857. </w:t>
      </w:r>
      <w:hyperlink r:id="rId6" w:history="1">
        <w:r w:rsidR="006F5202" w:rsidRPr="00C56806">
          <w:rPr>
            <w:rStyle w:val="Hyperlink"/>
          </w:rPr>
          <w:t>https://doi.org/10.1287/mnsc.2014.1984</w:t>
        </w:r>
      </w:hyperlink>
      <w:r w:rsidR="006F5202">
        <w:rPr>
          <w:rStyle w:val="url"/>
        </w:rPr>
        <w:t xml:space="preserve"> </w:t>
      </w:r>
    </w:p>
    <w:p w14:paraId="3078F59F" w14:textId="51563422" w:rsidR="00854C26" w:rsidRDefault="00854C26" w:rsidP="00854C26">
      <w:pPr>
        <w:pStyle w:val="NormalWeb"/>
        <w:spacing w:before="0" w:beforeAutospacing="0" w:after="0" w:afterAutospacing="0" w:line="480" w:lineRule="auto"/>
        <w:ind w:left="720" w:hanging="720"/>
      </w:pPr>
      <w:r>
        <w:rPr>
          <w:i/>
          <w:iCs/>
        </w:rPr>
        <w:t>ESG Disclosures &amp; Sustainability Report Assurance</w:t>
      </w:r>
      <w:r>
        <w:t xml:space="preserve">. (n.d.). </w:t>
      </w:r>
      <w:proofErr w:type="spellStart"/>
      <w:r>
        <w:t>SGSCorp</w:t>
      </w:r>
      <w:proofErr w:type="spellEnd"/>
      <w:r>
        <w:t xml:space="preserve">. </w:t>
      </w:r>
      <w:hyperlink r:id="rId7" w:history="1">
        <w:r w:rsidR="006F5202" w:rsidRPr="00C56806">
          <w:rPr>
            <w:rStyle w:val="Hyperlink"/>
          </w:rPr>
          <w:t>https://www.sgs.com/en-in/services/esg-disclosures-and-sustainability-report-assurance</w:t>
        </w:r>
      </w:hyperlink>
      <w:r w:rsidR="006F5202">
        <w:rPr>
          <w:rStyle w:val="url"/>
        </w:rPr>
        <w:t xml:space="preserve"> </w:t>
      </w:r>
    </w:p>
    <w:p w14:paraId="2B739367" w14:textId="3F896C89" w:rsidR="00854C26" w:rsidRDefault="00854C26" w:rsidP="00854C26">
      <w:pPr>
        <w:pStyle w:val="NormalWeb"/>
        <w:spacing w:before="0" w:beforeAutospacing="0" w:after="0" w:afterAutospacing="0" w:line="480" w:lineRule="auto"/>
        <w:ind w:left="720" w:hanging="720"/>
      </w:pPr>
      <w:r>
        <w:t xml:space="preserve">Fatemi, A., </w:t>
      </w:r>
      <w:proofErr w:type="spellStart"/>
      <w:r>
        <w:t>Glaum</w:t>
      </w:r>
      <w:proofErr w:type="spellEnd"/>
      <w:r>
        <w:t xml:space="preserve">, M., &amp; Kaiser, S. (2017). ESG performance and firm value: The moderating role of disclosure. </w:t>
      </w:r>
      <w:r>
        <w:rPr>
          <w:i/>
          <w:iCs/>
        </w:rPr>
        <w:t>Global Finance Journal</w:t>
      </w:r>
      <w:r>
        <w:t xml:space="preserve">, </w:t>
      </w:r>
      <w:r>
        <w:rPr>
          <w:i/>
          <w:iCs/>
        </w:rPr>
        <w:t>38</w:t>
      </w:r>
      <w:r>
        <w:t xml:space="preserve">, 45–64. </w:t>
      </w:r>
      <w:hyperlink r:id="rId8" w:history="1">
        <w:r w:rsidR="006F5202" w:rsidRPr="00C56806">
          <w:rPr>
            <w:rStyle w:val="Hyperlink"/>
          </w:rPr>
          <w:t>https://doi.org/10.1016/j.gfj.2017.03.001</w:t>
        </w:r>
      </w:hyperlink>
      <w:r w:rsidR="006F5202">
        <w:rPr>
          <w:rStyle w:val="url"/>
        </w:rPr>
        <w:t xml:space="preserve"> </w:t>
      </w:r>
    </w:p>
    <w:p w14:paraId="0BEAAA91" w14:textId="3B0F93D4" w:rsidR="00854C26" w:rsidRDefault="00854C26" w:rsidP="00854C26">
      <w:pPr>
        <w:pStyle w:val="NormalWeb"/>
        <w:spacing w:before="0" w:beforeAutospacing="0" w:after="0" w:afterAutospacing="0" w:line="480" w:lineRule="auto"/>
        <w:ind w:left="720" w:hanging="720"/>
      </w:pPr>
      <w:proofErr w:type="spellStart"/>
      <w:r>
        <w:t>Friede</w:t>
      </w:r>
      <w:proofErr w:type="spellEnd"/>
      <w:r>
        <w:t xml:space="preserve">, G., Busch, T., &amp; </w:t>
      </w:r>
      <w:proofErr w:type="spellStart"/>
      <w:r>
        <w:t>Bassen</w:t>
      </w:r>
      <w:proofErr w:type="spellEnd"/>
      <w:r>
        <w:t xml:space="preserve">, A. (2015). ESG and financial performance: aggregated evidence from more than 2000 empirical studies. </w:t>
      </w:r>
      <w:r>
        <w:rPr>
          <w:i/>
          <w:iCs/>
        </w:rPr>
        <w:t>Journal of Sustainable Finance &amp; Investment</w:t>
      </w:r>
      <w:r>
        <w:t xml:space="preserve">, </w:t>
      </w:r>
      <w:r>
        <w:rPr>
          <w:i/>
          <w:iCs/>
        </w:rPr>
        <w:t>5</w:t>
      </w:r>
      <w:r>
        <w:t xml:space="preserve">(4), 210–233. </w:t>
      </w:r>
      <w:hyperlink r:id="rId9" w:history="1">
        <w:r w:rsidR="006F5202" w:rsidRPr="00C56806">
          <w:rPr>
            <w:rStyle w:val="Hyperlink"/>
          </w:rPr>
          <w:t>https://doi.org/10.1080/20430795.2015.1118917</w:t>
        </w:r>
      </w:hyperlink>
      <w:r w:rsidR="006F5202">
        <w:rPr>
          <w:rStyle w:val="url"/>
        </w:rPr>
        <w:t xml:space="preserve"> </w:t>
      </w:r>
    </w:p>
    <w:p w14:paraId="449E2F7A" w14:textId="39E4D208" w:rsidR="00854C26" w:rsidRDefault="00854C26" w:rsidP="00854C26">
      <w:pPr>
        <w:pStyle w:val="NormalWeb"/>
        <w:spacing w:before="0" w:beforeAutospacing="0" w:after="0" w:afterAutospacing="0" w:line="480" w:lineRule="auto"/>
        <w:ind w:left="720" w:hanging="720"/>
      </w:pPr>
      <w:r>
        <w:rPr>
          <w:i/>
          <w:iCs/>
        </w:rPr>
        <w:t>IFRS - Introduction to the ISSB and IFRS Sustainability Disclosure Standards</w:t>
      </w:r>
      <w:r>
        <w:t xml:space="preserve">. (n.d.). </w:t>
      </w:r>
      <w:hyperlink r:id="rId10" w:history="1">
        <w:r w:rsidR="006F5202" w:rsidRPr="00C56806">
          <w:rPr>
            <w:rStyle w:val="Hyperlink"/>
          </w:rPr>
          <w:t>https://www.ifrs.org/sustainability/knowledge-hub/introduction-to-issb-and-ifrs-sustainability-disclosure-standards/</w:t>
        </w:r>
      </w:hyperlink>
      <w:r w:rsidR="006F5202">
        <w:rPr>
          <w:rStyle w:val="url"/>
        </w:rPr>
        <w:t xml:space="preserve"> </w:t>
      </w:r>
    </w:p>
    <w:p w14:paraId="2722D544" w14:textId="11B01C56" w:rsidR="004E2BC9" w:rsidRDefault="004E2BC9" w:rsidP="00451C5B">
      <w:pPr>
        <w:spacing w:after="0" w:line="360" w:lineRule="auto"/>
        <w:jc w:val="both"/>
        <w:rPr>
          <w:rFonts w:ascii="Times New Roman" w:hAnsi="Times New Roman" w:cs="Times New Roman"/>
          <w:sz w:val="24"/>
          <w:szCs w:val="24"/>
        </w:rPr>
      </w:pPr>
    </w:p>
    <w:p w14:paraId="00BECE81" w14:textId="77777777" w:rsidR="005A7559" w:rsidRPr="00451C5B" w:rsidRDefault="005A7559" w:rsidP="00451C5B">
      <w:pPr>
        <w:spacing w:after="0" w:line="360" w:lineRule="auto"/>
        <w:jc w:val="both"/>
        <w:rPr>
          <w:rFonts w:ascii="Times New Roman" w:hAnsi="Times New Roman" w:cs="Times New Roman"/>
          <w:sz w:val="24"/>
          <w:szCs w:val="24"/>
        </w:rPr>
      </w:pPr>
    </w:p>
    <w:sectPr w:rsidR="005A7559" w:rsidRPr="00451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9E"/>
    <w:rsid w:val="00235260"/>
    <w:rsid w:val="002D759E"/>
    <w:rsid w:val="0033132C"/>
    <w:rsid w:val="00411780"/>
    <w:rsid w:val="00451C5B"/>
    <w:rsid w:val="004E2BC9"/>
    <w:rsid w:val="005A7559"/>
    <w:rsid w:val="006937D2"/>
    <w:rsid w:val="006F5202"/>
    <w:rsid w:val="0073138B"/>
    <w:rsid w:val="00854C26"/>
    <w:rsid w:val="0091405A"/>
    <w:rsid w:val="009F7B27"/>
    <w:rsid w:val="00A86ADF"/>
    <w:rsid w:val="00E6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AD89"/>
  <w15:chartTrackingRefBased/>
  <w15:docId w15:val="{4DBD2514-6DF4-4409-870D-3178576D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75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75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117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759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D759E"/>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9F7B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B27"/>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451C5B"/>
    <w:rPr>
      <w:color w:val="808080"/>
    </w:rPr>
  </w:style>
  <w:style w:type="character" w:styleId="Hyperlink">
    <w:name w:val="Hyperlink"/>
    <w:basedOn w:val="DefaultParagraphFont"/>
    <w:uiPriority w:val="99"/>
    <w:unhideWhenUsed/>
    <w:rsid w:val="00411780"/>
    <w:rPr>
      <w:color w:val="0563C1" w:themeColor="hyperlink"/>
      <w:u w:val="single"/>
    </w:rPr>
  </w:style>
  <w:style w:type="character" w:styleId="UnresolvedMention">
    <w:name w:val="Unresolved Mention"/>
    <w:basedOn w:val="DefaultParagraphFont"/>
    <w:uiPriority w:val="99"/>
    <w:semiHidden/>
    <w:unhideWhenUsed/>
    <w:rsid w:val="00411780"/>
    <w:rPr>
      <w:color w:val="605E5C"/>
      <w:shd w:val="clear" w:color="auto" w:fill="E1DFDD"/>
    </w:rPr>
  </w:style>
  <w:style w:type="character" w:styleId="FollowedHyperlink">
    <w:name w:val="FollowedHyperlink"/>
    <w:basedOn w:val="DefaultParagraphFont"/>
    <w:uiPriority w:val="99"/>
    <w:semiHidden/>
    <w:unhideWhenUsed/>
    <w:rsid w:val="00411780"/>
    <w:rPr>
      <w:color w:val="954F72" w:themeColor="followedHyperlink"/>
      <w:u w:val="single"/>
    </w:rPr>
  </w:style>
  <w:style w:type="character" w:customStyle="1" w:styleId="Heading3Char">
    <w:name w:val="Heading 3 Char"/>
    <w:basedOn w:val="DefaultParagraphFont"/>
    <w:link w:val="Heading3"/>
    <w:uiPriority w:val="9"/>
    <w:semiHidden/>
    <w:rsid w:val="0041178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4E2BC9"/>
    <w:rPr>
      <w:i/>
      <w:iCs/>
    </w:rPr>
  </w:style>
  <w:style w:type="character" w:customStyle="1" w:styleId="url">
    <w:name w:val="url"/>
    <w:basedOn w:val="DefaultParagraphFont"/>
    <w:rsid w:val="00854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3379">
      <w:bodyDiv w:val="1"/>
      <w:marLeft w:val="0"/>
      <w:marRight w:val="0"/>
      <w:marTop w:val="0"/>
      <w:marBottom w:val="0"/>
      <w:divBdr>
        <w:top w:val="none" w:sz="0" w:space="0" w:color="auto"/>
        <w:left w:val="none" w:sz="0" w:space="0" w:color="auto"/>
        <w:bottom w:val="none" w:sz="0" w:space="0" w:color="auto"/>
        <w:right w:val="none" w:sz="0" w:space="0" w:color="auto"/>
      </w:divBdr>
    </w:div>
    <w:div w:id="216087307">
      <w:bodyDiv w:val="1"/>
      <w:marLeft w:val="0"/>
      <w:marRight w:val="0"/>
      <w:marTop w:val="0"/>
      <w:marBottom w:val="0"/>
      <w:divBdr>
        <w:top w:val="none" w:sz="0" w:space="0" w:color="auto"/>
        <w:left w:val="none" w:sz="0" w:space="0" w:color="auto"/>
        <w:bottom w:val="none" w:sz="0" w:space="0" w:color="auto"/>
        <w:right w:val="none" w:sz="0" w:space="0" w:color="auto"/>
      </w:divBdr>
    </w:div>
    <w:div w:id="448161366">
      <w:bodyDiv w:val="1"/>
      <w:marLeft w:val="0"/>
      <w:marRight w:val="0"/>
      <w:marTop w:val="0"/>
      <w:marBottom w:val="0"/>
      <w:divBdr>
        <w:top w:val="none" w:sz="0" w:space="0" w:color="auto"/>
        <w:left w:val="none" w:sz="0" w:space="0" w:color="auto"/>
        <w:bottom w:val="none" w:sz="0" w:space="0" w:color="auto"/>
        <w:right w:val="none" w:sz="0" w:space="0" w:color="auto"/>
      </w:divBdr>
    </w:div>
    <w:div w:id="460344960">
      <w:bodyDiv w:val="1"/>
      <w:marLeft w:val="0"/>
      <w:marRight w:val="0"/>
      <w:marTop w:val="0"/>
      <w:marBottom w:val="0"/>
      <w:divBdr>
        <w:top w:val="none" w:sz="0" w:space="0" w:color="auto"/>
        <w:left w:val="none" w:sz="0" w:space="0" w:color="auto"/>
        <w:bottom w:val="none" w:sz="0" w:space="0" w:color="auto"/>
        <w:right w:val="none" w:sz="0" w:space="0" w:color="auto"/>
      </w:divBdr>
    </w:div>
    <w:div w:id="547761859">
      <w:bodyDiv w:val="1"/>
      <w:marLeft w:val="0"/>
      <w:marRight w:val="0"/>
      <w:marTop w:val="0"/>
      <w:marBottom w:val="0"/>
      <w:divBdr>
        <w:top w:val="none" w:sz="0" w:space="0" w:color="auto"/>
        <w:left w:val="none" w:sz="0" w:space="0" w:color="auto"/>
        <w:bottom w:val="none" w:sz="0" w:space="0" w:color="auto"/>
        <w:right w:val="none" w:sz="0" w:space="0" w:color="auto"/>
      </w:divBdr>
    </w:div>
    <w:div w:id="1035276990">
      <w:bodyDiv w:val="1"/>
      <w:marLeft w:val="0"/>
      <w:marRight w:val="0"/>
      <w:marTop w:val="0"/>
      <w:marBottom w:val="0"/>
      <w:divBdr>
        <w:top w:val="none" w:sz="0" w:space="0" w:color="auto"/>
        <w:left w:val="none" w:sz="0" w:space="0" w:color="auto"/>
        <w:bottom w:val="none" w:sz="0" w:space="0" w:color="auto"/>
        <w:right w:val="none" w:sz="0" w:space="0" w:color="auto"/>
      </w:divBdr>
    </w:div>
    <w:div w:id="1396971670">
      <w:bodyDiv w:val="1"/>
      <w:marLeft w:val="0"/>
      <w:marRight w:val="0"/>
      <w:marTop w:val="0"/>
      <w:marBottom w:val="0"/>
      <w:divBdr>
        <w:top w:val="none" w:sz="0" w:space="0" w:color="auto"/>
        <w:left w:val="none" w:sz="0" w:space="0" w:color="auto"/>
        <w:bottom w:val="none" w:sz="0" w:space="0" w:color="auto"/>
        <w:right w:val="none" w:sz="0" w:space="0" w:color="auto"/>
      </w:divBdr>
    </w:div>
    <w:div w:id="1774940173">
      <w:bodyDiv w:val="1"/>
      <w:marLeft w:val="0"/>
      <w:marRight w:val="0"/>
      <w:marTop w:val="0"/>
      <w:marBottom w:val="0"/>
      <w:divBdr>
        <w:top w:val="none" w:sz="0" w:space="0" w:color="auto"/>
        <w:left w:val="none" w:sz="0" w:space="0" w:color="auto"/>
        <w:bottom w:val="none" w:sz="0" w:space="0" w:color="auto"/>
        <w:right w:val="none" w:sz="0" w:space="0" w:color="auto"/>
      </w:divBdr>
    </w:div>
    <w:div w:id="1801726231">
      <w:bodyDiv w:val="1"/>
      <w:marLeft w:val="0"/>
      <w:marRight w:val="0"/>
      <w:marTop w:val="0"/>
      <w:marBottom w:val="0"/>
      <w:divBdr>
        <w:top w:val="none" w:sz="0" w:space="0" w:color="auto"/>
        <w:left w:val="none" w:sz="0" w:space="0" w:color="auto"/>
        <w:bottom w:val="none" w:sz="0" w:space="0" w:color="auto"/>
        <w:right w:val="none" w:sz="0" w:space="0" w:color="auto"/>
      </w:divBdr>
      <w:divsChild>
        <w:div w:id="167630376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gfj.2017.03.001" TargetMode="External"/><Relationship Id="rId3" Type="http://schemas.openxmlformats.org/officeDocument/2006/relationships/webSettings" Target="webSettings.xml"/><Relationship Id="rId7" Type="http://schemas.openxmlformats.org/officeDocument/2006/relationships/hyperlink" Target="https://www.sgs.com/en-in/services/esg-disclosures-and-sustainability-report-assuranc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287/mnsc.2014.1984" TargetMode="External"/><Relationship Id="rId11" Type="http://schemas.openxmlformats.org/officeDocument/2006/relationships/fontTable" Target="fontTable.xml"/><Relationship Id="rId5" Type="http://schemas.openxmlformats.org/officeDocument/2006/relationships/hyperlink" Target="https://public.tableau.com/views/23107667_Faisal_Viz/Dashboard3?:language=en-US&amp;:sid=&amp;:redirect=auth&amp;:display_count=n&amp;:origin=viz_share_link" TargetMode="External"/><Relationship Id="rId10" Type="http://schemas.openxmlformats.org/officeDocument/2006/relationships/hyperlink" Target="https://www.ifrs.org/sustainability/knowledge-hub/introduction-to-issb-and-ifrs-sustainability-disclosure-standards/" TargetMode="External"/><Relationship Id="rId4" Type="http://schemas.openxmlformats.org/officeDocument/2006/relationships/image" Target="media/image1.png"/><Relationship Id="rId9" Type="http://schemas.openxmlformats.org/officeDocument/2006/relationships/hyperlink" Target="https://doi.org/10.1080/20430795.2015.1118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6</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Fatah Mohammed Faisal</dc:creator>
  <cp:keywords/>
  <dc:description/>
  <cp:lastModifiedBy>Abu Fatah Mohammed Faisal</cp:lastModifiedBy>
  <cp:revision>2</cp:revision>
  <dcterms:created xsi:type="dcterms:W3CDTF">2026-05-25T01:29:00Z</dcterms:created>
  <dcterms:modified xsi:type="dcterms:W3CDTF">2026-05-25T06:13:00Z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49126519-52cb-4591-b1d8-e644dc794aa1</vt:lpwstr>
  </property>
</Properties>
</file>