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8CC10" w14:textId="77777777" w:rsidR="002C4FFA" w:rsidRPr="002C4FFA" w:rsidRDefault="002C4FFA" w:rsidP="00C124BF">
      <w:pPr>
        <w:jc w:val="center"/>
        <w:rPr>
          <w:b/>
          <w:bCs/>
          <w:sz w:val="28"/>
          <w:szCs w:val="28"/>
        </w:rPr>
      </w:pPr>
      <w:r w:rsidRPr="002C4FFA">
        <w:rPr>
          <w:b/>
          <w:bCs/>
          <w:sz w:val="28"/>
          <w:szCs w:val="28"/>
        </w:rPr>
        <w:t>International NGO Funding Benchmark Dashboard (2022–2024)</w:t>
      </w:r>
    </w:p>
    <w:p w14:paraId="38095954" w14:textId="77777777" w:rsidR="002C4FFA" w:rsidRPr="002C4FFA" w:rsidRDefault="002C4FFA" w:rsidP="002C4FFA">
      <w:pPr>
        <w:rPr>
          <w:b/>
          <w:bCs/>
        </w:rPr>
      </w:pPr>
      <w:r w:rsidRPr="002C4FFA">
        <w:rPr>
          <w:b/>
          <w:bCs/>
        </w:rPr>
        <w:t>1. Introduction</w:t>
      </w:r>
    </w:p>
    <w:p w14:paraId="59B4CB59" w14:textId="77777777" w:rsidR="002C4FFA" w:rsidRPr="002C4FFA" w:rsidRDefault="002C4FFA" w:rsidP="002C4FFA">
      <w:r w:rsidRPr="002C4FFA">
        <w:t>International non-governmental organizations (NGOs) play a critical role in addressing humanitarian crises, development challenges, and global poverty. Large NGOs operate complex funding structures involving both public and private donors while managing large programmatic expenditures across multiple countries.</w:t>
      </w:r>
    </w:p>
    <w:p w14:paraId="07E9FB63" w14:textId="77777777" w:rsidR="002C4FFA" w:rsidRPr="002C4FFA" w:rsidRDefault="002C4FFA" w:rsidP="002C4FFA">
      <w:r w:rsidRPr="002C4FFA">
        <w:t>This project develops a Power BI benchmarking dashboard that compares the financial structure and funding patterns of major international NGOs. The dashboard focuses on four organizations:</w:t>
      </w:r>
    </w:p>
    <w:p w14:paraId="365DC794" w14:textId="77777777" w:rsidR="002C4FFA" w:rsidRPr="002C4FFA" w:rsidRDefault="002C4FFA" w:rsidP="002C4FFA">
      <w:pPr>
        <w:numPr>
          <w:ilvl w:val="0"/>
          <w:numId w:val="1"/>
        </w:numPr>
      </w:pPr>
      <w:r w:rsidRPr="002C4FFA">
        <w:t>UNICEF</w:t>
      </w:r>
    </w:p>
    <w:p w14:paraId="46BE3E99" w14:textId="77777777" w:rsidR="002C4FFA" w:rsidRPr="002C4FFA" w:rsidRDefault="002C4FFA" w:rsidP="002C4FFA">
      <w:pPr>
        <w:numPr>
          <w:ilvl w:val="0"/>
          <w:numId w:val="1"/>
        </w:numPr>
      </w:pPr>
      <w:r w:rsidRPr="002C4FFA">
        <w:t>World Vision International</w:t>
      </w:r>
    </w:p>
    <w:p w14:paraId="0B745884" w14:textId="77777777" w:rsidR="002C4FFA" w:rsidRPr="002C4FFA" w:rsidRDefault="002C4FFA" w:rsidP="002C4FFA">
      <w:pPr>
        <w:numPr>
          <w:ilvl w:val="0"/>
          <w:numId w:val="1"/>
        </w:numPr>
      </w:pPr>
      <w:r w:rsidRPr="002C4FFA">
        <w:t>International Federation of Red Cross and Red Crescent Societies (IFRC)</w:t>
      </w:r>
    </w:p>
    <w:p w14:paraId="097466C5" w14:textId="77777777" w:rsidR="002C4FFA" w:rsidRPr="002C4FFA" w:rsidRDefault="002C4FFA" w:rsidP="002C4FFA">
      <w:pPr>
        <w:numPr>
          <w:ilvl w:val="0"/>
          <w:numId w:val="1"/>
        </w:numPr>
      </w:pPr>
      <w:r w:rsidRPr="002C4FFA">
        <w:t>Save the Children</w:t>
      </w:r>
    </w:p>
    <w:p w14:paraId="51974A7D" w14:textId="77777777" w:rsidR="002C4FFA" w:rsidRPr="002C4FFA" w:rsidRDefault="002C4FFA" w:rsidP="002C4FFA">
      <w:r w:rsidRPr="002C4FFA">
        <w:t>The objective is to demonstrate how business intelligence tools can be used to analyze funding patterns, financial scale, and program efficiency across organizations.</w:t>
      </w:r>
    </w:p>
    <w:p w14:paraId="34117CB8" w14:textId="77777777" w:rsidR="002C4FFA" w:rsidRPr="002C4FFA" w:rsidRDefault="002C4FFA" w:rsidP="002C4FFA">
      <w:r w:rsidRPr="002C4FFA">
        <w:t>The dashboard visualizes income, expenditure, funding mix, and trends over time to support data-driven insights into NGO operations.</w:t>
      </w:r>
    </w:p>
    <w:p w14:paraId="1DEA7A7C" w14:textId="77777777" w:rsidR="002C4FFA" w:rsidRPr="002C4FFA" w:rsidRDefault="002C4FFA" w:rsidP="002C4FFA">
      <w:r w:rsidRPr="002C4FFA">
        <w:pict w14:anchorId="5AB48E48">
          <v:rect id="_x0000_i1104" style="width:0;height:1.5pt" o:hralign="center" o:hrstd="t" o:hr="t" fillcolor="#a0a0a0" stroked="f"/>
        </w:pict>
      </w:r>
    </w:p>
    <w:p w14:paraId="4769A024" w14:textId="77777777" w:rsidR="002C4FFA" w:rsidRPr="002C4FFA" w:rsidRDefault="002C4FFA" w:rsidP="002C4FFA">
      <w:pPr>
        <w:rPr>
          <w:b/>
          <w:bCs/>
        </w:rPr>
      </w:pPr>
      <w:r w:rsidRPr="002C4FFA">
        <w:rPr>
          <w:b/>
          <w:bCs/>
        </w:rPr>
        <w:t>2. Data Sources</w:t>
      </w:r>
    </w:p>
    <w:p w14:paraId="3A316EA7" w14:textId="77777777" w:rsidR="002C4FFA" w:rsidRPr="002C4FFA" w:rsidRDefault="002C4FFA" w:rsidP="002C4FFA">
      <w:r w:rsidRPr="002C4FFA">
        <w:t>The dataset was constructed using publicly available financial information extracted from organizational annual reports: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72"/>
        <w:gridCol w:w="4222"/>
      </w:tblGrid>
      <w:tr w:rsidR="002C4FFA" w:rsidRPr="002C4FFA" w14:paraId="7F9678C4" w14:textId="77777777" w:rsidTr="002C4FFA">
        <w:trPr>
          <w:tblHeader/>
          <w:tblCellSpacing w:w="15" w:type="dxa"/>
          <w:jc w:val="center"/>
        </w:trPr>
        <w:tc>
          <w:tcPr>
            <w:tcW w:w="0" w:type="auto"/>
            <w:vAlign w:val="center"/>
            <w:hideMark/>
          </w:tcPr>
          <w:p w14:paraId="156ED3E3" w14:textId="77777777" w:rsidR="002C4FFA" w:rsidRPr="002C4FFA" w:rsidRDefault="002C4FFA" w:rsidP="002C4FFA">
            <w:pPr>
              <w:rPr>
                <w:b/>
                <w:bCs/>
              </w:rPr>
            </w:pPr>
            <w:r w:rsidRPr="002C4FFA">
              <w:rPr>
                <w:b/>
                <w:bCs/>
              </w:rPr>
              <w:t>Organization</w:t>
            </w:r>
          </w:p>
        </w:tc>
        <w:tc>
          <w:tcPr>
            <w:tcW w:w="0" w:type="auto"/>
            <w:vAlign w:val="center"/>
            <w:hideMark/>
          </w:tcPr>
          <w:p w14:paraId="57C36F6C" w14:textId="77777777" w:rsidR="002C4FFA" w:rsidRPr="002C4FFA" w:rsidRDefault="002C4FFA" w:rsidP="002C4FFA">
            <w:pPr>
              <w:rPr>
                <w:b/>
                <w:bCs/>
              </w:rPr>
            </w:pPr>
            <w:r w:rsidRPr="002C4FFA">
              <w:rPr>
                <w:b/>
                <w:bCs/>
              </w:rPr>
              <w:t>Source</w:t>
            </w:r>
          </w:p>
        </w:tc>
      </w:tr>
      <w:tr w:rsidR="002C4FFA" w:rsidRPr="002C4FFA" w14:paraId="02E3BD81" w14:textId="77777777" w:rsidTr="002C4FFA">
        <w:trPr>
          <w:tblCellSpacing w:w="15" w:type="dxa"/>
          <w:jc w:val="center"/>
        </w:trPr>
        <w:tc>
          <w:tcPr>
            <w:tcW w:w="0" w:type="auto"/>
            <w:vAlign w:val="center"/>
            <w:hideMark/>
          </w:tcPr>
          <w:p w14:paraId="4AA4050B" w14:textId="77777777" w:rsidR="002C4FFA" w:rsidRPr="002C4FFA" w:rsidRDefault="002C4FFA" w:rsidP="002C4FFA">
            <w:r w:rsidRPr="002C4FFA">
              <w:t>UNICEF</w:t>
            </w:r>
          </w:p>
        </w:tc>
        <w:tc>
          <w:tcPr>
            <w:tcW w:w="0" w:type="auto"/>
            <w:vAlign w:val="center"/>
            <w:hideMark/>
          </w:tcPr>
          <w:p w14:paraId="11624AFE" w14:textId="77777777" w:rsidR="002C4FFA" w:rsidRPr="002C4FFA" w:rsidRDefault="002C4FFA" w:rsidP="002C4FFA">
            <w:r w:rsidRPr="002C4FFA">
              <w:t>UNICEF Annual Report 2024</w:t>
            </w:r>
          </w:p>
        </w:tc>
      </w:tr>
      <w:tr w:rsidR="002C4FFA" w:rsidRPr="002C4FFA" w14:paraId="70DCDFB4" w14:textId="77777777" w:rsidTr="002C4FFA">
        <w:trPr>
          <w:tblCellSpacing w:w="15" w:type="dxa"/>
          <w:jc w:val="center"/>
        </w:trPr>
        <w:tc>
          <w:tcPr>
            <w:tcW w:w="0" w:type="auto"/>
            <w:vAlign w:val="center"/>
            <w:hideMark/>
          </w:tcPr>
          <w:p w14:paraId="75E9BF6C" w14:textId="77777777" w:rsidR="002C4FFA" w:rsidRPr="002C4FFA" w:rsidRDefault="002C4FFA" w:rsidP="002C4FFA">
            <w:r w:rsidRPr="002C4FFA">
              <w:t>IFRC</w:t>
            </w:r>
          </w:p>
        </w:tc>
        <w:tc>
          <w:tcPr>
            <w:tcW w:w="0" w:type="auto"/>
            <w:vAlign w:val="center"/>
            <w:hideMark/>
          </w:tcPr>
          <w:p w14:paraId="23618FF8" w14:textId="77777777" w:rsidR="002C4FFA" w:rsidRPr="002C4FFA" w:rsidRDefault="002C4FFA" w:rsidP="002C4FFA">
            <w:r w:rsidRPr="002C4FFA">
              <w:t>IFRC Annual Report 2024</w:t>
            </w:r>
          </w:p>
        </w:tc>
      </w:tr>
      <w:tr w:rsidR="002C4FFA" w:rsidRPr="002C4FFA" w14:paraId="67FCA769" w14:textId="77777777" w:rsidTr="002C4FFA">
        <w:trPr>
          <w:tblCellSpacing w:w="15" w:type="dxa"/>
          <w:jc w:val="center"/>
        </w:trPr>
        <w:tc>
          <w:tcPr>
            <w:tcW w:w="0" w:type="auto"/>
            <w:vAlign w:val="center"/>
            <w:hideMark/>
          </w:tcPr>
          <w:p w14:paraId="647EE896" w14:textId="77777777" w:rsidR="002C4FFA" w:rsidRPr="002C4FFA" w:rsidRDefault="002C4FFA" w:rsidP="002C4FFA">
            <w:r w:rsidRPr="002C4FFA">
              <w:t>World Vision International</w:t>
            </w:r>
          </w:p>
        </w:tc>
        <w:tc>
          <w:tcPr>
            <w:tcW w:w="0" w:type="auto"/>
            <w:vAlign w:val="center"/>
            <w:hideMark/>
          </w:tcPr>
          <w:p w14:paraId="73ADA76B" w14:textId="77777777" w:rsidR="002C4FFA" w:rsidRPr="002C4FFA" w:rsidRDefault="002C4FFA" w:rsidP="002C4FFA">
            <w:r w:rsidRPr="002C4FFA">
              <w:t>World Vision Global Annual Report 2024</w:t>
            </w:r>
          </w:p>
        </w:tc>
      </w:tr>
      <w:tr w:rsidR="002C4FFA" w:rsidRPr="002C4FFA" w14:paraId="49A0797C" w14:textId="77777777" w:rsidTr="002C4FFA">
        <w:trPr>
          <w:tblCellSpacing w:w="15" w:type="dxa"/>
          <w:jc w:val="center"/>
        </w:trPr>
        <w:tc>
          <w:tcPr>
            <w:tcW w:w="0" w:type="auto"/>
            <w:vAlign w:val="center"/>
            <w:hideMark/>
          </w:tcPr>
          <w:p w14:paraId="62AF4494" w14:textId="77777777" w:rsidR="002C4FFA" w:rsidRPr="002C4FFA" w:rsidRDefault="002C4FFA" w:rsidP="002C4FFA">
            <w:r w:rsidRPr="002C4FFA">
              <w:t>Save the Children</w:t>
            </w:r>
          </w:p>
        </w:tc>
        <w:tc>
          <w:tcPr>
            <w:tcW w:w="0" w:type="auto"/>
            <w:vAlign w:val="center"/>
            <w:hideMark/>
          </w:tcPr>
          <w:p w14:paraId="78E6CF02" w14:textId="77777777" w:rsidR="002C4FFA" w:rsidRPr="002C4FFA" w:rsidRDefault="002C4FFA" w:rsidP="002C4FFA">
            <w:r w:rsidRPr="002C4FFA">
              <w:t>Save the Children Annual Report 2024</w:t>
            </w:r>
          </w:p>
        </w:tc>
      </w:tr>
    </w:tbl>
    <w:p w14:paraId="2C616A55" w14:textId="77777777" w:rsidR="002C4FFA" w:rsidRPr="002C4FFA" w:rsidRDefault="002C4FFA" w:rsidP="002C4FFA">
      <w:r w:rsidRPr="002C4FFA">
        <w:t>Two datasets were prepared for the analysis:</w:t>
      </w:r>
    </w:p>
    <w:p w14:paraId="30390204" w14:textId="77777777" w:rsidR="002C4FFA" w:rsidRPr="002C4FFA" w:rsidRDefault="002C4FFA" w:rsidP="002C4FFA">
      <w:pPr>
        <w:rPr>
          <w:b/>
          <w:bCs/>
        </w:rPr>
      </w:pPr>
      <w:r w:rsidRPr="002C4FFA">
        <w:rPr>
          <w:b/>
          <w:bCs/>
        </w:rPr>
        <w:lastRenderedPageBreak/>
        <w:t>Benchmark Dataset</w:t>
      </w:r>
    </w:p>
    <w:p w14:paraId="160F23B4" w14:textId="77777777" w:rsidR="002C4FFA" w:rsidRPr="002C4FFA" w:rsidRDefault="002C4FFA" w:rsidP="002C4FFA">
      <w:r w:rsidRPr="002C4FFA">
        <w:t>This dataset contains financial metrics for each NGO including:</w:t>
      </w:r>
    </w:p>
    <w:p w14:paraId="5DD97878" w14:textId="77777777" w:rsidR="002C4FFA" w:rsidRPr="002C4FFA" w:rsidRDefault="002C4FFA" w:rsidP="002C4FFA">
      <w:pPr>
        <w:numPr>
          <w:ilvl w:val="0"/>
          <w:numId w:val="2"/>
        </w:numPr>
      </w:pPr>
      <w:r w:rsidRPr="002C4FFA">
        <w:t>Total income</w:t>
      </w:r>
    </w:p>
    <w:p w14:paraId="7AEF89C1" w14:textId="77777777" w:rsidR="002C4FFA" w:rsidRPr="002C4FFA" w:rsidRDefault="002C4FFA" w:rsidP="002C4FFA">
      <w:pPr>
        <w:numPr>
          <w:ilvl w:val="0"/>
          <w:numId w:val="2"/>
        </w:numPr>
      </w:pPr>
      <w:r w:rsidRPr="002C4FFA">
        <w:t>Total expenditure</w:t>
      </w:r>
    </w:p>
    <w:p w14:paraId="52849C1C" w14:textId="77777777" w:rsidR="002C4FFA" w:rsidRPr="002C4FFA" w:rsidRDefault="002C4FFA" w:rsidP="002C4FFA">
      <w:pPr>
        <w:numPr>
          <w:ilvl w:val="0"/>
          <w:numId w:val="2"/>
        </w:numPr>
      </w:pPr>
      <w:r w:rsidRPr="002C4FFA">
        <w:t>Public funding</w:t>
      </w:r>
    </w:p>
    <w:p w14:paraId="4465C6B2" w14:textId="77777777" w:rsidR="002C4FFA" w:rsidRPr="002C4FFA" w:rsidRDefault="002C4FFA" w:rsidP="002C4FFA">
      <w:pPr>
        <w:numPr>
          <w:ilvl w:val="0"/>
          <w:numId w:val="2"/>
        </w:numPr>
      </w:pPr>
      <w:r w:rsidRPr="002C4FFA">
        <w:t>Private funding</w:t>
      </w:r>
    </w:p>
    <w:p w14:paraId="0F84836B" w14:textId="77777777" w:rsidR="002C4FFA" w:rsidRPr="002C4FFA" w:rsidRDefault="002C4FFA" w:rsidP="002C4FFA">
      <w:pPr>
        <w:numPr>
          <w:ilvl w:val="0"/>
          <w:numId w:val="2"/>
        </w:numPr>
      </w:pPr>
      <w:r w:rsidRPr="002C4FFA">
        <w:t>Program spending</w:t>
      </w:r>
    </w:p>
    <w:p w14:paraId="69B250CC" w14:textId="77777777" w:rsidR="002C4FFA" w:rsidRPr="002C4FFA" w:rsidRDefault="002C4FFA" w:rsidP="002C4FFA">
      <w:pPr>
        <w:numPr>
          <w:ilvl w:val="0"/>
          <w:numId w:val="2"/>
        </w:numPr>
      </w:pPr>
      <w:r w:rsidRPr="002C4FFA">
        <w:t>Organizational source reference</w:t>
      </w:r>
    </w:p>
    <w:p w14:paraId="78D29366" w14:textId="77777777" w:rsidR="002C4FFA" w:rsidRPr="002C4FFA" w:rsidRDefault="002C4FFA" w:rsidP="002C4FFA">
      <w:pPr>
        <w:rPr>
          <w:b/>
          <w:bCs/>
        </w:rPr>
      </w:pPr>
      <w:r w:rsidRPr="002C4FFA">
        <w:rPr>
          <w:b/>
          <w:bCs/>
        </w:rPr>
        <w:t>Trend Dataset</w:t>
      </w:r>
    </w:p>
    <w:p w14:paraId="416DA278" w14:textId="77777777" w:rsidR="002C4FFA" w:rsidRPr="002C4FFA" w:rsidRDefault="002C4FFA" w:rsidP="002C4FFA">
      <w:r w:rsidRPr="002C4FFA">
        <w:t>This dataset includes historical financial data for:</w:t>
      </w:r>
    </w:p>
    <w:p w14:paraId="25FEBD85" w14:textId="77777777" w:rsidR="002C4FFA" w:rsidRPr="002C4FFA" w:rsidRDefault="002C4FFA" w:rsidP="002C4FFA">
      <w:pPr>
        <w:numPr>
          <w:ilvl w:val="0"/>
          <w:numId w:val="3"/>
        </w:numPr>
      </w:pPr>
      <w:r w:rsidRPr="002C4FFA">
        <w:t>Total income</w:t>
      </w:r>
    </w:p>
    <w:p w14:paraId="38B96EAF" w14:textId="77777777" w:rsidR="002C4FFA" w:rsidRPr="002C4FFA" w:rsidRDefault="002C4FFA" w:rsidP="002C4FFA">
      <w:pPr>
        <w:numPr>
          <w:ilvl w:val="0"/>
          <w:numId w:val="3"/>
        </w:numPr>
      </w:pPr>
      <w:r w:rsidRPr="002C4FFA">
        <w:t>Total expenditure</w:t>
      </w:r>
    </w:p>
    <w:p w14:paraId="3CD80179" w14:textId="77777777" w:rsidR="002C4FFA" w:rsidRPr="002C4FFA" w:rsidRDefault="002C4FFA" w:rsidP="002C4FFA">
      <w:pPr>
        <w:numPr>
          <w:ilvl w:val="0"/>
          <w:numId w:val="3"/>
        </w:numPr>
      </w:pPr>
      <w:r w:rsidRPr="002C4FFA">
        <w:t>Year (2022–2024)</w:t>
      </w:r>
    </w:p>
    <w:p w14:paraId="45BD46E3" w14:textId="77777777" w:rsidR="002C4FFA" w:rsidRPr="002C4FFA" w:rsidRDefault="002C4FFA" w:rsidP="002C4FFA">
      <w:r w:rsidRPr="002C4FFA">
        <w:t>The separation of datasets enables both cross-sectional comparison and time-series analysis.</w:t>
      </w:r>
    </w:p>
    <w:p w14:paraId="09555AB2" w14:textId="77777777" w:rsidR="002C4FFA" w:rsidRPr="002C4FFA" w:rsidRDefault="002C4FFA" w:rsidP="002C4FFA">
      <w:r w:rsidRPr="002C4FFA">
        <w:pict w14:anchorId="5BC350B2">
          <v:rect id="_x0000_i1105" style="width:0;height:1.5pt" o:hralign="center" o:hrstd="t" o:hr="t" fillcolor="#a0a0a0" stroked="f"/>
        </w:pict>
      </w:r>
    </w:p>
    <w:p w14:paraId="2A85052E" w14:textId="77777777" w:rsidR="002C4FFA" w:rsidRPr="002C4FFA" w:rsidRDefault="002C4FFA" w:rsidP="002C4FFA">
      <w:pPr>
        <w:rPr>
          <w:b/>
          <w:bCs/>
        </w:rPr>
      </w:pPr>
      <w:r w:rsidRPr="002C4FFA">
        <w:rPr>
          <w:b/>
          <w:bCs/>
        </w:rPr>
        <w:t>3. Methodology</w:t>
      </w:r>
    </w:p>
    <w:p w14:paraId="4C24771F" w14:textId="77777777" w:rsidR="002C4FFA" w:rsidRPr="002C4FFA" w:rsidRDefault="002C4FFA" w:rsidP="002C4FFA">
      <w:r w:rsidRPr="002C4FFA">
        <w:t>The dashboard was built using Microsoft Power BI Desktop.</w:t>
      </w:r>
    </w:p>
    <w:p w14:paraId="2DFAD00E" w14:textId="77777777" w:rsidR="002C4FFA" w:rsidRPr="002C4FFA" w:rsidRDefault="002C4FFA" w:rsidP="002C4FFA">
      <w:r w:rsidRPr="002C4FFA">
        <w:t>The analysis includes the following calculated metrics:</w:t>
      </w:r>
    </w:p>
    <w:p w14:paraId="0A0C833A" w14:textId="77777777" w:rsidR="002C4FFA" w:rsidRPr="002C4FFA" w:rsidRDefault="002C4FFA" w:rsidP="002C4FFA">
      <w:pPr>
        <w:rPr>
          <w:b/>
          <w:bCs/>
        </w:rPr>
      </w:pPr>
      <w:r w:rsidRPr="002C4FFA">
        <w:rPr>
          <w:b/>
          <w:bCs/>
        </w:rPr>
        <w:t>Total Income</w:t>
      </w:r>
    </w:p>
    <w:p w14:paraId="1D130F41" w14:textId="77777777" w:rsidR="002C4FFA" w:rsidRPr="002C4FFA" w:rsidRDefault="002C4FFA" w:rsidP="002C4FFA">
      <w:r w:rsidRPr="002C4FFA">
        <w:t>Sum of reported revenues for each organization.</w:t>
      </w:r>
    </w:p>
    <w:p w14:paraId="7F3CF984" w14:textId="77777777" w:rsidR="002C4FFA" w:rsidRPr="002C4FFA" w:rsidRDefault="002C4FFA" w:rsidP="002C4FFA">
      <w:pPr>
        <w:rPr>
          <w:b/>
          <w:bCs/>
        </w:rPr>
      </w:pPr>
      <w:r w:rsidRPr="002C4FFA">
        <w:rPr>
          <w:b/>
          <w:bCs/>
        </w:rPr>
        <w:t>Total Expenditure</w:t>
      </w:r>
    </w:p>
    <w:p w14:paraId="613D330A" w14:textId="77777777" w:rsidR="002C4FFA" w:rsidRPr="002C4FFA" w:rsidRDefault="002C4FFA" w:rsidP="002C4FFA">
      <w:r w:rsidRPr="002C4FFA">
        <w:t>Total operational spending reported in annual reports.</w:t>
      </w:r>
    </w:p>
    <w:p w14:paraId="03DBEAAB" w14:textId="77777777" w:rsidR="002C4FFA" w:rsidRPr="002C4FFA" w:rsidRDefault="002C4FFA" w:rsidP="002C4FFA">
      <w:pPr>
        <w:rPr>
          <w:b/>
          <w:bCs/>
        </w:rPr>
      </w:pPr>
      <w:r w:rsidRPr="002C4FFA">
        <w:rPr>
          <w:b/>
          <w:bCs/>
        </w:rPr>
        <w:t>Operating Balance</w:t>
      </w:r>
    </w:p>
    <w:p w14:paraId="26C6420B" w14:textId="77777777" w:rsidR="002C4FFA" w:rsidRPr="002C4FFA" w:rsidRDefault="002C4FFA" w:rsidP="002C4FFA">
      <w:r w:rsidRPr="002C4FFA">
        <w:t>Calculated as:</w:t>
      </w:r>
    </w:p>
    <w:p w14:paraId="1EE06203" w14:textId="77777777" w:rsidR="002C4FFA" w:rsidRPr="002C4FFA" w:rsidRDefault="002C4FFA" w:rsidP="002C4FFA">
      <w:r w:rsidRPr="002C4FFA">
        <w:t>Operating Balance = Total Income − Total Expenditure</w:t>
      </w:r>
    </w:p>
    <w:p w14:paraId="211CC18B" w14:textId="77777777" w:rsidR="002C4FFA" w:rsidRPr="002C4FFA" w:rsidRDefault="002C4FFA" w:rsidP="002C4FFA">
      <w:r w:rsidRPr="002C4FFA">
        <w:lastRenderedPageBreak/>
        <w:t>This metric indicates the financial surplus or deficit for the organization.</w:t>
      </w:r>
    </w:p>
    <w:p w14:paraId="6739AAAA" w14:textId="77777777" w:rsidR="002C4FFA" w:rsidRPr="002C4FFA" w:rsidRDefault="002C4FFA" w:rsidP="002C4FFA">
      <w:pPr>
        <w:rPr>
          <w:b/>
          <w:bCs/>
        </w:rPr>
      </w:pPr>
      <w:r w:rsidRPr="002C4FFA">
        <w:rPr>
          <w:b/>
          <w:bCs/>
        </w:rPr>
        <w:t>Program Spending Ratio</w:t>
      </w:r>
    </w:p>
    <w:p w14:paraId="2A552C4D" w14:textId="77777777" w:rsidR="002C4FFA" w:rsidRPr="002C4FFA" w:rsidRDefault="002C4FFA" w:rsidP="002C4FFA">
      <w:r w:rsidRPr="002C4FFA">
        <w:t>Calculated as:</w:t>
      </w:r>
    </w:p>
    <w:p w14:paraId="20915912" w14:textId="77777777" w:rsidR="002C4FFA" w:rsidRPr="002C4FFA" w:rsidRDefault="002C4FFA" w:rsidP="002C4FFA">
      <w:r w:rsidRPr="002C4FFA">
        <w:t>Program Spending Ratio = Program Spend / Total Expenditure</w:t>
      </w:r>
    </w:p>
    <w:p w14:paraId="0312CBE1" w14:textId="77777777" w:rsidR="002C4FFA" w:rsidRPr="002C4FFA" w:rsidRDefault="002C4FFA" w:rsidP="002C4FFA">
      <w:r w:rsidRPr="002C4FFA">
        <w:t>This ratio provides insight into how much of total spending is allocated to programmatic activities rather than administrative costs.</w:t>
      </w:r>
    </w:p>
    <w:p w14:paraId="03241D08" w14:textId="77777777" w:rsidR="002C4FFA" w:rsidRPr="002C4FFA" w:rsidRDefault="002C4FFA" w:rsidP="002C4FFA">
      <w:pPr>
        <w:rPr>
          <w:b/>
          <w:bCs/>
        </w:rPr>
      </w:pPr>
      <w:r w:rsidRPr="002C4FFA">
        <w:rPr>
          <w:b/>
          <w:bCs/>
        </w:rPr>
        <w:t>Funding Mix</w:t>
      </w:r>
    </w:p>
    <w:p w14:paraId="1B7A686B" w14:textId="77777777" w:rsidR="002C4FFA" w:rsidRPr="002C4FFA" w:rsidRDefault="002C4FFA" w:rsidP="002C4FFA">
      <w:r w:rsidRPr="002C4FFA">
        <w:t>Funding is divided into:</w:t>
      </w:r>
    </w:p>
    <w:p w14:paraId="4204974D" w14:textId="77777777" w:rsidR="002C4FFA" w:rsidRPr="002C4FFA" w:rsidRDefault="002C4FFA" w:rsidP="002C4FFA">
      <w:pPr>
        <w:numPr>
          <w:ilvl w:val="0"/>
          <w:numId w:val="4"/>
        </w:numPr>
      </w:pPr>
      <w:r w:rsidRPr="002C4FFA">
        <w:t>Private funding (donations, foundations, individuals)</w:t>
      </w:r>
    </w:p>
    <w:p w14:paraId="452D2D47" w14:textId="77777777" w:rsidR="002C4FFA" w:rsidRPr="002C4FFA" w:rsidRDefault="002C4FFA" w:rsidP="002C4FFA">
      <w:pPr>
        <w:numPr>
          <w:ilvl w:val="0"/>
          <w:numId w:val="4"/>
        </w:numPr>
      </w:pPr>
      <w:r w:rsidRPr="002C4FFA">
        <w:t>Public funding (government or institutional donors)</w:t>
      </w:r>
    </w:p>
    <w:p w14:paraId="712EE17E" w14:textId="77777777" w:rsidR="002C4FFA" w:rsidRPr="002C4FFA" w:rsidRDefault="002C4FFA" w:rsidP="002C4FFA">
      <w:r w:rsidRPr="002C4FFA">
        <w:t>This allows evaluation of organizational funding dependence.</w:t>
      </w:r>
    </w:p>
    <w:p w14:paraId="2E8DA3C6" w14:textId="77777777" w:rsidR="002C4FFA" w:rsidRPr="002C4FFA" w:rsidRDefault="002C4FFA" w:rsidP="002C4FFA">
      <w:r w:rsidRPr="002C4FFA">
        <w:pict w14:anchorId="6EFBB61F">
          <v:rect id="_x0000_i1106" style="width:0;height:1.5pt" o:hralign="center" o:hrstd="t" o:hr="t" fillcolor="#a0a0a0" stroked="f"/>
        </w:pict>
      </w:r>
    </w:p>
    <w:p w14:paraId="0AD0A64B" w14:textId="77777777" w:rsidR="002C4FFA" w:rsidRDefault="002C4FFA" w:rsidP="002C4FFA">
      <w:pPr>
        <w:rPr>
          <w:b/>
          <w:bCs/>
        </w:rPr>
      </w:pPr>
      <w:r w:rsidRPr="002C4FFA">
        <w:rPr>
          <w:b/>
          <w:bCs/>
        </w:rPr>
        <w:t>4. Dashboard Structure</w:t>
      </w:r>
    </w:p>
    <w:p w14:paraId="5DB50670" w14:textId="1ECB9257" w:rsidR="009E27A3" w:rsidRPr="002C4FFA" w:rsidRDefault="009E27A3" w:rsidP="002C4FFA">
      <w:r w:rsidRPr="009E27A3">
        <w:t>The Power BI dashboard integrates several visual components including</w:t>
      </w:r>
      <w:r w:rsidRPr="009E27A3">
        <w:br/>
        <w:t>key financial indicators, comparative funding analysis, and trend</w:t>
      </w:r>
      <w:r w:rsidRPr="009E27A3">
        <w:br/>
        <w:t>visualizations.</w:t>
      </w:r>
      <w:r w:rsidRPr="009E27A3">
        <w:br/>
      </w:r>
      <w:r w:rsidRPr="009E27A3">
        <w:br/>
      </w:r>
      <w:r w:rsidRPr="009E27A3">
        <w:lastRenderedPageBreak/>
        <w:t>Figure 1: NGO Funding Benchmark Dashboard</w:t>
      </w:r>
      <w:r w:rsidRPr="009E27A3">
        <w:br/>
      </w:r>
      <w:r w:rsidR="00A24A6F">
        <w:rPr>
          <w:noProof/>
        </w:rPr>
        <w:drawing>
          <wp:inline distT="0" distB="0" distL="0" distR="0" wp14:anchorId="02B9DCBD" wp14:editId="7D3EE3C7">
            <wp:extent cx="5943600" cy="3402965"/>
            <wp:effectExtent l="0" t="0" r="0" b="6985"/>
            <wp:docPr id="126635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53754" name="Picture 1266353754"/>
                    <pic:cNvPicPr/>
                  </pic:nvPicPr>
                  <pic:blipFill>
                    <a:blip r:embed="rId5">
                      <a:extLst>
                        <a:ext uri="{28A0092B-C50C-407E-A947-70E740481C1C}">
                          <a14:useLocalDpi xmlns:a14="http://schemas.microsoft.com/office/drawing/2010/main" val="0"/>
                        </a:ext>
                      </a:extLst>
                    </a:blip>
                    <a:stretch>
                      <a:fillRect/>
                    </a:stretch>
                  </pic:blipFill>
                  <pic:spPr>
                    <a:xfrm>
                      <a:off x="0" y="0"/>
                      <a:ext cx="5943600" cy="3402965"/>
                    </a:xfrm>
                    <a:prstGeom prst="rect">
                      <a:avLst/>
                    </a:prstGeom>
                  </pic:spPr>
                </pic:pic>
              </a:graphicData>
            </a:graphic>
          </wp:inline>
        </w:drawing>
      </w:r>
    </w:p>
    <w:p w14:paraId="01884A0A" w14:textId="77777777" w:rsidR="002C4FFA" w:rsidRPr="002C4FFA" w:rsidRDefault="002C4FFA" w:rsidP="002C4FFA">
      <w:r w:rsidRPr="002C4FFA">
        <w:t>The Power BI dashboard consists of several visual components.</w:t>
      </w:r>
    </w:p>
    <w:p w14:paraId="648D1D59" w14:textId="77777777" w:rsidR="002C4FFA" w:rsidRPr="002C4FFA" w:rsidRDefault="002C4FFA" w:rsidP="002C4FFA">
      <w:pPr>
        <w:rPr>
          <w:b/>
          <w:bCs/>
        </w:rPr>
      </w:pPr>
      <w:r w:rsidRPr="002C4FFA">
        <w:rPr>
          <w:b/>
          <w:bCs/>
        </w:rPr>
        <w:t>KPI Cards</w:t>
      </w:r>
    </w:p>
    <w:p w14:paraId="14ABD69F" w14:textId="77777777" w:rsidR="002C4FFA" w:rsidRPr="002C4FFA" w:rsidRDefault="002C4FFA" w:rsidP="002C4FFA">
      <w:r w:rsidRPr="002C4FFA">
        <w:t>The dashboard presents four key financial indicators:</w:t>
      </w:r>
    </w:p>
    <w:p w14:paraId="1F55574C" w14:textId="77777777" w:rsidR="002C4FFA" w:rsidRPr="002C4FFA" w:rsidRDefault="002C4FFA" w:rsidP="002C4FFA">
      <w:pPr>
        <w:numPr>
          <w:ilvl w:val="0"/>
          <w:numId w:val="5"/>
        </w:numPr>
      </w:pPr>
      <w:r w:rsidRPr="002C4FFA">
        <w:t>Total Income</w:t>
      </w:r>
    </w:p>
    <w:p w14:paraId="2802C7AB" w14:textId="77777777" w:rsidR="002C4FFA" w:rsidRPr="002C4FFA" w:rsidRDefault="002C4FFA" w:rsidP="002C4FFA">
      <w:pPr>
        <w:numPr>
          <w:ilvl w:val="0"/>
          <w:numId w:val="5"/>
        </w:numPr>
      </w:pPr>
      <w:r w:rsidRPr="002C4FFA">
        <w:t>Operating Balance</w:t>
      </w:r>
    </w:p>
    <w:p w14:paraId="0DB2A26C" w14:textId="77777777" w:rsidR="002C4FFA" w:rsidRPr="002C4FFA" w:rsidRDefault="002C4FFA" w:rsidP="002C4FFA">
      <w:pPr>
        <w:numPr>
          <w:ilvl w:val="0"/>
          <w:numId w:val="5"/>
        </w:numPr>
      </w:pPr>
      <w:r w:rsidRPr="002C4FFA">
        <w:t>Total Expenditure</w:t>
      </w:r>
    </w:p>
    <w:p w14:paraId="190DBEA9" w14:textId="77777777" w:rsidR="002C4FFA" w:rsidRPr="002C4FFA" w:rsidRDefault="002C4FFA" w:rsidP="002C4FFA">
      <w:pPr>
        <w:numPr>
          <w:ilvl w:val="0"/>
          <w:numId w:val="5"/>
        </w:numPr>
      </w:pPr>
      <w:r w:rsidRPr="002C4FFA">
        <w:t>Program Spending Ratio</w:t>
      </w:r>
    </w:p>
    <w:p w14:paraId="3F58206D" w14:textId="77777777" w:rsidR="002C4FFA" w:rsidRPr="002C4FFA" w:rsidRDefault="002C4FFA" w:rsidP="002C4FFA">
      <w:r w:rsidRPr="002C4FFA">
        <w:t>These provide a high-level overview of financial scale and operational efficiency.</w:t>
      </w:r>
    </w:p>
    <w:p w14:paraId="32E0D6EE" w14:textId="77777777" w:rsidR="002C4FFA" w:rsidRPr="002C4FFA" w:rsidRDefault="002C4FFA" w:rsidP="002C4FFA">
      <w:r w:rsidRPr="002C4FFA">
        <w:t>Example summary metrics: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0"/>
        <w:gridCol w:w="1747"/>
      </w:tblGrid>
      <w:tr w:rsidR="002C4FFA" w:rsidRPr="002C4FFA" w14:paraId="79C01D23" w14:textId="77777777" w:rsidTr="002C4FFA">
        <w:trPr>
          <w:tblHeader/>
          <w:tblCellSpacing w:w="15" w:type="dxa"/>
          <w:jc w:val="center"/>
        </w:trPr>
        <w:tc>
          <w:tcPr>
            <w:tcW w:w="0" w:type="auto"/>
            <w:vAlign w:val="center"/>
            <w:hideMark/>
          </w:tcPr>
          <w:p w14:paraId="76A2406C" w14:textId="77777777" w:rsidR="002C4FFA" w:rsidRPr="002C4FFA" w:rsidRDefault="002C4FFA" w:rsidP="002C4FFA">
            <w:pPr>
              <w:rPr>
                <w:b/>
                <w:bCs/>
              </w:rPr>
            </w:pPr>
            <w:r w:rsidRPr="002C4FFA">
              <w:rPr>
                <w:b/>
                <w:bCs/>
              </w:rPr>
              <w:t>Metric</w:t>
            </w:r>
          </w:p>
        </w:tc>
        <w:tc>
          <w:tcPr>
            <w:tcW w:w="0" w:type="auto"/>
            <w:vAlign w:val="center"/>
            <w:hideMark/>
          </w:tcPr>
          <w:p w14:paraId="498E78E1" w14:textId="77777777" w:rsidR="002C4FFA" w:rsidRPr="002C4FFA" w:rsidRDefault="002C4FFA" w:rsidP="002C4FFA">
            <w:pPr>
              <w:rPr>
                <w:b/>
                <w:bCs/>
              </w:rPr>
            </w:pPr>
            <w:r w:rsidRPr="002C4FFA">
              <w:rPr>
                <w:b/>
                <w:bCs/>
              </w:rPr>
              <w:t>Value</w:t>
            </w:r>
          </w:p>
        </w:tc>
      </w:tr>
      <w:tr w:rsidR="002C4FFA" w:rsidRPr="002C4FFA" w14:paraId="68E9A9D4" w14:textId="77777777" w:rsidTr="002C4FFA">
        <w:trPr>
          <w:tblCellSpacing w:w="15" w:type="dxa"/>
          <w:jc w:val="center"/>
        </w:trPr>
        <w:tc>
          <w:tcPr>
            <w:tcW w:w="0" w:type="auto"/>
            <w:vAlign w:val="center"/>
            <w:hideMark/>
          </w:tcPr>
          <w:p w14:paraId="5A2AB9E7" w14:textId="77777777" w:rsidR="002C4FFA" w:rsidRPr="002C4FFA" w:rsidRDefault="002C4FFA" w:rsidP="002C4FFA">
            <w:r w:rsidRPr="002C4FFA">
              <w:t>Total Income</w:t>
            </w:r>
          </w:p>
        </w:tc>
        <w:tc>
          <w:tcPr>
            <w:tcW w:w="0" w:type="auto"/>
            <w:vAlign w:val="center"/>
            <w:hideMark/>
          </w:tcPr>
          <w:p w14:paraId="342ACC3A" w14:textId="77777777" w:rsidR="002C4FFA" w:rsidRPr="002C4FFA" w:rsidRDefault="002C4FFA" w:rsidP="002C4FFA">
            <w:r w:rsidRPr="002C4FFA">
              <w:t>14 billion USD</w:t>
            </w:r>
          </w:p>
        </w:tc>
      </w:tr>
      <w:tr w:rsidR="002C4FFA" w:rsidRPr="002C4FFA" w14:paraId="6BCEBE0E" w14:textId="77777777" w:rsidTr="002C4FFA">
        <w:trPr>
          <w:tblCellSpacing w:w="15" w:type="dxa"/>
          <w:jc w:val="center"/>
        </w:trPr>
        <w:tc>
          <w:tcPr>
            <w:tcW w:w="0" w:type="auto"/>
            <w:vAlign w:val="center"/>
            <w:hideMark/>
          </w:tcPr>
          <w:p w14:paraId="67252545" w14:textId="77777777" w:rsidR="002C4FFA" w:rsidRPr="002C4FFA" w:rsidRDefault="002C4FFA" w:rsidP="002C4FFA">
            <w:r w:rsidRPr="002C4FFA">
              <w:t>Total Expenditure</w:t>
            </w:r>
          </w:p>
        </w:tc>
        <w:tc>
          <w:tcPr>
            <w:tcW w:w="0" w:type="auto"/>
            <w:vAlign w:val="center"/>
            <w:hideMark/>
          </w:tcPr>
          <w:p w14:paraId="1713C08E" w14:textId="77777777" w:rsidR="002C4FFA" w:rsidRPr="002C4FFA" w:rsidRDefault="002C4FFA" w:rsidP="002C4FFA">
            <w:r w:rsidRPr="002C4FFA">
              <w:t>13 billion USD</w:t>
            </w:r>
          </w:p>
        </w:tc>
      </w:tr>
      <w:tr w:rsidR="002C4FFA" w:rsidRPr="002C4FFA" w14:paraId="657DAAD6" w14:textId="77777777" w:rsidTr="002C4FFA">
        <w:trPr>
          <w:tblCellSpacing w:w="15" w:type="dxa"/>
          <w:jc w:val="center"/>
        </w:trPr>
        <w:tc>
          <w:tcPr>
            <w:tcW w:w="0" w:type="auto"/>
            <w:vAlign w:val="center"/>
            <w:hideMark/>
          </w:tcPr>
          <w:p w14:paraId="755E214F" w14:textId="77777777" w:rsidR="002C4FFA" w:rsidRPr="002C4FFA" w:rsidRDefault="002C4FFA" w:rsidP="002C4FFA">
            <w:r w:rsidRPr="002C4FFA">
              <w:t>Operating Balance</w:t>
            </w:r>
          </w:p>
        </w:tc>
        <w:tc>
          <w:tcPr>
            <w:tcW w:w="0" w:type="auto"/>
            <w:vAlign w:val="center"/>
            <w:hideMark/>
          </w:tcPr>
          <w:p w14:paraId="3730C837" w14:textId="77777777" w:rsidR="002C4FFA" w:rsidRPr="002C4FFA" w:rsidRDefault="002C4FFA" w:rsidP="002C4FFA">
            <w:r w:rsidRPr="002C4FFA">
              <w:t>537 million USD</w:t>
            </w:r>
          </w:p>
        </w:tc>
      </w:tr>
      <w:tr w:rsidR="002C4FFA" w:rsidRPr="002C4FFA" w14:paraId="661C51ED" w14:textId="77777777" w:rsidTr="002C4FFA">
        <w:trPr>
          <w:tblCellSpacing w:w="15" w:type="dxa"/>
          <w:jc w:val="center"/>
        </w:trPr>
        <w:tc>
          <w:tcPr>
            <w:tcW w:w="0" w:type="auto"/>
            <w:vAlign w:val="center"/>
            <w:hideMark/>
          </w:tcPr>
          <w:p w14:paraId="210FD12D" w14:textId="77777777" w:rsidR="002C4FFA" w:rsidRPr="002C4FFA" w:rsidRDefault="002C4FFA" w:rsidP="002C4FFA">
            <w:r w:rsidRPr="002C4FFA">
              <w:lastRenderedPageBreak/>
              <w:t>Program Spending Ratio</w:t>
            </w:r>
          </w:p>
        </w:tc>
        <w:tc>
          <w:tcPr>
            <w:tcW w:w="0" w:type="auto"/>
            <w:vAlign w:val="center"/>
            <w:hideMark/>
          </w:tcPr>
          <w:p w14:paraId="76D8615E" w14:textId="77777777" w:rsidR="002C4FFA" w:rsidRPr="002C4FFA" w:rsidRDefault="002C4FFA" w:rsidP="002C4FFA">
            <w:r w:rsidRPr="002C4FFA">
              <w:t>84.15%</w:t>
            </w:r>
          </w:p>
        </w:tc>
      </w:tr>
    </w:tbl>
    <w:p w14:paraId="677FD7D2" w14:textId="77777777" w:rsidR="002C4FFA" w:rsidRDefault="002C4FFA" w:rsidP="002C4FFA">
      <w:r w:rsidRPr="002C4FFA">
        <w:t>These indicators summarize the overall funding scale and operational structure across the analyzed NGOs.</w:t>
      </w:r>
    </w:p>
    <w:p w14:paraId="59AE1E30" w14:textId="77777777" w:rsidR="009E27A3" w:rsidRPr="002C4FFA" w:rsidRDefault="009E27A3" w:rsidP="002C4FFA"/>
    <w:p w14:paraId="2E87949E" w14:textId="77777777" w:rsidR="002C4FFA" w:rsidRPr="002C4FFA" w:rsidRDefault="002C4FFA" w:rsidP="002C4FFA">
      <w:r w:rsidRPr="002C4FFA">
        <w:pict w14:anchorId="4986ADF6">
          <v:rect id="_x0000_i1107" style="width:0;height:1.5pt" o:hralign="center" o:hrstd="t" o:hr="t" fillcolor="#a0a0a0" stroked="f"/>
        </w:pict>
      </w:r>
    </w:p>
    <w:p w14:paraId="225D3882" w14:textId="77777777" w:rsidR="002C4FFA" w:rsidRDefault="002C4FFA" w:rsidP="002C4FFA">
      <w:pPr>
        <w:rPr>
          <w:b/>
          <w:bCs/>
        </w:rPr>
      </w:pPr>
      <w:r w:rsidRPr="002C4FFA">
        <w:rPr>
          <w:b/>
          <w:bCs/>
        </w:rPr>
        <w:t>5. Comparative Financial Analysis</w:t>
      </w:r>
    </w:p>
    <w:p w14:paraId="5ED5E472" w14:textId="77777777" w:rsidR="00A24A6F" w:rsidRPr="00A24A6F" w:rsidRDefault="00A24A6F" w:rsidP="00A24A6F">
      <w:r w:rsidRPr="00A24A6F">
        <w:t>Figure 3: Income vs Expenditure Comparison</w:t>
      </w:r>
    </w:p>
    <w:p w14:paraId="7C3F1C8C" w14:textId="0BE516EC" w:rsidR="00A24A6F" w:rsidRDefault="00A24A6F" w:rsidP="002C4FFA">
      <w:pPr>
        <w:rPr>
          <w:b/>
          <w:bCs/>
        </w:rPr>
      </w:pPr>
      <w:r>
        <w:rPr>
          <w:b/>
          <w:bCs/>
          <w:noProof/>
        </w:rPr>
        <w:drawing>
          <wp:inline distT="0" distB="0" distL="0" distR="0" wp14:anchorId="6EAD2277" wp14:editId="443B2A82">
            <wp:extent cx="5943600" cy="1840865"/>
            <wp:effectExtent l="0" t="0" r="0" b="6985"/>
            <wp:docPr id="18004294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29462" name="Picture 1800429462"/>
                    <pic:cNvPicPr/>
                  </pic:nvPicPr>
                  <pic:blipFill>
                    <a:blip r:embed="rId6">
                      <a:extLst>
                        <a:ext uri="{28A0092B-C50C-407E-A947-70E740481C1C}">
                          <a14:useLocalDpi xmlns:a14="http://schemas.microsoft.com/office/drawing/2010/main" val="0"/>
                        </a:ext>
                      </a:extLst>
                    </a:blip>
                    <a:stretch>
                      <a:fillRect/>
                    </a:stretch>
                  </pic:blipFill>
                  <pic:spPr>
                    <a:xfrm>
                      <a:off x="0" y="0"/>
                      <a:ext cx="5943600" cy="1840865"/>
                    </a:xfrm>
                    <a:prstGeom prst="rect">
                      <a:avLst/>
                    </a:prstGeom>
                  </pic:spPr>
                </pic:pic>
              </a:graphicData>
            </a:graphic>
          </wp:inline>
        </w:drawing>
      </w:r>
    </w:p>
    <w:p w14:paraId="6D4D9529" w14:textId="62413FF2" w:rsidR="002C4FFA" w:rsidRPr="002C4FFA" w:rsidRDefault="002C4FFA" w:rsidP="002C4FFA">
      <w:r w:rsidRPr="002C4FFA">
        <w:t>Income vs Expenditure</w:t>
      </w:r>
    </w:p>
    <w:p w14:paraId="5460401A" w14:textId="77777777" w:rsidR="002C4FFA" w:rsidRPr="002C4FFA" w:rsidRDefault="002C4FFA" w:rsidP="002C4FFA">
      <w:r w:rsidRPr="002C4FFA">
        <w:t>The Income vs Expenditure chart compares the financial scale of each organization.</w:t>
      </w:r>
    </w:p>
    <w:p w14:paraId="0B88092E" w14:textId="77777777" w:rsidR="002C4FFA" w:rsidRPr="002C4FFA" w:rsidRDefault="002C4FFA" w:rsidP="002C4FFA">
      <w:r w:rsidRPr="002C4FFA">
        <w:t>Key observations:</w:t>
      </w:r>
    </w:p>
    <w:p w14:paraId="7CD4D41E" w14:textId="77777777" w:rsidR="002C4FFA" w:rsidRPr="002C4FFA" w:rsidRDefault="002C4FFA" w:rsidP="002C4FFA">
      <w:pPr>
        <w:numPr>
          <w:ilvl w:val="0"/>
          <w:numId w:val="6"/>
        </w:numPr>
      </w:pPr>
      <w:r w:rsidRPr="002C4FFA">
        <w:t>UNICEF has the largest financial scale among the analyzed organizations.</w:t>
      </w:r>
    </w:p>
    <w:p w14:paraId="0BDA7BC3" w14:textId="77777777" w:rsidR="002C4FFA" w:rsidRPr="002C4FFA" w:rsidRDefault="002C4FFA" w:rsidP="002C4FFA">
      <w:pPr>
        <w:numPr>
          <w:ilvl w:val="0"/>
          <w:numId w:val="6"/>
        </w:numPr>
      </w:pPr>
      <w:r w:rsidRPr="002C4FFA">
        <w:t>World Vision International is the second-largest in terms of total revenue.</w:t>
      </w:r>
    </w:p>
    <w:p w14:paraId="57CA9ADD" w14:textId="77777777" w:rsidR="002C4FFA" w:rsidRPr="002C4FFA" w:rsidRDefault="002C4FFA" w:rsidP="002C4FFA">
      <w:pPr>
        <w:numPr>
          <w:ilvl w:val="0"/>
          <w:numId w:val="6"/>
        </w:numPr>
      </w:pPr>
      <w:r w:rsidRPr="002C4FFA">
        <w:t>IFRC and Save the Children operate at smaller but still significant funding levels.</w:t>
      </w:r>
    </w:p>
    <w:p w14:paraId="12A404E0" w14:textId="77777777" w:rsidR="002C4FFA" w:rsidRPr="002C4FFA" w:rsidRDefault="002C4FFA" w:rsidP="002C4FFA">
      <w:r w:rsidRPr="002C4FFA">
        <w:t>This comparison highlights differences in organizational scale and operational budgets.</w:t>
      </w:r>
    </w:p>
    <w:p w14:paraId="395BD121" w14:textId="77777777" w:rsidR="002C4FFA" w:rsidRPr="002C4FFA" w:rsidRDefault="002C4FFA" w:rsidP="002C4FFA">
      <w:r w:rsidRPr="002C4FFA">
        <w:pict w14:anchorId="4ECC8305">
          <v:rect id="_x0000_i1108" style="width:0;height:1.5pt" o:hralign="center" o:hrstd="t" o:hr="t" fillcolor="#a0a0a0" stroked="f"/>
        </w:pict>
      </w:r>
    </w:p>
    <w:p w14:paraId="1272AAF8" w14:textId="77777777" w:rsidR="002C4FFA" w:rsidRPr="002C4FFA" w:rsidRDefault="002C4FFA" w:rsidP="002C4FFA">
      <w:pPr>
        <w:rPr>
          <w:b/>
          <w:bCs/>
        </w:rPr>
      </w:pPr>
      <w:r w:rsidRPr="002C4FFA">
        <w:rPr>
          <w:b/>
          <w:bCs/>
        </w:rPr>
        <w:t>6. Funding Structure</w:t>
      </w:r>
    </w:p>
    <w:p w14:paraId="5415A69D" w14:textId="77777777" w:rsidR="002C4FFA" w:rsidRPr="002C4FFA" w:rsidRDefault="002C4FFA" w:rsidP="002C4FFA">
      <w:r w:rsidRPr="002C4FFA">
        <w:t>The Funding Mix visualization analyzes the relative dependence on private and public funding sources.</w:t>
      </w:r>
    </w:p>
    <w:p w14:paraId="5DA5A98E" w14:textId="77777777" w:rsidR="002C4FFA" w:rsidRPr="002C4FFA" w:rsidRDefault="002C4FFA" w:rsidP="002C4FFA">
      <w:r w:rsidRPr="002C4FFA">
        <w:t>Key findings:</w:t>
      </w:r>
    </w:p>
    <w:p w14:paraId="3766823B" w14:textId="77777777" w:rsidR="002C4FFA" w:rsidRPr="002C4FFA" w:rsidRDefault="002C4FFA" w:rsidP="002C4FFA">
      <w:pPr>
        <w:numPr>
          <w:ilvl w:val="0"/>
          <w:numId w:val="7"/>
        </w:numPr>
      </w:pPr>
      <w:r w:rsidRPr="002C4FFA">
        <w:lastRenderedPageBreak/>
        <w:t>UNICEF receives a large portion of its funding from government and institutional donors.</w:t>
      </w:r>
    </w:p>
    <w:p w14:paraId="729EDC82" w14:textId="77777777" w:rsidR="002C4FFA" w:rsidRPr="002C4FFA" w:rsidRDefault="002C4FFA" w:rsidP="002C4FFA">
      <w:pPr>
        <w:numPr>
          <w:ilvl w:val="0"/>
          <w:numId w:val="7"/>
        </w:numPr>
      </w:pPr>
      <w:r w:rsidRPr="002C4FFA">
        <w:t>World Vision International shows a relatively higher share of private funding, reflecting strong individual sponsorship programs.</w:t>
      </w:r>
    </w:p>
    <w:p w14:paraId="537E6794" w14:textId="77777777" w:rsidR="002C4FFA" w:rsidRPr="002C4FFA" w:rsidRDefault="002C4FFA" w:rsidP="002C4FFA">
      <w:pPr>
        <w:numPr>
          <w:ilvl w:val="0"/>
          <w:numId w:val="7"/>
        </w:numPr>
      </w:pPr>
      <w:r w:rsidRPr="002C4FFA">
        <w:t>Save the Children and IFRC maintain a more balanced mix of funding sources.</w:t>
      </w:r>
    </w:p>
    <w:p w14:paraId="33587873" w14:textId="77777777" w:rsidR="002C4FFA" w:rsidRPr="002C4FFA" w:rsidRDefault="002C4FFA" w:rsidP="002C4FFA">
      <w:r w:rsidRPr="002C4FFA">
        <w:t>Understanding funding composition is important because funding diversity improves financial resilience.</w:t>
      </w:r>
    </w:p>
    <w:p w14:paraId="6411ABE4" w14:textId="77777777" w:rsidR="002C4FFA" w:rsidRPr="002C4FFA" w:rsidRDefault="002C4FFA" w:rsidP="002C4FFA">
      <w:r w:rsidRPr="002C4FFA">
        <w:pict w14:anchorId="16CB29B1">
          <v:rect id="_x0000_i1109" style="width:0;height:1.5pt" o:hralign="center" o:hrstd="t" o:hr="t" fillcolor="#a0a0a0" stroked="f"/>
        </w:pict>
      </w:r>
    </w:p>
    <w:p w14:paraId="14FC3B0C" w14:textId="77777777" w:rsidR="002C4FFA" w:rsidRPr="002C4FFA" w:rsidRDefault="002C4FFA" w:rsidP="002C4FFA">
      <w:pPr>
        <w:rPr>
          <w:b/>
          <w:bCs/>
        </w:rPr>
      </w:pPr>
      <w:r w:rsidRPr="002C4FFA">
        <w:rPr>
          <w:b/>
          <w:bCs/>
        </w:rPr>
        <w:t>7. Program Spending Efficiency</w:t>
      </w:r>
    </w:p>
    <w:p w14:paraId="2B720072" w14:textId="77777777" w:rsidR="002C4FFA" w:rsidRPr="002C4FFA" w:rsidRDefault="002C4FFA" w:rsidP="002C4FFA">
      <w:r w:rsidRPr="002C4FFA">
        <w:t>The Program Spending Ratio chart measures the share of total expenditure allocated directly to programmatic activities.</w:t>
      </w:r>
    </w:p>
    <w:p w14:paraId="4F87DB06" w14:textId="77777777" w:rsidR="002C4FFA" w:rsidRPr="002C4FFA" w:rsidRDefault="002C4FFA" w:rsidP="002C4FFA">
      <w:r w:rsidRPr="002C4FFA">
        <w:t>Key insight:</w:t>
      </w:r>
    </w:p>
    <w:p w14:paraId="29EA4534" w14:textId="77777777" w:rsidR="002C4FFA" w:rsidRPr="002C4FFA" w:rsidRDefault="002C4FFA" w:rsidP="002C4FFA">
      <w:pPr>
        <w:numPr>
          <w:ilvl w:val="0"/>
          <w:numId w:val="8"/>
        </w:numPr>
      </w:pPr>
      <w:r w:rsidRPr="002C4FFA">
        <w:t>All analyzed organizations maintain high program spending ratios (above ~80%), indicating that the majority of expenditures are directed toward mission-related programs.</w:t>
      </w:r>
    </w:p>
    <w:p w14:paraId="1B6DB56F" w14:textId="77777777" w:rsidR="002C4FFA" w:rsidRPr="002C4FFA" w:rsidRDefault="002C4FFA" w:rsidP="002C4FFA">
      <w:r w:rsidRPr="002C4FFA">
        <w:t>High program spending ratios are often used by donors and evaluators as indicators of organizational efficiency and accountability.</w:t>
      </w:r>
    </w:p>
    <w:p w14:paraId="5AD6191F" w14:textId="77777777" w:rsidR="002C4FFA" w:rsidRPr="002C4FFA" w:rsidRDefault="002C4FFA" w:rsidP="002C4FFA">
      <w:r w:rsidRPr="002C4FFA">
        <w:pict w14:anchorId="0B0B1ABC">
          <v:rect id="_x0000_i1110" style="width:0;height:1.5pt" o:hralign="center" o:hrstd="t" o:hr="t" fillcolor="#a0a0a0" stroked="f"/>
        </w:pict>
      </w:r>
    </w:p>
    <w:p w14:paraId="628EA422" w14:textId="77777777" w:rsidR="002C4FFA" w:rsidRDefault="002C4FFA" w:rsidP="002C4FFA">
      <w:pPr>
        <w:rPr>
          <w:b/>
          <w:bCs/>
        </w:rPr>
      </w:pPr>
      <w:r w:rsidRPr="002C4FFA">
        <w:rPr>
          <w:b/>
          <w:bCs/>
        </w:rPr>
        <w:t>8. Financial Trends (2022–2024)</w:t>
      </w:r>
    </w:p>
    <w:p w14:paraId="52D58E09" w14:textId="19642A35" w:rsidR="00A24A6F" w:rsidRDefault="00A24A6F" w:rsidP="002C4FFA">
      <w:r w:rsidRPr="00A24A6F">
        <w:t>The income trend chart visualizes the evolution of financial resources</w:t>
      </w:r>
      <w:r w:rsidRPr="00A24A6F">
        <w:br/>
        <w:t>across the analyzed organizations.</w:t>
      </w:r>
    </w:p>
    <w:p w14:paraId="224DE066" w14:textId="0091925A" w:rsidR="00A24A6F" w:rsidRDefault="00A24A6F" w:rsidP="002C4FFA">
      <w:r w:rsidRPr="00A24A6F">
        <w:t>Figure 2: Income Trend Visualization</w:t>
      </w:r>
    </w:p>
    <w:p w14:paraId="03B3D4D6" w14:textId="7518D45C" w:rsidR="00A24A6F" w:rsidRPr="002C4FFA" w:rsidRDefault="00A24A6F" w:rsidP="00A24A6F">
      <w:pPr>
        <w:jc w:val="center"/>
      </w:pPr>
      <w:r>
        <w:rPr>
          <w:noProof/>
        </w:rPr>
        <w:lastRenderedPageBreak/>
        <w:drawing>
          <wp:inline distT="0" distB="0" distL="0" distR="0" wp14:anchorId="5497CF46" wp14:editId="49B8DDD7">
            <wp:extent cx="3512820" cy="2861436"/>
            <wp:effectExtent l="0" t="0" r="0" b="0"/>
            <wp:docPr id="1759018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18233" name="Picture 1759018233"/>
                    <pic:cNvPicPr/>
                  </pic:nvPicPr>
                  <pic:blipFill>
                    <a:blip r:embed="rId7">
                      <a:extLst>
                        <a:ext uri="{28A0092B-C50C-407E-A947-70E740481C1C}">
                          <a14:useLocalDpi xmlns:a14="http://schemas.microsoft.com/office/drawing/2010/main" val="0"/>
                        </a:ext>
                      </a:extLst>
                    </a:blip>
                    <a:stretch>
                      <a:fillRect/>
                    </a:stretch>
                  </pic:blipFill>
                  <pic:spPr>
                    <a:xfrm>
                      <a:off x="0" y="0"/>
                      <a:ext cx="3516626" cy="2864536"/>
                    </a:xfrm>
                    <a:prstGeom prst="rect">
                      <a:avLst/>
                    </a:prstGeom>
                  </pic:spPr>
                </pic:pic>
              </a:graphicData>
            </a:graphic>
          </wp:inline>
        </w:drawing>
      </w:r>
    </w:p>
    <w:p w14:paraId="153B9F72" w14:textId="77777777" w:rsidR="002C4FFA" w:rsidRPr="002C4FFA" w:rsidRDefault="002C4FFA" w:rsidP="002C4FFA">
      <w:r w:rsidRPr="002C4FFA">
        <w:t>The Income Trend chart shows revenue changes over time.</w:t>
      </w:r>
    </w:p>
    <w:p w14:paraId="2B608BE4" w14:textId="77777777" w:rsidR="002C4FFA" w:rsidRPr="002C4FFA" w:rsidRDefault="002C4FFA" w:rsidP="002C4FFA">
      <w:r w:rsidRPr="002C4FFA">
        <w:t>Example trend for UNICEF:</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8"/>
        <w:gridCol w:w="921"/>
      </w:tblGrid>
      <w:tr w:rsidR="002C4FFA" w:rsidRPr="002C4FFA" w14:paraId="1946170E" w14:textId="77777777" w:rsidTr="002C4FFA">
        <w:trPr>
          <w:tblHeader/>
          <w:tblCellSpacing w:w="15" w:type="dxa"/>
          <w:jc w:val="center"/>
        </w:trPr>
        <w:tc>
          <w:tcPr>
            <w:tcW w:w="0" w:type="auto"/>
            <w:vAlign w:val="center"/>
            <w:hideMark/>
          </w:tcPr>
          <w:p w14:paraId="31E37B80" w14:textId="77777777" w:rsidR="002C4FFA" w:rsidRPr="002C4FFA" w:rsidRDefault="002C4FFA" w:rsidP="002C4FFA">
            <w:pPr>
              <w:rPr>
                <w:b/>
                <w:bCs/>
              </w:rPr>
            </w:pPr>
            <w:r w:rsidRPr="002C4FFA">
              <w:rPr>
                <w:b/>
                <w:bCs/>
              </w:rPr>
              <w:t>Year</w:t>
            </w:r>
          </w:p>
        </w:tc>
        <w:tc>
          <w:tcPr>
            <w:tcW w:w="0" w:type="auto"/>
            <w:vAlign w:val="center"/>
            <w:hideMark/>
          </w:tcPr>
          <w:p w14:paraId="7F05B6E3" w14:textId="77777777" w:rsidR="002C4FFA" w:rsidRPr="002C4FFA" w:rsidRDefault="002C4FFA" w:rsidP="002C4FFA">
            <w:pPr>
              <w:rPr>
                <w:b/>
                <w:bCs/>
              </w:rPr>
            </w:pPr>
            <w:r w:rsidRPr="002C4FFA">
              <w:rPr>
                <w:b/>
                <w:bCs/>
              </w:rPr>
              <w:t>Income</w:t>
            </w:r>
          </w:p>
        </w:tc>
      </w:tr>
      <w:tr w:rsidR="002C4FFA" w:rsidRPr="002C4FFA" w14:paraId="375DF183" w14:textId="77777777" w:rsidTr="002C4FFA">
        <w:trPr>
          <w:tblCellSpacing w:w="15" w:type="dxa"/>
          <w:jc w:val="center"/>
        </w:trPr>
        <w:tc>
          <w:tcPr>
            <w:tcW w:w="0" w:type="auto"/>
            <w:vAlign w:val="center"/>
            <w:hideMark/>
          </w:tcPr>
          <w:p w14:paraId="30EF3FD7" w14:textId="77777777" w:rsidR="002C4FFA" w:rsidRPr="002C4FFA" w:rsidRDefault="002C4FFA" w:rsidP="002C4FFA">
            <w:r w:rsidRPr="002C4FFA">
              <w:t>2022</w:t>
            </w:r>
          </w:p>
        </w:tc>
        <w:tc>
          <w:tcPr>
            <w:tcW w:w="0" w:type="auto"/>
            <w:vAlign w:val="center"/>
            <w:hideMark/>
          </w:tcPr>
          <w:p w14:paraId="6570E715" w14:textId="77777777" w:rsidR="002C4FFA" w:rsidRPr="002C4FFA" w:rsidRDefault="002C4FFA" w:rsidP="002C4FFA">
            <w:r w:rsidRPr="002C4FFA">
              <w:t>7.9B</w:t>
            </w:r>
          </w:p>
        </w:tc>
      </w:tr>
      <w:tr w:rsidR="002C4FFA" w:rsidRPr="002C4FFA" w14:paraId="611E0301" w14:textId="77777777" w:rsidTr="002C4FFA">
        <w:trPr>
          <w:tblCellSpacing w:w="15" w:type="dxa"/>
          <w:jc w:val="center"/>
        </w:trPr>
        <w:tc>
          <w:tcPr>
            <w:tcW w:w="0" w:type="auto"/>
            <w:vAlign w:val="center"/>
            <w:hideMark/>
          </w:tcPr>
          <w:p w14:paraId="2A07031C" w14:textId="77777777" w:rsidR="002C4FFA" w:rsidRPr="002C4FFA" w:rsidRDefault="002C4FFA" w:rsidP="002C4FFA">
            <w:r w:rsidRPr="002C4FFA">
              <w:t>2023</w:t>
            </w:r>
          </w:p>
        </w:tc>
        <w:tc>
          <w:tcPr>
            <w:tcW w:w="0" w:type="auto"/>
            <w:vAlign w:val="center"/>
            <w:hideMark/>
          </w:tcPr>
          <w:p w14:paraId="6A0F1ED0" w14:textId="77777777" w:rsidR="002C4FFA" w:rsidRPr="002C4FFA" w:rsidRDefault="002C4FFA" w:rsidP="002C4FFA">
            <w:r w:rsidRPr="002C4FFA">
              <w:t>8.2B</w:t>
            </w:r>
          </w:p>
        </w:tc>
      </w:tr>
      <w:tr w:rsidR="002C4FFA" w:rsidRPr="002C4FFA" w14:paraId="0476FC7D" w14:textId="77777777" w:rsidTr="002C4FFA">
        <w:trPr>
          <w:tblCellSpacing w:w="15" w:type="dxa"/>
          <w:jc w:val="center"/>
        </w:trPr>
        <w:tc>
          <w:tcPr>
            <w:tcW w:w="0" w:type="auto"/>
            <w:vAlign w:val="center"/>
            <w:hideMark/>
          </w:tcPr>
          <w:p w14:paraId="5766175A" w14:textId="77777777" w:rsidR="002C4FFA" w:rsidRPr="002C4FFA" w:rsidRDefault="002C4FFA" w:rsidP="002C4FFA">
            <w:r w:rsidRPr="002C4FFA">
              <w:t>2024</w:t>
            </w:r>
          </w:p>
        </w:tc>
        <w:tc>
          <w:tcPr>
            <w:tcW w:w="0" w:type="auto"/>
            <w:vAlign w:val="center"/>
            <w:hideMark/>
          </w:tcPr>
          <w:p w14:paraId="029AB74F" w14:textId="77777777" w:rsidR="002C4FFA" w:rsidRPr="002C4FFA" w:rsidRDefault="002C4FFA" w:rsidP="002C4FFA">
            <w:r w:rsidRPr="002C4FFA">
              <w:t>8.5B</w:t>
            </w:r>
          </w:p>
        </w:tc>
      </w:tr>
    </w:tbl>
    <w:p w14:paraId="63C0F006" w14:textId="77777777" w:rsidR="002C4FFA" w:rsidRPr="002C4FFA" w:rsidRDefault="002C4FFA" w:rsidP="002C4FFA">
      <w:r w:rsidRPr="002C4FFA">
        <w:t>This suggests moderate but consistent financial growth over the observed period.</w:t>
      </w:r>
    </w:p>
    <w:p w14:paraId="7BC4F1E1" w14:textId="77777777" w:rsidR="002C4FFA" w:rsidRPr="002C4FFA" w:rsidRDefault="002C4FFA" w:rsidP="002C4FFA">
      <w:r w:rsidRPr="002C4FFA">
        <w:t>Trend analysis helps identify:</w:t>
      </w:r>
    </w:p>
    <w:p w14:paraId="4D80423E" w14:textId="77777777" w:rsidR="002C4FFA" w:rsidRPr="002C4FFA" w:rsidRDefault="002C4FFA" w:rsidP="002C4FFA">
      <w:pPr>
        <w:numPr>
          <w:ilvl w:val="0"/>
          <w:numId w:val="9"/>
        </w:numPr>
      </w:pPr>
      <w:r w:rsidRPr="002C4FFA">
        <w:t>funding growth</w:t>
      </w:r>
    </w:p>
    <w:p w14:paraId="4C7A27F4" w14:textId="77777777" w:rsidR="002C4FFA" w:rsidRPr="002C4FFA" w:rsidRDefault="002C4FFA" w:rsidP="002C4FFA">
      <w:pPr>
        <w:numPr>
          <w:ilvl w:val="0"/>
          <w:numId w:val="9"/>
        </w:numPr>
      </w:pPr>
      <w:r w:rsidRPr="002C4FFA">
        <w:t>stability of financial flows</w:t>
      </w:r>
    </w:p>
    <w:p w14:paraId="055B96E8" w14:textId="77777777" w:rsidR="002C4FFA" w:rsidRDefault="002C4FFA" w:rsidP="002C4FFA">
      <w:pPr>
        <w:numPr>
          <w:ilvl w:val="0"/>
          <w:numId w:val="9"/>
        </w:numPr>
      </w:pPr>
      <w:r w:rsidRPr="002C4FFA">
        <w:t>potential vulnerability to funding shocks</w:t>
      </w:r>
    </w:p>
    <w:p w14:paraId="25B8FEE6" w14:textId="77777777" w:rsidR="002C4FFA" w:rsidRPr="002C4FFA" w:rsidRDefault="002C4FFA" w:rsidP="002C4FFA">
      <w:r w:rsidRPr="002C4FFA">
        <w:pict w14:anchorId="440D50F3">
          <v:rect id="_x0000_i1111" style="width:0;height:1.5pt" o:hralign="center" o:hrstd="t" o:hr="t" fillcolor="#a0a0a0" stroked="f"/>
        </w:pict>
      </w:r>
    </w:p>
    <w:p w14:paraId="4517955F" w14:textId="77777777" w:rsidR="002C4FFA" w:rsidRPr="002C4FFA" w:rsidRDefault="002C4FFA" w:rsidP="002C4FFA">
      <w:pPr>
        <w:rPr>
          <w:b/>
          <w:bCs/>
        </w:rPr>
      </w:pPr>
      <w:r w:rsidRPr="002C4FFA">
        <w:rPr>
          <w:b/>
          <w:bCs/>
        </w:rPr>
        <w:t>9. Key Insights</w:t>
      </w:r>
    </w:p>
    <w:p w14:paraId="34CA32DB" w14:textId="77777777" w:rsidR="002C4FFA" w:rsidRPr="002C4FFA" w:rsidRDefault="002C4FFA" w:rsidP="002C4FFA">
      <w:r w:rsidRPr="002C4FFA">
        <w:t>Several insights emerge from the dashboard:</w:t>
      </w:r>
    </w:p>
    <w:p w14:paraId="4C0DD120" w14:textId="77777777" w:rsidR="002C4FFA" w:rsidRPr="002C4FFA" w:rsidRDefault="002C4FFA" w:rsidP="002C4FFA">
      <w:pPr>
        <w:numPr>
          <w:ilvl w:val="0"/>
          <w:numId w:val="10"/>
        </w:numPr>
      </w:pPr>
      <w:r w:rsidRPr="002C4FFA">
        <w:t>UNICEF operates at the largest financial scale, reflecting its role as a major global multilateral organization.</w:t>
      </w:r>
    </w:p>
    <w:p w14:paraId="491CA319" w14:textId="77777777" w:rsidR="002C4FFA" w:rsidRPr="002C4FFA" w:rsidRDefault="002C4FFA" w:rsidP="002C4FFA">
      <w:pPr>
        <w:numPr>
          <w:ilvl w:val="0"/>
          <w:numId w:val="10"/>
        </w:numPr>
      </w:pPr>
      <w:r w:rsidRPr="002C4FFA">
        <w:lastRenderedPageBreak/>
        <w:t>Funding sources vary significantly across organizations, with some relying more heavily on government funding and others on private donors.</w:t>
      </w:r>
    </w:p>
    <w:p w14:paraId="6AA9D431" w14:textId="77777777" w:rsidR="002C4FFA" w:rsidRPr="002C4FFA" w:rsidRDefault="002C4FFA" w:rsidP="002C4FFA">
      <w:pPr>
        <w:numPr>
          <w:ilvl w:val="0"/>
          <w:numId w:val="10"/>
        </w:numPr>
      </w:pPr>
      <w:r w:rsidRPr="002C4FFA">
        <w:t>Program spending ratios across organizations are relatively high, indicating that most financial resources are directed toward operational programs.</w:t>
      </w:r>
    </w:p>
    <w:p w14:paraId="103E3B0A" w14:textId="77777777" w:rsidR="002C4FFA" w:rsidRPr="002C4FFA" w:rsidRDefault="002C4FFA" w:rsidP="002C4FFA">
      <w:pPr>
        <w:numPr>
          <w:ilvl w:val="0"/>
          <w:numId w:val="10"/>
        </w:numPr>
      </w:pPr>
      <w:r w:rsidRPr="002C4FFA">
        <w:t>Revenue trends show gradual growth between 2022 and 2024, suggesting relative financial stability among the analyzed organizations.</w:t>
      </w:r>
    </w:p>
    <w:p w14:paraId="3E6B9CF0" w14:textId="77777777" w:rsidR="002C4FFA" w:rsidRPr="002C4FFA" w:rsidRDefault="002C4FFA" w:rsidP="002C4FFA">
      <w:r w:rsidRPr="002C4FFA">
        <w:pict w14:anchorId="4DE74C06">
          <v:rect id="_x0000_i1112" style="width:0;height:1.5pt" o:hralign="center" o:hrstd="t" o:hr="t" fillcolor="#a0a0a0" stroked="f"/>
        </w:pict>
      </w:r>
    </w:p>
    <w:p w14:paraId="417086C4" w14:textId="77777777" w:rsidR="002C4FFA" w:rsidRPr="002C4FFA" w:rsidRDefault="002C4FFA" w:rsidP="002C4FFA">
      <w:pPr>
        <w:rPr>
          <w:b/>
          <w:bCs/>
        </w:rPr>
      </w:pPr>
      <w:r w:rsidRPr="002C4FFA">
        <w:rPr>
          <w:b/>
          <w:bCs/>
        </w:rPr>
        <w:t>10. Limitations</w:t>
      </w:r>
    </w:p>
    <w:p w14:paraId="14EEF668" w14:textId="77777777" w:rsidR="002C4FFA" w:rsidRPr="002C4FFA" w:rsidRDefault="002C4FFA" w:rsidP="002C4FFA">
      <w:r w:rsidRPr="002C4FFA">
        <w:t>Several limitations should be acknowledged:</w:t>
      </w:r>
    </w:p>
    <w:p w14:paraId="2E6FA828" w14:textId="77777777" w:rsidR="002C4FFA" w:rsidRPr="002C4FFA" w:rsidRDefault="002C4FFA" w:rsidP="002C4FFA">
      <w:pPr>
        <w:numPr>
          <w:ilvl w:val="0"/>
          <w:numId w:val="11"/>
        </w:numPr>
      </w:pPr>
      <w:r w:rsidRPr="002C4FFA">
        <w:t>Financial reporting structures vary between organizations.</w:t>
      </w:r>
    </w:p>
    <w:p w14:paraId="0C92DF1A" w14:textId="77777777" w:rsidR="002C4FFA" w:rsidRPr="002C4FFA" w:rsidRDefault="002C4FFA" w:rsidP="002C4FFA">
      <w:pPr>
        <w:numPr>
          <w:ilvl w:val="0"/>
          <w:numId w:val="11"/>
        </w:numPr>
      </w:pPr>
      <w:r w:rsidRPr="002C4FFA">
        <w:t>Currency conversions and reporting standards may differ.</w:t>
      </w:r>
    </w:p>
    <w:p w14:paraId="79859061" w14:textId="77777777" w:rsidR="002C4FFA" w:rsidRPr="002C4FFA" w:rsidRDefault="002C4FFA" w:rsidP="002C4FFA">
      <w:pPr>
        <w:numPr>
          <w:ilvl w:val="0"/>
          <w:numId w:val="11"/>
        </w:numPr>
      </w:pPr>
      <w:r w:rsidRPr="002C4FFA">
        <w:t>The dataset uses simplified aggregated values for visualization purposes.</w:t>
      </w:r>
    </w:p>
    <w:p w14:paraId="1400D253" w14:textId="77777777" w:rsidR="002C4FFA" w:rsidRPr="002C4FFA" w:rsidRDefault="002C4FFA" w:rsidP="002C4FFA">
      <w:r w:rsidRPr="002C4FFA">
        <w:t>Therefore, the dashboard should be interpreted as a comparative analytical illustration rather than a precise accounting analysis.</w:t>
      </w:r>
    </w:p>
    <w:p w14:paraId="7E918201" w14:textId="77777777" w:rsidR="002C4FFA" w:rsidRPr="002C4FFA" w:rsidRDefault="002C4FFA" w:rsidP="002C4FFA">
      <w:r w:rsidRPr="002C4FFA">
        <w:pict w14:anchorId="3D5C628A">
          <v:rect id="_x0000_i1113" style="width:0;height:1.5pt" o:hralign="center" o:hrstd="t" o:hr="t" fillcolor="#a0a0a0" stroked="f"/>
        </w:pict>
      </w:r>
    </w:p>
    <w:p w14:paraId="2F3567FC" w14:textId="77777777" w:rsidR="002C4FFA" w:rsidRPr="002C4FFA" w:rsidRDefault="002C4FFA" w:rsidP="002C4FFA">
      <w:pPr>
        <w:rPr>
          <w:b/>
          <w:bCs/>
        </w:rPr>
      </w:pPr>
      <w:r w:rsidRPr="002C4FFA">
        <w:rPr>
          <w:b/>
          <w:bCs/>
        </w:rPr>
        <w:t>11. Conclusion</w:t>
      </w:r>
    </w:p>
    <w:p w14:paraId="55781EA3" w14:textId="77777777" w:rsidR="002C4FFA" w:rsidRPr="002C4FFA" w:rsidRDefault="002C4FFA" w:rsidP="002C4FFA">
      <w:r w:rsidRPr="002C4FFA">
        <w:t>By combining financial datasets with interactive visualizations, the dashboard enables users to:</w:t>
      </w:r>
    </w:p>
    <w:p w14:paraId="7C3C3E49" w14:textId="77777777" w:rsidR="002C4FFA" w:rsidRPr="002C4FFA" w:rsidRDefault="002C4FFA" w:rsidP="002C4FFA">
      <w:pPr>
        <w:numPr>
          <w:ilvl w:val="0"/>
          <w:numId w:val="12"/>
        </w:numPr>
      </w:pPr>
      <w:r w:rsidRPr="002C4FFA">
        <w:t>compare organizational funding scale</w:t>
      </w:r>
    </w:p>
    <w:p w14:paraId="2E2E6604" w14:textId="77777777" w:rsidR="002C4FFA" w:rsidRPr="002C4FFA" w:rsidRDefault="002C4FFA" w:rsidP="002C4FFA">
      <w:pPr>
        <w:numPr>
          <w:ilvl w:val="0"/>
          <w:numId w:val="12"/>
        </w:numPr>
      </w:pPr>
      <w:r w:rsidRPr="002C4FFA">
        <w:t>analyze funding structure</w:t>
      </w:r>
    </w:p>
    <w:p w14:paraId="450C65B8" w14:textId="77777777" w:rsidR="002C4FFA" w:rsidRPr="002C4FFA" w:rsidRDefault="002C4FFA" w:rsidP="002C4FFA">
      <w:pPr>
        <w:numPr>
          <w:ilvl w:val="0"/>
          <w:numId w:val="12"/>
        </w:numPr>
      </w:pPr>
      <w:r w:rsidRPr="002C4FFA">
        <w:t>assess program spending efficiency</w:t>
      </w:r>
    </w:p>
    <w:p w14:paraId="07A71B83" w14:textId="77777777" w:rsidR="002C4FFA" w:rsidRPr="002C4FFA" w:rsidRDefault="002C4FFA" w:rsidP="002C4FFA">
      <w:pPr>
        <w:numPr>
          <w:ilvl w:val="0"/>
          <w:numId w:val="12"/>
        </w:numPr>
      </w:pPr>
      <w:r w:rsidRPr="002C4FFA">
        <w:t>track financial trends over time</w:t>
      </w:r>
    </w:p>
    <w:p w14:paraId="30D737FF" w14:textId="77777777" w:rsidR="002C4FFA" w:rsidRPr="002C4FFA" w:rsidRDefault="002C4FFA" w:rsidP="002C4FFA">
      <w:r w:rsidRPr="002C4FFA">
        <w:t>Such dashboards can support policy analysis, donor decision-making, and organizational benchmarking in the international development sector.</w:t>
      </w:r>
    </w:p>
    <w:p w14:paraId="4B8C0F72" w14:textId="77777777" w:rsidR="002C4FFA" w:rsidRPr="002C4FFA" w:rsidRDefault="002C4FFA" w:rsidP="002C4FFA">
      <w:r w:rsidRPr="002C4FFA">
        <w:pict w14:anchorId="1C3D123D">
          <v:rect id="_x0000_i1114" style="width:0;height:1.5pt" o:hralign="center" o:hrstd="t" o:hr="t" fillcolor="#a0a0a0" stroked="f"/>
        </w:pict>
      </w:r>
    </w:p>
    <w:p w14:paraId="57397223" w14:textId="77777777" w:rsidR="002C4FFA" w:rsidRPr="002C4FFA" w:rsidRDefault="002C4FFA" w:rsidP="002C4FFA">
      <w:pPr>
        <w:rPr>
          <w:b/>
          <w:bCs/>
        </w:rPr>
      </w:pPr>
      <w:r w:rsidRPr="002C4FFA">
        <w:rPr>
          <w:b/>
          <w:bCs/>
        </w:rPr>
        <w:t>12. Tools Used</w:t>
      </w:r>
    </w:p>
    <w:p w14:paraId="51DC8DDE" w14:textId="77777777" w:rsidR="002C4FFA" w:rsidRPr="002C4FFA" w:rsidRDefault="002C4FFA" w:rsidP="002C4FFA">
      <w:pPr>
        <w:numPr>
          <w:ilvl w:val="0"/>
          <w:numId w:val="13"/>
        </w:numPr>
      </w:pPr>
      <w:r w:rsidRPr="002C4FFA">
        <w:t>Microsoft Power BI Desktop</w:t>
      </w:r>
    </w:p>
    <w:p w14:paraId="153B5FBC" w14:textId="77777777" w:rsidR="002C4FFA" w:rsidRPr="002C4FFA" w:rsidRDefault="002C4FFA" w:rsidP="002C4FFA">
      <w:pPr>
        <w:numPr>
          <w:ilvl w:val="0"/>
          <w:numId w:val="13"/>
        </w:numPr>
      </w:pPr>
      <w:r w:rsidRPr="002C4FFA">
        <w:t>Excel / CSV data preparation</w:t>
      </w:r>
    </w:p>
    <w:p w14:paraId="04743706" w14:textId="30116D1E" w:rsidR="002940FB" w:rsidRDefault="002C4FFA" w:rsidP="002C4FFA">
      <w:pPr>
        <w:numPr>
          <w:ilvl w:val="0"/>
          <w:numId w:val="13"/>
        </w:numPr>
      </w:pPr>
      <w:r w:rsidRPr="002C4FFA">
        <w:lastRenderedPageBreak/>
        <w:t>Public NGO annual reports</w:t>
      </w:r>
    </w:p>
    <w:sectPr w:rsidR="002940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3461C"/>
    <w:multiLevelType w:val="multilevel"/>
    <w:tmpl w:val="B35E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23B0D"/>
    <w:multiLevelType w:val="multilevel"/>
    <w:tmpl w:val="25EA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13299"/>
    <w:multiLevelType w:val="multilevel"/>
    <w:tmpl w:val="C3AC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9D5F96"/>
    <w:multiLevelType w:val="multilevel"/>
    <w:tmpl w:val="79F2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445AC2"/>
    <w:multiLevelType w:val="multilevel"/>
    <w:tmpl w:val="1EAE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253E1F"/>
    <w:multiLevelType w:val="multilevel"/>
    <w:tmpl w:val="FA9E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8820C7"/>
    <w:multiLevelType w:val="multilevel"/>
    <w:tmpl w:val="5700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473739"/>
    <w:multiLevelType w:val="multilevel"/>
    <w:tmpl w:val="754C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0F3CE6"/>
    <w:multiLevelType w:val="multilevel"/>
    <w:tmpl w:val="ED6E1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3936D7"/>
    <w:multiLevelType w:val="multilevel"/>
    <w:tmpl w:val="3640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CA4393"/>
    <w:multiLevelType w:val="multilevel"/>
    <w:tmpl w:val="3C1C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F66EAD"/>
    <w:multiLevelType w:val="multilevel"/>
    <w:tmpl w:val="7776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7F6940"/>
    <w:multiLevelType w:val="multilevel"/>
    <w:tmpl w:val="F70C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5197560">
    <w:abstractNumId w:val="5"/>
  </w:num>
  <w:num w:numId="2" w16cid:durableId="772287622">
    <w:abstractNumId w:val="11"/>
  </w:num>
  <w:num w:numId="3" w16cid:durableId="1139955755">
    <w:abstractNumId w:val="7"/>
  </w:num>
  <w:num w:numId="4" w16cid:durableId="678579108">
    <w:abstractNumId w:val="4"/>
  </w:num>
  <w:num w:numId="5" w16cid:durableId="293292742">
    <w:abstractNumId w:val="0"/>
  </w:num>
  <w:num w:numId="6" w16cid:durableId="1338340997">
    <w:abstractNumId w:val="10"/>
  </w:num>
  <w:num w:numId="7" w16cid:durableId="481586792">
    <w:abstractNumId w:val="3"/>
  </w:num>
  <w:num w:numId="8" w16cid:durableId="822506012">
    <w:abstractNumId w:val="12"/>
  </w:num>
  <w:num w:numId="9" w16cid:durableId="86385777">
    <w:abstractNumId w:val="6"/>
  </w:num>
  <w:num w:numId="10" w16cid:durableId="2026709105">
    <w:abstractNumId w:val="8"/>
  </w:num>
  <w:num w:numId="11" w16cid:durableId="1532454772">
    <w:abstractNumId w:val="9"/>
  </w:num>
  <w:num w:numId="12" w16cid:durableId="1386951980">
    <w:abstractNumId w:val="2"/>
  </w:num>
  <w:num w:numId="13" w16cid:durableId="17388171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75E"/>
    <w:rsid w:val="0000223B"/>
    <w:rsid w:val="0028291A"/>
    <w:rsid w:val="002940FB"/>
    <w:rsid w:val="002C4FFA"/>
    <w:rsid w:val="00325F0E"/>
    <w:rsid w:val="005846B7"/>
    <w:rsid w:val="006E475E"/>
    <w:rsid w:val="008E2892"/>
    <w:rsid w:val="009E27A3"/>
    <w:rsid w:val="00A24A6F"/>
    <w:rsid w:val="00C124BF"/>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4C6BE"/>
  <w15:chartTrackingRefBased/>
  <w15:docId w15:val="{002A5E5D-C185-4FA6-A225-814EFF8DA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47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47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47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47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47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47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7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7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7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7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47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47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47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47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4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75E"/>
    <w:rPr>
      <w:rFonts w:eastAsiaTheme="majorEastAsia" w:cstheme="majorBidi"/>
      <w:color w:val="272727" w:themeColor="text1" w:themeTint="D8"/>
    </w:rPr>
  </w:style>
  <w:style w:type="paragraph" w:styleId="Title">
    <w:name w:val="Title"/>
    <w:basedOn w:val="Normal"/>
    <w:next w:val="Normal"/>
    <w:link w:val="TitleChar"/>
    <w:uiPriority w:val="10"/>
    <w:qFormat/>
    <w:rsid w:val="006E47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7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7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7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75E"/>
    <w:pPr>
      <w:spacing w:before="160"/>
      <w:jc w:val="center"/>
    </w:pPr>
    <w:rPr>
      <w:i/>
      <w:iCs/>
      <w:color w:val="404040" w:themeColor="text1" w:themeTint="BF"/>
    </w:rPr>
  </w:style>
  <w:style w:type="character" w:customStyle="1" w:styleId="QuoteChar">
    <w:name w:val="Quote Char"/>
    <w:basedOn w:val="DefaultParagraphFont"/>
    <w:link w:val="Quote"/>
    <w:uiPriority w:val="29"/>
    <w:rsid w:val="006E475E"/>
    <w:rPr>
      <w:i/>
      <w:iCs/>
      <w:color w:val="404040" w:themeColor="text1" w:themeTint="BF"/>
    </w:rPr>
  </w:style>
  <w:style w:type="paragraph" w:styleId="ListParagraph">
    <w:name w:val="List Paragraph"/>
    <w:basedOn w:val="Normal"/>
    <w:uiPriority w:val="34"/>
    <w:qFormat/>
    <w:rsid w:val="006E475E"/>
    <w:pPr>
      <w:ind w:left="720"/>
      <w:contextualSpacing/>
    </w:pPr>
  </w:style>
  <w:style w:type="character" w:styleId="IntenseEmphasis">
    <w:name w:val="Intense Emphasis"/>
    <w:basedOn w:val="DefaultParagraphFont"/>
    <w:uiPriority w:val="21"/>
    <w:qFormat/>
    <w:rsid w:val="006E475E"/>
    <w:rPr>
      <w:i/>
      <w:iCs/>
      <w:color w:val="0F4761" w:themeColor="accent1" w:themeShade="BF"/>
    </w:rPr>
  </w:style>
  <w:style w:type="paragraph" w:styleId="IntenseQuote">
    <w:name w:val="Intense Quote"/>
    <w:basedOn w:val="Normal"/>
    <w:next w:val="Normal"/>
    <w:link w:val="IntenseQuoteChar"/>
    <w:uiPriority w:val="30"/>
    <w:qFormat/>
    <w:rsid w:val="006E47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75E"/>
    <w:rPr>
      <w:i/>
      <w:iCs/>
      <w:color w:val="0F4761" w:themeColor="accent1" w:themeShade="BF"/>
    </w:rPr>
  </w:style>
  <w:style w:type="character" w:styleId="IntenseReference">
    <w:name w:val="Intense Reference"/>
    <w:basedOn w:val="DefaultParagraphFont"/>
    <w:uiPriority w:val="32"/>
    <w:qFormat/>
    <w:rsid w:val="006E47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9</Pages>
  <Words>1034</Words>
  <Characters>5899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Afnan Birahim</dc:creator>
  <cp:keywords/>
  <dc:description/>
  <cp:lastModifiedBy>Afnan Birahim</cp:lastModifiedBy>
  <cp:revision>4</cp:revision>
  <dcterms:created xsi:type="dcterms:W3CDTF">2026-03-11T08:12:00Z</dcterms:created>
  <dcterms:modified xsi:type="dcterms:W3CDTF">2026-03-11T08:28:00Z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41ef8c10-859f-4936-a745-d95e890b4d75</vt:lpwstr>
  </property>
</Properties>
</file>